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37201" w14:textId="77777777" w:rsidR="00EA0560" w:rsidRPr="002128A6" w:rsidRDefault="00EA0560" w:rsidP="00EA0560">
      <w:pPr>
        <w:autoSpaceDE w:val="0"/>
        <w:autoSpaceDN w:val="0"/>
        <w:adjustRightInd w:val="0"/>
        <w:spacing w:after="0" w:line="240" w:lineRule="auto"/>
        <w:ind w:firstLine="284"/>
        <w:jc w:val="center"/>
        <w:rPr>
          <w:rFonts w:ascii="Garamond" w:hAnsi="Garamond" w:cs="Times New Roman"/>
          <w:b/>
          <w:bCs/>
          <w:szCs w:val="28"/>
        </w:rPr>
      </w:pPr>
      <w:bookmarkStart w:id="0" w:name="_Hlk209779125"/>
      <w:bookmarkStart w:id="1" w:name="_Hlk230873753"/>
      <w:r w:rsidRPr="002128A6">
        <w:rPr>
          <w:rFonts w:ascii="Garamond" w:hAnsi="Garamond" w:cs="Times New Roman"/>
          <w:b/>
          <w:bCs/>
          <w:szCs w:val="28"/>
        </w:rPr>
        <w:t>VENDIM</w:t>
      </w:r>
    </w:p>
    <w:p w14:paraId="55095020" w14:textId="77777777" w:rsidR="00EA0560" w:rsidRPr="002128A6" w:rsidRDefault="00EA0560" w:rsidP="00EA0560">
      <w:pPr>
        <w:autoSpaceDE w:val="0"/>
        <w:autoSpaceDN w:val="0"/>
        <w:adjustRightInd w:val="0"/>
        <w:spacing w:after="0" w:line="240" w:lineRule="auto"/>
        <w:ind w:firstLine="284"/>
        <w:jc w:val="center"/>
        <w:rPr>
          <w:rFonts w:ascii="Garamond" w:hAnsi="Garamond" w:cs="Times New Roman"/>
          <w:b/>
          <w:bCs/>
          <w:szCs w:val="28"/>
        </w:rPr>
      </w:pPr>
      <w:r w:rsidRPr="002128A6">
        <w:rPr>
          <w:rFonts w:ascii="Garamond" w:hAnsi="Garamond" w:cs="Times New Roman"/>
          <w:b/>
          <w:bCs/>
          <w:szCs w:val="28"/>
        </w:rPr>
        <w:t>Nr. 505, datë 30.6.2026</w:t>
      </w:r>
    </w:p>
    <w:p w14:paraId="6153CB91" w14:textId="77777777" w:rsidR="00EA0560" w:rsidRPr="002128A6" w:rsidRDefault="00EA0560" w:rsidP="00EA0560">
      <w:pPr>
        <w:autoSpaceDE w:val="0"/>
        <w:autoSpaceDN w:val="0"/>
        <w:adjustRightInd w:val="0"/>
        <w:spacing w:after="0" w:line="240" w:lineRule="auto"/>
        <w:ind w:firstLine="284"/>
        <w:jc w:val="center"/>
        <w:rPr>
          <w:rFonts w:ascii="Garamond" w:hAnsi="Garamond" w:cs="Times New Roman"/>
          <w:b/>
          <w:bCs/>
          <w:szCs w:val="28"/>
        </w:rPr>
      </w:pPr>
    </w:p>
    <w:p w14:paraId="66B561C0" w14:textId="724F49F8" w:rsidR="00EA0560" w:rsidRPr="002128A6" w:rsidRDefault="00EA0560" w:rsidP="00EA0560">
      <w:pPr>
        <w:autoSpaceDE w:val="0"/>
        <w:autoSpaceDN w:val="0"/>
        <w:adjustRightInd w:val="0"/>
        <w:spacing w:after="0" w:line="240" w:lineRule="auto"/>
        <w:ind w:firstLine="284"/>
        <w:jc w:val="center"/>
        <w:rPr>
          <w:rFonts w:ascii="Garamond" w:hAnsi="Garamond" w:cs="Times New Roman"/>
          <w:b/>
          <w:bCs/>
          <w:szCs w:val="28"/>
        </w:rPr>
      </w:pPr>
      <w:r w:rsidRPr="002128A6">
        <w:rPr>
          <w:rFonts w:ascii="Garamond" w:hAnsi="Garamond" w:cs="Times New Roman"/>
          <w:b/>
          <w:bCs/>
          <w:szCs w:val="28"/>
        </w:rPr>
        <w:t>PËR MIRATIMIN E</w:t>
      </w:r>
      <w:r w:rsidR="00F54824" w:rsidRPr="002128A6">
        <w:rPr>
          <w:rFonts w:ascii="Garamond" w:hAnsi="Garamond" w:cs="Times New Roman"/>
          <w:szCs w:val="28"/>
        </w:rPr>
        <w:t xml:space="preserve"> </w:t>
      </w:r>
      <w:r w:rsidRPr="002128A6">
        <w:rPr>
          <w:rFonts w:ascii="Garamond" w:hAnsi="Garamond" w:cs="Times New Roman"/>
          <w:b/>
          <w:bCs/>
          <w:szCs w:val="28"/>
        </w:rPr>
        <w:t>STRATEGJISË KOMBËTARE PËR PARANDALIMIN DHE LUFTËN KUNDËR KRIMIT TË ORGANIZUAR DHE KRIMEVE TË RËNDA 2026–2030 DHE TË PLANIT TË</w:t>
      </w:r>
      <w:r w:rsidRPr="002128A6">
        <w:rPr>
          <w:rFonts w:ascii="Garamond" w:hAnsi="Garamond" w:cs="Times New Roman"/>
          <w:szCs w:val="28"/>
        </w:rPr>
        <w:t xml:space="preserve"> </w:t>
      </w:r>
      <w:r w:rsidRPr="002128A6">
        <w:rPr>
          <w:rFonts w:ascii="Garamond" w:hAnsi="Garamond" w:cs="Times New Roman"/>
          <w:b/>
          <w:bCs/>
          <w:szCs w:val="28"/>
        </w:rPr>
        <w:t>VEPRIMIT 2026–2028</w:t>
      </w:r>
    </w:p>
    <w:p w14:paraId="5773E80D" w14:textId="77777777" w:rsidR="00EA0560" w:rsidRPr="002128A6" w:rsidRDefault="00EA0560" w:rsidP="00EA0560">
      <w:pPr>
        <w:autoSpaceDE w:val="0"/>
        <w:autoSpaceDN w:val="0"/>
        <w:adjustRightInd w:val="0"/>
        <w:spacing w:after="0" w:line="240" w:lineRule="auto"/>
        <w:ind w:firstLine="284"/>
        <w:jc w:val="both"/>
        <w:rPr>
          <w:rFonts w:ascii="Garamond" w:hAnsi="Garamond" w:cs="Times New Roman"/>
          <w:szCs w:val="28"/>
        </w:rPr>
      </w:pPr>
    </w:p>
    <w:p w14:paraId="149A2ABE" w14:textId="77777777" w:rsidR="00EA0560" w:rsidRPr="002128A6" w:rsidRDefault="00EA0560" w:rsidP="00EA0560">
      <w:pPr>
        <w:autoSpaceDE w:val="0"/>
        <w:autoSpaceDN w:val="0"/>
        <w:adjustRightInd w:val="0"/>
        <w:spacing w:after="0" w:line="240" w:lineRule="auto"/>
        <w:ind w:firstLine="284"/>
        <w:jc w:val="both"/>
        <w:rPr>
          <w:rFonts w:ascii="Garamond" w:hAnsi="Garamond" w:cs="Times New Roman"/>
          <w:szCs w:val="28"/>
        </w:rPr>
      </w:pPr>
      <w:r w:rsidRPr="002128A6">
        <w:rPr>
          <w:rFonts w:ascii="Garamond" w:hAnsi="Garamond" w:cs="Times New Roman"/>
          <w:szCs w:val="28"/>
        </w:rPr>
        <w:t>Në mbështetje të nenit 100 të Kushtetutës, me propozimin e ministrit të Punëve të Brendshme, Këshilli i Ministrave</w:t>
      </w:r>
    </w:p>
    <w:p w14:paraId="796683B3" w14:textId="77777777" w:rsidR="00EA0560" w:rsidRPr="002128A6" w:rsidRDefault="00EA0560" w:rsidP="00EA0560">
      <w:pPr>
        <w:autoSpaceDE w:val="0"/>
        <w:autoSpaceDN w:val="0"/>
        <w:adjustRightInd w:val="0"/>
        <w:spacing w:after="0" w:line="240" w:lineRule="auto"/>
        <w:ind w:firstLine="284"/>
        <w:jc w:val="both"/>
        <w:rPr>
          <w:rFonts w:ascii="Garamond" w:hAnsi="Garamond" w:cs="Times New Roman"/>
          <w:szCs w:val="28"/>
        </w:rPr>
      </w:pPr>
    </w:p>
    <w:p w14:paraId="6CD77192" w14:textId="77777777" w:rsidR="00EA0560" w:rsidRPr="002128A6" w:rsidRDefault="00EA0560" w:rsidP="00EA0560">
      <w:pPr>
        <w:autoSpaceDE w:val="0"/>
        <w:autoSpaceDN w:val="0"/>
        <w:adjustRightInd w:val="0"/>
        <w:spacing w:after="0" w:line="240" w:lineRule="auto"/>
        <w:ind w:firstLine="284"/>
        <w:jc w:val="center"/>
        <w:rPr>
          <w:rFonts w:ascii="Garamond" w:hAnsi="Garamond" w:cs="Times New Roman"/>
          <w:bCs/>
          <w:szCs w:val="28"/>
        </w:rPr>
      </w:pPr>
      <w:r w:rsidRPr="002128A6">
        <w:rPr>
          <w:rFonts w:ascii="Garamond" w:hAnsi="Garamond" w:cs="Times New Roman"/>
          <w:bCs/>
          <w:szCs w:val="28"/>
        </w:rPr>
        <w:t>VENDOSI:</w:t>
      </w:r>
    </w:p>
    <w:p w14:paraId="202CDE82" w14:textId="77777777" w:rsidR="00EA0560" w:rsidRPr="002128A6" w:rsidRDefault="00EA0560" w:rsidP="00EA0560">
      <w:pPr>
        <w:autoSpaceDE w:val="0"/>
        <w:autoSpaceDN w:val="0"/>
        <w:adjustRightInd w:val="0"/>
        <w:spacing w:after="0" w:line="240" w:lineRule="auto"/>
        <w:ind w:firstLine="284"/>
        <w:jc w:val="both"/>
        <w:rPr>
          <w:rFonts w:ascii="Garamond" w:hAnsi="Garamond" w:cs="Times New Roman"/>
          <w:b/>
          <w:bCs/>
          <w:szCs w:val="28"/>
        </w:rPr>
      </w:pPr>
    </w:p>
    <w:p w14:paraId="7460ED6D" w14:textId="0B7104B9" w:rsidR="00EA0560" w:rsidRPr="002128A6" w:rsidRDefault="00EA0560" w:rsidP="00EA0560">
      <w:pPr>
        <w:pStyle w:val="ListParagraph"/>
        <w:spacing w:after="0" w:line="240" w:lineRule="auto"/>
        <w:ind w:left="0" w:firstLine="284"/>
        <w:jc w:val="both"/>
        <w:rPr>
          <w:rFonts w:ascii="Garamond" w:hAnsi="Garamond" w:cs="Times New Roman"/>
          <w:szCs w:val="28"/>
        </w:rPr>
      </w:pPr>
      <w:r w:rsidRPr="002128A6">
        <w:rPr>
          <w:rFonts w:ascii="Garamond" w:hAnsi="Garamond" w:cs="Times New Roman"/>
          <w:szCs w:val="28"/>
        </w:rPr>
        <w:t>1. Miratimin e Strategjisë Kombëtare për Parandalimin dhe Luftën kundër Krimit të Organizuar dhe Krimeve të Rënda 2026–2030 dhe të planit të veprimit 2026</w:t>
      </w:r>
      <w:r w:rsidR="004021CB" w:rsidRPr="002128A6">
        <w:rPr>
          <w:rFonts w:ascii="Garamond" w:hAnsi="Garamond" w:cs="Times New Roman"/>
          <w:szCs w:val="28"/>
        </w:rPr>
        <w:t>–</w:t>
      </w:r>
      <w:r w:rsidRPr="002128A6">
        <w:rPr>
          <w:rFonts w:ascii="Garamond" w:hAnsi="Garamond" w:cs="Times New Roman"/>
          <w:szCs w:val="28"/>
        </w:rPr>
        <w:t>2028, sipas tekstit që i bashkëlidhet këtij vendimi dhe është pjesë përbërëse e tij.</w:t>
      </w:r>
    </w:p>
    <w:p w14:paraId="45816463" w14:textId="77777777" w:rsidR="00EA0560" w:rsidRPr="002128A6" w:rsidRDefault="00EA0560" w:rsidP="00EA0560">
      <w:pPr>
        <w:pStyle w:val="ListParagraph"/>
        <w:spacing w:after="0" w:line="240" w:lineRule="auto"/>
        <w:ind w:left="0" w:firstLine="284"/>
        <w:jc w:val="both"/>
        <w:rPr>
          <w:rFonts w:ascii="Garamond" w:hAnsi="Garamond" w:cs="Times New Roman"/>
          <w:szCs w:val="28"/>
        </w:rPr>
      </w:pPr>
      <w:r w:rsidRPr="002128A6">
        <w:rPr>
          <w:rFonts w:ascii="Garamond" w:hAnsi="Garamond" w:cs="Times New Roman"/>
          <w:szCs w:val="28"/>
        </w:rPr>
        <w:t>2. Ngarkohen Ministria e Punëve të Brendshme, ministritë e linjës dhe institucionet përgjegjëse, të përcaktuara në strategjinë dhe në planin e veprimit, për zbatimin e këtij vendimi.</w:t>
      </w:r>
    </w:p>
    <w:p w14:paraId="0FF4F220" w14:textId="77777777" w:rsidR="00EA0560" w:rsidRPr="002128A6" w:rsidRDefault="00EA0560" w:rsidP="00EA0560">
      <w:pPr>
        <w:autoSpaceDE w:val="0"/>
        <w:autoSpaceDN w:val="0"/>
        <w:adjustRightInd w:val="0"/>
        <w:spacing w:after="0" w:line="240" w:lineRule="auto"/>
        <w:ind w:firstLine="284"/>
        <w:jc w:val="both"/>
        <w:rPr>
          <w:rFonts w:ascii="Garamond" w:hAnsi="Garamond" w:cs="Times New Roman"/>
          <w:szCs w:val="28"/>
        </w:rPr>
      </w:pPr>
      <w:r w:rsidRPr="002128A6">
        <w:rPr>
          <w:rFonts w:ascii="Garamond" w:hAnsi="Garamond" w:cs="Times New Roman"/>
          <w:szCs w:val="28"/>
        </w:rPr>
        <w:t>Ky vendim hyn në fuqi pas botimit në Fletoren Zyrtare.</w:t>
      </w:r>
    </w:p>
    <w:p w14:paraId="42F96607" w14:textId="77777777" w:rsidR="00EA0560" w:rsidRPr="002128A6" w:rsidRDefault="00EA0560" w:rsidP="00EA0560">
      <w:pPr>
        <w:tabs>
          <w:tab w:val="left" w:pos="4210"/>
        </w:tabs>
        <w:spacing w:after="0" w:line="240" w:lineRule="auto"/>
        <w:ind w:firstLine="284"/>
        <w:jc w:val="both"/>
        <w:rPr>
          <w:rFonts w:ascii="Garamond" w:hAnsi="Garamond" w:cs="Times New Roman"/>
          <w:szCs w:val="28"/>
        </w:rPr>
      </w:pPr>
    </w:p>
    <w:p w14:paraId="74CC016B" w14:textId="77777777" w:rsidR="00EA0560" w:rsidRPr="002128A6" w:rsidRDefault="00EA0560" w:rsidP="00EA0560">
      <w:pPr>
        <w:pStyle w:val="BodyText"/>
        <w:ind w:firstLine="284"/>
        <w:jc w:val="right"/>
        <w:rPr>
          <w:rFonts w:ascii="Garamond" w:hAnsi="Garamond"/>
          <w:szCs w:val="28"/>
        </w:rPr>
      </w:pPr>
      <w:r w:rsidRPr="002128A6">
        <w:rPr>
          <w:rFonts w:ascii="Garamond" w:hAnsi="Garamond"/>
          <w:szCs w:val="28"/>
        </w:rPr>
        <w:t>KRYEMINISTËR</w:t>
      </w:r>
    </w:p>
    <w:p w14:paraId="515F4EC5" w14:textId="77777777" w:rsidR="00EA0560" w:rsidRPr="002128A6" w:rsidRDefault="00EA0560" w:rsidP="00EA0560">
      <w:pPr>
        <w:pStyle w:val="BodyText"/>
        <w:ind w:firstLine="284"/>
        <w:jc w:val="right"/>
        <w:rPr>
          <w:rFonts w:ascii="Garamond" w:hAnsi="Garamond"/>
          <w:b/>
          <w:szCs w:val="28"/>
        </w:rPr>
      </w:pPr>
      <w:r w:rsidRPr="002128A6">
        <w:rPr>
          <w:rFonts w:ascii="Garamond" w:hAnsi="Garamond"/>
          <w:b/>
          <w:szCs w:val="28"/>
        </w:rPr>
        <w:t>Edi Rama</w:t>
      </w:r>
    </w:p>
    <w:p w14:paraId="505DC0CB" w14:textId="77777777" w:rsidR="00EA0560" w:rsidRPr="002128A6" w:rsidRDefault="00EA0560" w:rsidP="00EA0560">
      <w:pPr>
        <w:pStyle w:val="BodyText"/>
        <w:ind w:firstLine="284"/>
        <w:jc w:val="center"/>
        <w:rPr>
          <w:rFonts w:ascii="Garamond" w:hAnsi="Garamond"/>
          <w:b/>
          <w:szCs w:val="28"/>
        </w:rPr>
      </w:pPr>
    </w:p>
    <w:p w14:paraId="35F74A96" w14:textId="77777777" w:rsidR="00510CE7" w:rsidRPr="002128A6" w:rsidRDefault="004652BA" w:rsidP="0025426C">
      <w:pPr>
        <w:spacing w:after="0" w:line="240" w:lineRule="auto"/>
        <w:ind w:firstLine="284"/>
        <w:jc w:val="center"/>
        <w:rPr>
          <w:rFonts w:ascii="Garamond" w:hAnsi="Garamond" w:cstheme="majorBidi"/>
          <w:b/>
          <w:bCs/>
        </w:rPr>
      </w:pPr>
      <w:r w:rsidRPr="002128A6">
        <w:rPr>
          <w:rFonts w:ascii="Garamond" w:hAnsi="Garamond" w:cstheme="majorBidi"/>
          <w:b/>
          <w:bCs/>
        </w:rPr>
        <w:t xml:space="preserve">STRATEGJIA KOMBËTARE </w:t>
      </w:r>
    </w:p>
    <w:p w14:paraId="5BCAD474" w14:textId="1DBB4FF6" w:rsidR="004652BA" w:rsidRPr="002128A6" w:rsidRDefault="004652BA" w:rsidP="0025426C">
      <w:pPr>
        <w:spacing w:after="0" w:line="240" w:lineRule="auto"/>
        <w:ind w:firstLine="284"/>
        <w:jc w:val="center"/>
        <w:rPr>
          <w:rFonts w:ascii="Garamond" w:hAnsi="Garamond" w:cstheme="majorBidi"/>
          <w:b/>
          <w:bCs/>
        </w:rPr>
      </w:pPr>
      <w:r w:rsidRPr="002128A6">
        <w:rPr>
          <w:rFonts w:ascii="Garamond" w:hAnsi="Garamond" w:cstheme="majorBidi"/>
          <w:b/>
          <w:bCs/>
        </w:rPr>
        <w:t>PËR PARANDALIMIN DHE LUFTËN KUNDËR KRIMIT TË ORGANIZUAR DHE KRIMEVE TË RËNDA 2026</w:t>
      </w:r>
      <w:r w:rsidR="00F54824" w:rsidRPr="002128A6">
        <w:rPr>
          <w:rFonts w:ascii="Garamond" w:hAnsi="Garamond" w:cstheme="majorBidi"/>
          <w:b/>
          <w:bCs/>
        </w:rPr>
        <w:t>–</w:t>
      </w:r>
      <w:r w:rsidRPr="002128A6">
        <w:rPr>
          <w:rFonts w:ascii="Garamond" w:hAnsi="Garamond" w:cstheme="majorBidi"/>
          <w:b/>
          <w:bCs/>
        </w:rPr>
        <w:t>2030</w:t>
      </w:r>
    </w:p>
    <w:p w14:paraId="4ACF7FEA" w14:textId="0C6CBB9C" w:rsidR="000C072F" w:rsidRPr="002128A6" w:rsidRDefault="000C072F" w:rsidP="0025426C">
      <w:pPr>
        <w:spacing w:after="0" w:line="240" w:lineRule="auto"/>
        <w:ind w:firstLine="284"/>
        <w:jc w:val="center"/>
        <w:rPr>
          <w:rFonts w:ascii="Garamond" w:hAnsi="Garamond" w:cstheme="majorBidi"/>
          <w:b/>
          <w:bCs/>
        </w:rPr>
      </w:pPr>
      <w:r w:rsidRPr="002128A6">
        <w:rPr>
          <w:rFonts w:ascii="Garamond" w:hAnsi="Garamond" w:cstheme="majorBidi"/>
          <w:b/>
          <w:bCs/>
        </w:rPr>
        <w:t>Tiranë,</w:t>
      </w:r>
      <w:r w:rsidR="00F869E0" w:rsidRPr="002128A6">
        <w:rPr>
          <w:rFonts w:ascii="Garamond" w:hAnsi="Garamond" w:cstheme="majorBidi"/>
          <w:b/>
          <w:bCs/>
        </w:rPr>
        <w:t xml:space="preserve"> qershor</w:t>
      </w:r>
      <w:r w:rsidRPr="002128A6">
        <w:rPr>
          <w:rFonts w:ascii="Garamond" w:hAnsi="Garamond" w:cstheme="majorBidi"/>
          <w:b/>
          <w:bCs/>
        </w:rPr>
        <w:t xml:space="preserve"> 202</w:t>
      </w:r>
      <w:r w:rsidR="00F869E0" w:rsidRPr="002128A6">
        <w:rPr>
          <w:rFonts w:ascii="Garamond" w:hAnsi="Garamond" w:cstheme="majorBidi"/>
          <w:b/>
          <w:bCs/>
        </w:rPr>
        <w:t>6</w:t>
      </w:r>
    </w:p>
    <w:p w14:paraId="4265F4B0" w14:textId="77777777" w:rsidR="000E3629" w:rsidRPr="002128A6" w:rsidRDefault="000E3629" w:rsidP="0025426C">
      <w:pPr>
        <w:spacing w:after="0" w:line="240" w:lineRule="auto"/>
        <w:ind w:firstLine="284"/>
        <w:jc w:val="center"/>
        <w:rPr>
          <w:rFonts w:ascii="Garamond" w:hAnsi="Garamond" w:cstheme="majorBidi"/>
        </w:rPr>
      </w:pPr>
    </w:p>
    <w:p w14:paraId="033EC7B4" w14:textId="079AD031" w:rsidR="00407F50" w:rsidRPr="002128A6" w:rsidRDefault="003A6D4E" w:rsidP="0025426C">
      <w:pPr>
        <w:spacing w:after="0" w:line="240" w:lineRule="auto"/>
        <w:ind w:firstLine="284"/>
        <w:jc w:val="both"/>
        <w:rPr>
          <w:rFonts w:ascii="Garamond" w:hAnsi="Garamond" w:cstheme="majorBidi"/>
        </w:rPr>
      </w:pPr>
      <w:bookmarkStart w:id="2" w:name="_Toc227770702"/>
      <w:bookmarkStart w:id="3" w:name="_Toc233371563"/>
      <w:r w:rsidRPr="002128A6">
        <w:rPr>
          <w:rFonts w:ascii="Garamond" w:hAnsi="Garamond" w:cstheme="majorBidi"/>
        </w:rPr>
        <w:t>Pasqyra e lëndës</w:t>
      </w:r>
    </w:p>
    <w:p w14:paraId="1A7FEC41" w14:textId="60EAAFC5" w:rsidR="00407F50" w:rsidRPr="002128A6" w:rsidRDefault="003A6D4E" w:rsidP="0025426C">
      <w:pPr>
        <w:spacing w:after="0" w:line="240" w:lineRule="auto"/>
        <w:ind w:firstLine="284"/>
        <w:jc w:val="both"/>
        <w:rPr>
          <w:rFonts w:ascii="Garamond" w:hAnsi="Garamond" w:cstheme="majorBidi"/>
        </w:rPr>
      </w:pPr>
      <w:r w:rsidRPr="002128A6">
        <w:rPr>
          <w:rFonts w:ascii="Garamond" w:hAnsi="Garamond" w:cstheme="majorBidi"/>
        </w:rPr>
        <w:t>Lista e shkurtimeve</w:t>
      </w:r>
    </w:p>
    <w:p w14:paraId="3897455E" w14:textId="21CD89A0" w:rsidR="00407F50" w:rsidRPr="002128A6" w:rsidRDefault="004D6947" w:rsidP="0025426C">
      <w:pPr>
        <w:spacing w:after="0" w:line="240" w:lineRule="auto"/>
        <w:ind w:firstLine="284"/>
        <w:jc w:val="both"/>
        <w:rPr>
          <w:rFonts w:ascii="Garamond" w:hAnsi="Garamond" w:cstheme="majorBidi"/>
        </w:rPr>
      </w:pPr>
      <w:r w:rsidRPr="002128A6">
        <w:rPr>
          <w:rFonts w:ascii="Garamond" w:hAnsi="Garamond" w:cstheme="majorBidi"/>
        </w:rPr>
        <w:t xml:space="preserve">Pjesa </w:t>
      </w:r>
      <w:r w:rsidR="003A6D4E" w:rsidRPr="002128A6">
        <w:rPr>
          <w:rFonts w:ascii="Garamond" w:hAnsi="Garamond" w:cstheme="majorBidi"/>
        </w:rPr>
        <w:t>I: konteksti strategjik</w:t>
      </w:r>
    </w:p>
    <w:p w14:paraId="1E4D0A22" w14:textId="09361A6A" w:rsidR="00407F50" w:rsidRPr="002128A6" w:rsidRDefault="003A6D4E" w:rsidP="0025426C">
      <w:pPr>
        <w:spacing w:after="0" w:line="240" w:lineRule="auto"/>
        <w:ind w:firstLine="284"/>
        <w:jc w:val="both"/>
        <w:rPr>
          <w:rFonts w:ascii="Garamond" w:hAnsi="Garamond" w:cstheme="majorBidi"/>
        </w:rPr>
      </w:pPr>
      <w:r w:rsidRPr="002128A6">
        <w:rPr>
          <w:rFonts w:ascii="Garamond" w:hAnsi="Garamond" w:cstheme="majorBidi"/>
        </w:rPr>
        <w:t>1. Hyrja dhe qëllimi i dokumentit strategjik</w:t>
      </w:r>
    </w:p>
    <w:p w14:paraId="0C8A6BCF" w14:textId="4450EC60" w:rsidR="00407F50" w:rsidRPr="002128A6" w:rsidRDefault="003A6D4E" w:rsidP="0025426C">
      <w:pPr>
        <w:spacing w:after="0" w:line="240" w:lineRule="auto"/>
        <w:ind w:firstLine="284"/>
        <w:jc w:val="both"/>
        <w:rPr>
          <w:rFonts w:ascii="Garamond" w:hAnsi="Garamond" w:cstheme="majorBidi"/>
        </w:rPr>
      </w:pPr>
      <w:r w:rsidRPr="002128A6">
        <w:rPr>
          <w:rFonts w:ascii="Garamond" w:hAnsi="Garamond" w:cstheme="majorBidi"/>
        </w:rPr>
        <w:t>1.2 Vizioni dhe parimet udhëheqëse të strategjisë</w:t>
      </w:r>
    </w:p>
    <w:p w14:paraId="3556932E" w14:textId="7538D076" w:rsidR="00407F50" w:rsidRPr="002128A6" w:rsidRDefault="003A6D4E" w:rsidP="0025426C">
      <w:pPr>
        <w:spacing w:after="0" w:line="240" w:lineRule="auto"/>
        <w:ind w:firstLine="284"/>
        <w:jc w:val="both"/>
        <w:rPr>
          <w:rFonts w:ascii="Garamond" w:hAnsi="Garamond" w:cstheme="majorBidi"/>
        </w:rPr>
      </w:pPr>
      <w:r w:rsidRPr="002128A6">
        <w:rPr>
          <w:rFonts w:ascii="Garamond" w:hAnsi="Garamond" w:cstheme="majorBidi"/>
        </w:rPr>
        <w:t>1.3 Metodologjia</w:t>
      </w:r>
    </w:p>
    <w:p w14:paraId="55592147" w14:textId="2A2197EA" w:rsidR="00407F50" w:rsidRPr="002128A6" w:rsidRDefault="003A6D4E" w:rsidP="0025426C">
      <w:pPr>
        <w:spacing w:after="0" w:line="240" w:lineRule="auto"/>
        <w:ind w:firstLine="284"/>
        <w:jc w:val="both"/>
        <w:rPr>
          <w:rFonts w:ascii="Garamond" w:hAnsi="Garamond" w:cstheme="majorBidi"/>
        </w:rPr>
      </w:pPr>
      <w:r w:rsidRPr="002128A6">
        <w:rPr>
          <w:rFonts w:ascii="Garamond" w:hAnsi="Garamond" w:cstheme="majorBidi"/>
        </w:rPr>
        <w:t>1.4 Analiza e rreziqeve, arritjet dhe mësimet e nxjerra</w:t>
      </w:r>
    </w:p>
    <w:p w14:paraId="575E8B44" w14:textId="22132B69"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Krimet në fushën e narkotikëve</w:t>
      </w:r>
    </w:p>
    <w:p w14:paraId="61118DD0" w14:textId="19A6AE19"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Pavarësisht rënies së prodhimit të brendshëm të kanabisit si rezultat i presionit të ushtruar nga agjencitë e zbatimit të ligjit dhe intensifikimit të masave monitoruese, fenomeni vijon të mbetet një kërcënim me potencial riaktivizimi. </w:t>
      </w:r>
    </w:p>
    <w:p w14:paraId="797A43CB" w14:textId="140B0D16"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Korrupsioni </w:t>
      </w:r>
    </w:p>
    <w:p w14:paraId="6287BDC7" w14:textId="21ABF657"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Pastrimi i parasë </w:t>
      </w:r>
    </w:p>
    <w:p w14:paraId="0C885F07" w14:textId="374461D5"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Krimet kibernetike </w:t>
      </w:r>
    </w:p>
    <w:p w14:paraId="66B239F3" w14:textId="5D238430"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Ndërhyrjet në mënyrë të paligjshme në të dhënat kompjuterike </w:t>
      </w:r>
    </w:p>
    <w:p w14:paraId="5E661823" w14:textId="7A7BBB07"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Mashtrimet </w:t>
      </w:r>
      <w:r w:rsidR="008F549F" w:rsidRPr="002128A6">
        <w:rPr>
          <w:rFonts w:ascii="Garamond" w:hAnsi="Garamond" w:cstheme="majorBidi"/>
          <w:i/>
          <w:iCs/>
        </w:rPr>
        <w:t>online</w:t>
      </w:r>
      <w:r w:rsidRPr="002128A6">
        <w:rPr>
          <w:rFonts w:ascii="Garamond" w:hAnsi="Garamond" w:cstheme="majorBidi"/>
        </w:rPr>
        <w:t xml:space="preserve"> </w:t>
      </w:r>
    </w:p>
    <w:p w14:paraId="0DB8D008" w14:textId="65E05D71"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Dhënia e ndihmës për kalime të paligjshme të kufirit </w:t>
      </w:r>
    </w:p>
    <w:p w14:paraId="06118A2B" w14:textId="08A3DF75"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Krimet </w:t>
      </w:r>
      <w:r w:rsidR="00A33C10" w:rsidRPr="002128A6">
        <w:rPr>
          <w:rFonts w:ascii="Garamond" w:hAnsi="Garamond" w:cstheme="majorBidi"/>
        </w:rPr>
        <w:t xml:space="preserve">mjedisore </w:t>
      </w:r>
    </w:p>
    <w:p w14:paraId="69EE3D21" w14:textId="4A41D9E0"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1.5 </w:t>
      </w:r>
      <w:r w:rsidR="00A33C10" w:rsidRPr="002128A6">
        <w:rPr>
          <w:rFonts w:ascii="Garamond" w:hAnsi="Garamond" w:cstheme="majorBidi"/>
        </w:rPr>
        <w:t xml:space="preserve">Korniza institucionale në fuqi, lidhja me dokumentet strategjike dhe prioritetet </w:t>
      </w:r>
    </w:p>
    <w:p w14:paraId="73AC0CF4" w14:textId="49A1C25B"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Lidhjet me strategji të tjera sektoriale dhe dokumente vlerësimi të rrezikut</w:t>
      </w:r>
    </w:p>
    <w:p w14:paraId="2A79D10C" w14:textId="52F2E635" w:rsidR="00407F50" w:rsidRPr="002128A6" w:rsidRDefault="00A33C10" w:rsidP="0025426C">
      <w:pPr>
        <w:spacing w:after="0" w:line="240" w:lineRule="auto"/>
        <w:ind w:firstLine="284"/>
        <w:jc w:val="both"/>
        <w:rPr>
          <w:rFonts w:ascii="Garamond" w:hAnsi="Garamond" w:cstheme="majorBidi"/>
        </w:rPr>
      </w:pPr>
      <w:r w:rsidRPr="002128A6">
        <w:rPr>
          <w:rFonts w:ascii="Garamond" w:hAnsi="Garamond" w:cstheme="majorBidi"/>
        </w:rPr>
        <w:t xml:space="preserve">Pjesa </w:t>
      </w:r>
      <w:r w:rsidR="00407F50" w:rsidRPr="002128A6">
        <w:rPr>
          <w:rFonts w:ascii="Garamond" w:hAnsi="Garamond" w:cstheme="majorBidi"/>
        </w:rPr>
        <w:t>II:</w:t>
      </w:r>
      <w:r w:rsidR="00F54824" w:rsidRPr="002128A6">
        <w:rPr>
          <w:rFonts w:ascii="Garamond" w:hAnsi="Garamond" w:cstheme="majorBidi"/>
        </w:rPr>
        <w:t xml:space="preserve"> </w:t>
      </w:r>
      <w:r w:rsidRPr="002128A6">
        <w:rPr>
          <w:rFonts w:ascii="Garamond" w:hAnsi="Garamond" w:cstheme="majorBidi"/>
        </w:rPr>
        <w:t xml:space="preserve">Qëllimet politike dhe objektivat specifike të dokumentit strategjik </w:t>
      </w:r>
    </w:p>
    <w:p w14:paraId="1E557C1F" w14:textId="7BE343B8"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lastRenderedPageBreak/>
        <w:t xml:space="preserve">2.1 </w:t>
      </w:r>
      <w:r w:rsidR="00A33C10" w:rsidRPr="002128A6">
        <w:rPr>
          <w:rFonts w:ascii="Garamond" w:hAnsi="Garamond" w:cstheme="majorBidi"/>
        </w:rPr>
        <w:t xml:space="preserve">Qëllimi i politikës I: parandalimi i krimit të organizuar dhe krimeve të rënda </w:t>
      </w:r>
    </w:p>
    <w:p w14:paraId="50878508" w14:textId="63936952"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1.1:</w:t>
      </w:r>
      <w:r w:rsidR="00F54824" w:rsidRPr="002128A6">
        <w:rPr>
          <w:rFonts w:ascii="Garamond" w:hAnsi="Garamond" w:cstheme="majorBidi"/>
        </w:rPr>
        <w:t xml:space="preserve"> </w:t>
      </w:r>
      <w:r w:rsidRPr="002128A6">
        <w:rPr>
          <w:rFonts w:ascii="Garamond" w:hAnsi="Garamond" w:cstheme="majorBidi"/>
        </w:rPr>
        <w:t xml:space="preserve">Rritja e qëndrueshmërisë publike dhe institucionale ndaj krimit të organizuar përmes përmirësimit të ndërgjegjësimit, njohurive dhe angazhimit proaktiv </w:t>
      </w:r>
    </w:p>
    <w:p w14:paraId="7A076097" w14:textId="5D1BFAAD"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1.2:</w:t>
      </w:r>
      <w:r w:rsidR="00F54824" w:rsidRPr="002128A6">
        <w:rPr>
          <w:rFonts w:ascii="Garamond" w:hAnsi="Garamond" w:cstheme="majorBidi"/>
        </w:rPr>
        <w:t xml:space="preserve"> </w:t>
      </w:r>
      <w:r w:rsidRPr="002128A6">
        <w:rPr>
          <w:rFonts w:ascii="Garamond" w:hAnsi="Garamond" w:cstheme="majorBidi"/>
        </w:rPr>
        <w:t xml:space="preserve">Reduktimi i cenueshmërisë së komuniteteve me </w:t>
      </w:r>
      <w:r w:rsidR="00327B5D" w:rsidRPr="002128A6">
        <w:rPr>
          <w:rFonts w:ascii="Garamond" w:hAnsi="Garamond" w:cstheme="majorBidi"/>
        </w:rPr>
        <w:t xml:space="preserve">rrezik, </w:t>
      </w:r>
      <w:r w:rsidRPr="002128A6">
        <w:rPr>
          <w:rFonts w:ascii="Garamond" w:hAnsi="Garamond" w:cstheme="majorBidi"/>
        </w:rPr>
        <w:t xml:space="preserve">duke përmirësuar aksesin në mekanizmat e mbështetjes sociale, ekonomike dhe të riintegrimit </w:t>
      </w:r>
    </w:p>
    <w:p w14:paraId="08117526" w14:textId="52EB5304"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1.3: Forcimi i sigurisë dhe i mbrojtjes së individëve me rrezik, përfshirë dëshmitarët, bashkëpunëtorët e drejtësisë, përmes standardeve të mbrojtjes të harmonizuara me ato të BE-së </w:t>
      </w:r>
    </w:p>
    <w:p w14:paraId="20C7E2B0" w14:textId="1F4B7884"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1.4: Rritja e profesionalizmit, kapacitetit teknologjik dhe efikasitetit operacional të institucioneve ligjzbatuese dhe të drejtësisë </w:t>
      </w:r>
    </w:p>
    <w:p w14:paraId="2F503009" w14:textId="3D8F065F"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1.5: Reduktimi i stimujve dhe mundësive financiare për krimin e organizuar nëpërmjet forcimit të kontrolleve ekonomike dhe ndërprerjes së burimeve të financimit </w:t>
      </w:r>
    </w:p>
    <w:p w14:paraId="324FA8A8" w14:textId="1B784772"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1.6: Zbatimi i efektshëm i qasjes administrative për të parandaluar infiltrimin e krimit të organizuar në ekonomi dhe në administratën publike 63</w:t>
      </w:r>
    </w:p>
    <w:p w14:paraId="3505F146" w14:textId="22A4A5F8"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2.2 QËLLIMI I POLITIKËS II: NDJEKJA PENALE DHE GODITJA E KRIMIT TË ORGANIZUAR DHE KRIMEVE TË RËNDA </w:t>
      </w:r>
    </w:p>
    <w:p w14:paraId="4005E5C5" w14:textId="2D1C9C3F"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2.1: Reduktimi i disponueshmërisë, prodhimit dhe trafikimit të narkotikëve përmes forcimit të zbulimit, hetimit dhe koordinimit ndërinstitucional 67</w:t>
      </w:r>
    </w:p>
    <w:p w14:paraId="3D4C7A27" w14:textId="521F6973"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2.2: Reduktimi i ndjeshëm i trafikimit, duke rritur zbulimin, goditjen e rrjeteve kriminale dhe forcimin e kontrolleve kufitare dhe kapaciteteve hetimore </w:t>
      </w:r>
    </w:p>
    <w:p w14:paraId="39F6FDDD" w14:textId="7388F78C"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2.3: Forcimi i kapaciteteve kombëtare për zbulimin, hetimin dhe ndjekjen penale të krimit ekonomik dhe financiar, që rezulton në rritje të sekuestrimeve dhe ulje të pandëshkueshmërisë </w:t>
      </w:r>
    </w:p>
    <w:p w14:paraId="5375DD01" w14:textId="07F3F22B"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2.4: Rritja e kapaciteteve kombëtare në parandalimin, zbulimin dhe ndjekjen penale të krimit kibernetik, përmes teknologjisë së përparuar, aftësive të specializuara dhe bashkëpunimit ndërkombëtar </w:t>
      </w:r>
    </w:p>
    <w:p w14:paraId="6BAC4168" w14:textId="665531D8"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2.5: Shërbime kriminalistike të akredituara dhe të cilësisë së lartë, të cilat garantojnë integritetin, besueshmërinë dhe pranueshmërinë e provave </w:t>
      </w:r>
    </w:p>
    <w:p w14:paraId="4A562F03" w14:textId="5D1AE53B"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2.6: Rritja e efektivitetit në gjurmimin, sekuestrim, konfiskimin dhe ripërdorimin e aseteve, duke hequr sistematikisht të ardhurat kriminale dhe duke i riinvestuar për dobi publike </w:t>
      </w:r>
    </w:p>
    <w:p w14:paraId="67566639" w14:textId="664E1786"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2.7: Përmirësimi i matshëm në hetimet dhe ndjekjet penale të udhëheqësve dhe anëtarëve të strukturave të krimit të organizuar, e demonstruar me rritjen e dënimeve të rënda dhe ekzekutimit të vendimeve gjyqësore </w:t>
      </w:r>
    </w:p>
    <w:p w14:paraId="789C7444" w14:textId="7E20C9E0"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2.8: 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p w14:paraId="2525538F" w14:textId="02C74162"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2.9: Rritja efektivitetit të ndjekjes ndërkombëtare të personave të kërkuar, e demonstruar përmes normave më të larta të arrestimit dhe ekzekutimit në kohë të procedurave të ekstradimit </w:t>
      </w:r>
    </w:p>
    <w:p w14:paraId="24035C5C" w14:textId="05B21861"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2.3</w:t>
      </w:r>
      <w:r w:rsidR="00F54824" w:rsidRPr="002128A6">
        <w:rPr>
          <w:rFonts w:ascii="Garamond" w:hAnsi="Garamond" w:cstheme="majorBidi"/>
        </w:rPr>
        <w:t xml:space="preserve"> </w:t>
      </w:r>
      <w:r w:rsidRPr="002128A6">
        <w:rPr>
          <w:rFonts w:ascii="Garamond" w:hAnsi="Garamond" w:cstheme="majorBidi"/>
        </w:rPr>
        <w:t xml:space="preserve">QËLLIMI I POLITIKËS III: BASHKËPUNIMI KOMBËTAR DHE NDËRKOMBËTAR </w:t>
      </w:r>
    </w:p>
    <w:p w14:paraId="2FFAECDF" w14:textId="19EBA7C8"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 xml:space="preserve">3.1: Forcimi i bashkëpunimit policor ndërkombëtar përmes rritjes së shkëmbimit të informacionit, operacioneve të përbashkëta, dhe ndërprerjes ndërkufitare të krimit të organizuar </w:t>
      </w:r>
    </w:p>
    <w:p w14:paraId="485DEA5F" w14:textId="18A0FC22"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Objektivi </w:t>
      </w:r>
      <w:r w:rsidR="00F267CE" w:rsidRPr="002128A6">
        <w:rPr>
          <w:rFonts w:ascii="Garamond" w:hAnsi="Garamond" w:cstheme="majorBidi"/>
        </w:rPr>
        <w:t xml:space="preserve">specifik </w:t>
      </w:r>
      <w:r w:rsidRPr="002128A6">
        <w:rPr>
          <w:rFonts w:ascii="Garamond" w:hAnsi="Garamond" w:cstheme="majorBidi"/>
        </w:rPr>
        <w:t>3.2: Përmirësimi i efektivitetit të bashkëpunimit gjyqësor ndërkombëtar</w:t>
      </w:r>
      <w:r w:rsidR="00F54824" w:rsidRPr="002128A6">
        <w:rPr>
          <w:rFonts w:ascii="Garamond" w:hAnsi="Garamond" w:cstheme="majorBidi"/>
        </w:rPr>
        <w:t xml:space="preserve"> </w:t>
      </w:r>
      <w:r w:rsidRPr="002128A6">
        <w:rPr>
          <w:rFonts w:ascii="Garamond" w:hAnsi="Garamond" w:cstheme="majorBidi"/>
        </w:rPr>
        <w:t xml:space="preserve">përmes shpejtimit të shkëmbimit të informacionit, forcimit të ndjekjes së çështjeve dhe rritjes së ekzekutimit të vendimeve gjyqësore të huaja </w:t>
      </w:r>
    </w:p>
    <w:p w14:paraId="55F523AA" w14:textId="4B773BF0"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PJESA III: ZBATIMI, PËRGJEGJËSIA E INSTITUCIONEVE, RAPORTIMI DHE MONITORIMI </w:t>
      </w:r>
    </w:p>
    <w:p w14:paraId="386612D7" w14:textId="0569B053"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lastRenderedPageBreak/>
        <w:t xml:space="preserve">3.1 Përgjegjësia e institucioneve </w:t>
      </w:r>
    </w:p>
    <w:p w14:paraId="3EED9307" w14:textId="458C1759"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3.2. Llogaridhënia, raportimi dhe monitorimi </w:t>
      </w:r>
    </w:p>
    <w:p w14:paraId="3B2E53FA" w14:textId="0A78C896"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Llogaridhënia </w:t>
      </w:r>
    </w:p>
    <w:p w14:paraId="7B586EE4" w14:textId="4E2405BF"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Monitorimi </w:t>
      </w:r>
    </w:p>
    <w:p w14:paraId="0AA30F33" w14:textId="5CE970A9"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Zbatimi i përgjegjshëm ndaj gjinisë </w:t>
      </w:r>
    </w:p>
    <w:p w14:paraId="2C8AE06F" w14:textId="70A5B0F1"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Angazhimi dhe Koordinimi i Asistencës së Huaj </w:t>
      </w:r>
    </w:p>
    <w:p w14:paraId="66D0D20C" w14:textId="5A9E7F23"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Raportimi </w:t>
      </w:r>
    </w:p>
    <w:p w14:paraId="7416FA63" w14:textId="0BBBA549"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PJESA IV: ANALIZA BUXHETORE </w:t>
      </w:r>
    </w:p>
    <w:p w14:paraId="3090949D" w14:textId="521A8A09"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Analiza Narrative e Kostove Kapitale </w:t>
      </w:r>
    </w:p>
    <w:p w14:paraId="35A20D33" w14:textId="6B9DD284"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I. Objektivi Specifik 1.2 </w:t>
      </w:r>
      <w:r w:rsidR="009E1423" w:rsidRPr="002128A6">
        <w:rPr>
          <w:rFonts w:ascii="Garamond" w:hAnsi="Garamond" w:cstheme="majorBidi"/>
        </w:rPr>
        <w:t>–</w:t>
      </w:r>
      <w:r w:rsidRPr="002128A6">
        <w:rPr>
          <w:rFonts w:ascii="Garamond" w:hAnsi="Garamond" w:cstheme="majorBidi"/>
        </w:rPr>
        <w:t xml:space="preserve"> Reduktimi i cenueshmërisë së komuniteteve me risk duke përmirësuar aksesin në mekanizmat e mbështetjes sociale, ekonomike dhe të riintegrimit </w:t>
      </w:r>
    </w:p>
    <w:p w14:paraId="24E11FEA" w14:textId="7A162BD3"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II. Objektivi Specifik 1.4 </w:t>
      </w:r>
      <w:r w:rsidR="009E1423" w:rsidRPr="002128A6">
        <w:rPr>
          <w:rFonts w:ascii="Garamond" w:hAnsi="Garamond" w:cstheme="majorBidi"/>
        </w:rPr>
        <w:t>–</w:t>
      </w:r>
      <w:r w:rsidR="00F54824" w:rsidRPr="002128A6">
        <w:rPr>
          <w:rFonts w:ascii="Garamond" w:hAnsi="Garamond" w:cstheme="majorBidi"/>
        </w:rPr>
        <w:t xml:space="preserve"> </w:t>
      </w:r>
      <w:r w:rsidRPr="002128A6">
        <w:rPr>
          <w:rFonts w:ascii="Garamond" w:hAnsi="Garamond" w:cstheme="majorBidi"/>
        </w:rPr>
        <w:t xml:space="preserve">Rritja e profesionalizmit, kapacitetit teknologjik dhe efikasitetit operacional të institucioneve ligjzbatuese dhe të drejtësisë </w:t>
      </w:r>
    </w:p>
    <w:p w14:paraId="6B922B4C" w14:textId="0B18710F"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III. Objektivi Specifik 1.5 </w:t>
      </w:r>
      <w:r w:rsidR="009E1423" w:rsidRPr="002128A6">
        <w:rPr>
          <w:rFonts w:ascii="Garamond" w:hAnsi="Garamond" w:cstheme="majorBidi"/>
        </w:rPr>
        <w:t>–</w:t>
      </w:r>
      <w:r w:rsidRPr="002128A6">
        <w:rPr>
          <w:rFonts w:ascii="Garamond" w:hAnsi="Garamond" w:cstheme="majorBidi"/>
        </w:rPr>
        <w:t xml:space="preserve"> Reduktimi i stimujve dhe mundësive financiare për krimin e organizuar nëpërmjet forcimit të kontrolleve ekonomike dhe ndërprerjes së burimeve të financimit </w:t>
      </w:r>
    </w:p>
    <w:p w14:paraId="6193F3E6" w14:textId="5E3F8A29"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IV. Objektivi Specifik 2.3 </w:t>
      </w:r>
      <w:r w:rsidR="009E1423" w:rsidRPr="002128A6">
        <w:rPr>
          <w:rFonts w:ascii="Garamond" w:hAnsi="Garamond" w:cstheme="majorBidi"/>
        </w:rPr>
        <w:t>–</w:t>
      </w:r>
      <w:r w:rsidRPr="002128A6">
        <w:rPr>
          <w:rFonts w:ascii="Garamond" w:hAnsi="Garamond" w:cstheme="majorBidi"/>
        </w:rPr>
        <w:t xml:space="preserve"> Forcimi i kapaciteteve kombëtare për zbulimin, hetimin dhe ndjekjen penale të krimit ekonomik dhe financiar, që rezulton në rritje të sekuestrimeve dhe ulje të pandëshkueshmërisë </w:t>
      </w:r>
    </w:p>
    <w:p w14:paraId="0400B0F9" w14:textId="491A0015"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V. Objektivi Specifik 2.5 </w:t>
      </w:r>
      <w:r w:rsidR="009E1423" w:rsidRPr="002128A6">
        <w:rPr>
          <w:rFonts w:ascii="Garamond" w:hAnsi="Garamond" w:cstheme="majorBidi"/>
        </w:rPr>
        <w:t>–</w:t>
      </w:r>
      <w:r w:rsidRPr="002128A6">
        <w:rPr>
          <w:rFonts w:ascii="Garamond" w:hAnsi="Garamond" w:cstheme="majorBidi"/>
        </w:rPr>
        <w:t xml:space="preserve"> Shërbime kriminalistike të akredituara dhe të cilësisë së lartë, të cilat garantojnë integritetin, besueshmërinë dhe pranueshmërinë e provave </w:t>
      </w:r>
    </w:p>
    <w:p w14:paraId="299201F2" w14:textId="236AFD34"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VI. Objektivi Specifik 2.6 </w:t>
      </w:r>
      <w:r w:rsidR="009E1423" w:rsidRPr="002128A6">
        <w:rPr>
          <w:rFonts w:ascii="Garamond" w:hAnsi="Garamond" w:cstheme="majorBidi"/>
        </w:rPr>
        <w:t>–</w:t>
      </w:r>
      <w:r w:rsidRPr="002128A6">
        <w:rPr>
          <w:rFonts w:ascii="Garamond" w:hAnsi="Garamond" w:cstheme="majorBidi"/>
        </w:rPr>
        <w:t xml:space="preserve"> </w:t>
      </w:r>
      <w:r w:rsidR="009E1423" w:rsidRPr="002128A6">
        <w:rPr>
          <w:rFonts w:ascii="Garamond" w:hAnsi="Garamond" w:cstheme="majorBidi"/>
        </w:rPr>
        <w:t xml:space="preserve">Rritja </w:t>
      </w:r>
      <w:r w:rsidRPr="002128A6">
        <w:rPr>
          <w:rFonts w:ascii="Garamond" w:hAnsi="Garamond" w:cstheme="majorBidi"/>
        </w:rPr>
        <w:t xml:space="preserve">e efektivitetit në gjurmimin, ngrirjen, konfiskimin dhe ripërdorimin e aseteve, duke hequr sistematikisht të ardhurat kriminale dhe duke i riinvestuar për dobi publike </w:t>
      </w:r>
    </w:p>
    <w:p w14:paraId="6161714F" w14:textId="6B5CF626"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VII. Objektivi Specifik 2.7 </w:t>
      </w:r>
      <w:r w:rsidR="009E1423" w:rsidRPr="002128A6">
        <w:rPr>
          <w:rFonts w:ascii="Garamond" w:hAnsi="Garamond" w:cstheme="majorBidi"/>
        </w:rPr>
        <w:t>–</w:t>
      </w:r>
      <w:r w:rsidRPr="002128A6">
        <w:rPr>
          <w:rFonts w:ascii="Garamond" w:hAnsi="Garamond" w:cstheme="majorBidi"/>
        </w:rPr>
        <w:t xml:space="preserve"> Përmirësimi i matshëm në hetimet dhe ndjekjet penale të udhëheqësve dhe anëtarëve të strukturave të krimit të organizuar, e demonstruar me rritjen e dënimeve të rënda dhe ekzekutimit të vendimeve gjyqësore </w:t>
      </w:r>
    </w:p>
    <w:p w14:paraId="7244E014" w14:textId="0E415120"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Aneksi 1 </w:t>
      </w:r>
      <w:r w:rsidR="00627A67" w:rsidRPr="002128A6">
        <w:rPr>
          <w:rFonts w:ascii="Garamond" w:hAnsi="Garamond" w:cstheme="majorBidi"/>
        </w:rPr>
        <w:t xml:space="preserve">- Korniza ligjore </w:t>
      </w:r>
    </w:p>
    <w:p w14:paraId="57554D2F" w14:textId="4E121C1F"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ANEKSI 2: Plani i Veprimit për periudhën 2026</w:t>
      </w:r>
      <w:r w:rsidR="004D6947" w:rsidRPr="002128A6">
        <w:rPr>
          <w:rFonts w:ascii="Garamond" w:hAnsi="Garamond" w:cstheme="majorBidi"/>
        </w:rPr>
        <w:t>–</w:t>
      </w:r>
      <w:r w:rsidRPr="002128A6">
        <w:rPr>
          <w:rFonts w:ascii="Garamond" w:hAnsi="Garamond" w:cstheme="majorBidi"/>
        </w:rPr>
        <w:t xml:space="preserve">2028 </w:t>
      </w:r>
    </w:p>
    <w:p w14:paraId="7E7EEFE4" w14:textId="685BFF12" w:rsidR="00407F50" w:rsidRPr="002128A6" w:rsidRDefault="00407F50" w:rsidP="0025426C">
      <w:pPr>
        <w:spacing w:after="0" w:line="240" w:lineRule="auto"/>
        <w:ind w:firstLine="284"/>
        <w:jc w:val="both"/>
        <w:rPr>
          <w:rFonts w:ascii="Garamond" w:hAnsi="Garamond" w:cstheme="majorBidi"/>
        </w:rPr>
      </w:pPr>
      <w:r w:rsidRPr="002128A6">
        <w:rPr>
          <w:rFonts w:ascii="Garamond" w:hAnsi="Garamond" w:cstheme="majorBidi"/>
        </w:rPr>
        <w:t xml:space="preserve">ANEKSI 3: Pasaporta e treguesve të performancës </w:t>
      </w:r>
    </w:p>
    <w:p w14:paraId="79846752" w14:textId="33A08CE4" w:rsidR="00407F50" w:rsidRPr="002128A6" w:rsidRDefault="00407F50" w:rsidP="0025426C">
      <w:pPr>
        <w:spacing w:after="0" w:line="240" w:lineRule="auto"/>
        <w:ind w:firstLine="284"/>
        <w:jc w:val="both"/>
        <w:rPr>
          <w:rFonts w:ascii="Garamond" w:hAnsi="Garamond" w:cstheme="majorBidi"/>
        </w:rPr>
      </w:pPr>
    </w:p>
    <w:p w14:paraId="0505DEC9" w14:textId="601DC20B" w:rsidR="00E4424E" w:rsidRPr="002128A6" w:rsidRDefault="00EA33E4" w:rsidP="009E1423">
      <w:pPr>
        <w:pStyle w:val="Heading1"/>
        <w:spacing w:before="0" w:after="0" w:line="240" w:lineRule="auto"/>
        <w:ind w:firstLine="284"/>
        <w:jc w:val="both"/>
        <w:rPr>
          <w:rFonts w:ascii="Garamond" w:eastAsia="Calibri" w:hAnsi="Garamond"/>
          <w:color w:val="auto"/>
          <w:sz w:val="24"/>
          <w:szCs w:val="24"/>
        </w:rPr>
      </w:pPr>
      <w:bookmarkStart w:id="4" w:name="_Toc227770703"/>
      <w:bookmarkStart w:id="5" w:name="_Toc233371564"/>
      <w:bookmarkEnd w:id="2"/>
      <w:bookmarkEnd w:id="3"/>
      <w:r w:rsidRPr="002128A6">
        <w:rPr>
          <w:rFonts w:ascii="Garamond" w:hAnsi="Garamond"/>
          <w:color w:val="auto"/>
          <w:sz w:val="24"/>
          <w:szCs w:val="24"/>
        </w:rPr>
        <w:t>LISTA E SHKURTIMEVE</w:t>
      </w:r>
      <w:bookmarkEnd w:id="4"/>
      <w:bookmarkEnd w:id="5"/>
    </w:p>
    <w:tbl>
      <w:tblPr>
        <w:tblW w:w="9360" w:type="dxa"/>
        <w:tblInd w:w="180" w:type="dxa"/>
        <w:tblLook w:val="04A0" w:firstRow="1" w:lastRow="0" w:firstColumn="1" w:lastColumn="0" w:noHBand="0" w:noVBand="1"/>
      </w:tblPr>
      <w:tblGrid>
        <w:gridCol w:w="1291"/>
        <w:gridCol w:w="7765"/>
        <w:gridCol w:w="294"/>
        <w:gridCol w:w="10"/>
      </w:tblGrid>
      <w:tr w:rsidR="00F54824" w:rsidRPr="002128A6" w14:paraId="33FA0684" w14:textId="77777777" w:rsidTr="00EE772D">
        <w:trPr>
          <w:gridAfter w:val="1"/>
          <w:wAfter w:w="10" w:type="dxa"/>
          <w:trHeight w:val="20"/>
        </w:trPr>
        <w:tc>
          <w:tcPr>
            <w:tcW w:w="1199" w:type="dxa"/>
          </w:tcPr>
          <w:p w14:paraId="13C8998A" w14:textId="0A628C30" w:rsidR="00290E47" w:rsidRPr="002128A6" w:rsidRDefault="00290E47" w:rsidP="00F54824">
            <w:pPr>
              <w:spacing w:after="0"/>
              <w:jc w:val="both"/>
              <w:rPr>
                <w:rFonts w:ascii="Garamond" w:hAnsi="Garamond" w:cstheme="majorBidi"/>
              </w:rPr>
            </w:pPr>
            <w:r w:rsidRPr="002128A6">
              <w:rPr>
                <w:rFonts w:ascii="Garamond" w:hAnsi="Garamond" w:cstheme="majorBidi"/>
              </w:rPr>
              <w:t>AAPSK</w:t>
            </w:r>
          </w:p>
        </w:tc>
        <w:tc>
          <w:tcPr>
            <w:tcW w:w="8151" w:type="dxa"/>
            <w:gridSpan w:val="2"/>
          </w:tcPr>
          <w:p w14:paraId="11B6FC4E" w14:textId="716FC82B" w:rsidR="00290E47" w:rsidRPr="002128A6" w:rsidRDefault="00290E47" w:rsidP="00F54824">
            <w:pPr>
              <w:spacing w:after="0"/>
              <w:jc w:val="both"/>
              <w:rPr>
                <w:rFonts w:ascii="Garamond" w:hAnsi="Garamond" w:cstheme="majorBidi"/>
              </w:rPr>
            </w:pPr>
            <w:r w:rsidRPr="002128A6">
              <w:rPr>
                <w:rFonts w:ascii="Garamond" w:hAnsi="Garamond" w:cstheme="majorBidi"/>
              </w:rPr>
              <w:t>Agjencia për Administrimin e Pasurive të Sekuestruara dhe të Konfiskuara</w:t>
            </w:r>
          </w:p>
        </w:tc>
      </w:tr>
      <w:tr w:rsidR="00F54824" w:rsidRPr="002128A6" w14:paraId="6D2C5819" w14:textId="77777777" w:rsidTr="00EE772D">
        <w:trPr>
          <w:gridAfter w:val="1"/>
          <w:wAfter w:w="10" w:type="dxa"/>
          <w:trHeight w:val="20"/>
        </w:trPr>
        <w:tc>
          <w:tcPr>
            <w:tcW w:w="1199" w:type="dxa"/>
          </w:tcPr>
          <w:p w14:paraId="19D8C90D" w14:textId="1F0A97E5" w:rsidR="00290E47" w:rsidRPr="002128A6" w:rsidRDefault="00290E47" w:rsidP="00F54824">
            <w:pPr>
              <w:spacing w:after="0"/>
              <w:jc w:val="both"/>
              <w:rPr>
                <w:rFonts w:ascii="Garamond" w:hAnsi="Garamond" w:cstheme="majorBidi"/>
              </w:rPr>
            </w:pPr>
            <w:r w:rsidRPr="002128A6">
              <w:rPr>
                <w:rFonts w:ascii="Garamond" w:hAnsi="Garamond" w:cstheme="majorBidi"/>
              </w:rPr>
              <w:t>AFIS</w:t>
            </w:r>
          </w:p>
        </w:tc>
        <w:tc>
          <w:tcPr>
            <w:tcW w:w="8151" w:type="dxa"/>
            <w:gridSpan w:val="2"/>
          </w:tcPr>
          <w:p w14:paraId="2CA5BC0F" w14:textId="4F901570" w:rsidR="00290E47" w:rsidRPr="002128A6" w:rsidRDefault="00290E47" w:rsidP="00F54824">
            <w:pPr>
              <w:spacing w:after="0"/>
              <w:jc w:val="both"/>
              <w:rPr>
                <w:rFonts w:ascii="Garamond" w:hAnsi="Garamond" w:cstheme="majorBidi"/>
              </w:rPr>
            </w:pPr>
            <w:r w:rsidRPr="002128A6">
              <w:rPr>
                <w:rFonts w:ascii="Garamond" w:hAnsi="Garamond" w:cstheme="majorBidi"/>
              </w:rPr>
              <w:t>Sistemi i Automatizuar i Identifikimit të Gjurmëve të Gishtave</w:t>
            </w:r>
          </w:p>
        </w:tc>
      </w:tr>
      <w:tr w:rsidR="00F54824" w:rsidRPr="002128A6" w14:paraId="56B9A219" w14:textId="77777777" w:rsidTr="00EE772D">
        <w:trPr>
          <w:gridAfter w:val="1"/>
          <w:wAfter w:w="10" w:type="dxa"/>
          <w:trHeight w:val="20"/>
        </w:trPr>
        <w:tc>
          <w:tcPr>
            <w:tcW w:w="1199" w:type="dxa"/>
          </w:tcPr>
          <w:p w14:paraId="593CB051" w14:textId="609A80CC" w:rsidR="00290E47" w:rsidRPr="002128A6" w:rsidRDefault="00290E47" w:rsidP="00F54824">
            <w:pPr>
              <w:spacing w:after="0"/>
              <w:jc w:val="both"/>
              <w:rPr>
                <w:rFonts w:ascii="Garamond" w:hAnsi="Garamond" w:cstheme="majorBidi"/>
              </w:rPr>
            </w:pPr>
            <w:r w:rsidRPr="002128A6">
              <w:rPr>
                <w:rFonts w:ascii="Garamond" w:hAnsi="Garamond" w:cstheme="majorBidi"/>
              </w:rPr>
              <w:t>AIF</w:t>
            </w:r>
          </w:p>
        </w:tc>
        <w:tc>
          <w:tcPr>
            <w:tcW w:w="8151" w:type="dxa"/>
            <w:gridSpan w:val="2"/>
          </w:tcPr>
          <w:p w14:paraId="0844E95F" w14:textId="55909BFC" w:rsidR="00290E47" w:rsidRPr="002128A6" w:rsidRDefault="00290E47" w:rsidP="00F54824">
            <w:pPr>
              <w:spacing w:after="0"/>
              <w:jc w:val="both"/>
              <w:rPr>
                <w:rFonts w:ascii="Garamond" w:hAnsi="Garamond" w:cstheme="majorBidi"/>
              </w:rPr>
            </w:pPr>
            <w:r w:rsidRPr="002128A6">
              <w:rPr>
                <w:rFonts w:ascii="Garamond" w:hAnsi="Garamond" w:cstheme="majorBidi"/>
              </w:rPr>
              <w:t>Agjencia e Inteligjencës Financiare</w:t>
            </w:r>
          </w:p>
        </w:tc>
      </w:tr>
      <w:tr w:rsidR="00F54824" w:rsidRPr="002128A6" w14:paraId="6DE4A006" w14:textId="77777777" w:rsidTr="00EE772D">
        <w:trPr>
          <w:gridAfter w:val="1"/>
          <w:wAfter w:w="10" w:type="dxa"/>
          <w:trHeight w:val="20"/>
        </w:trPr>
        <w:tc>
          <w:tcPr>
            <w:tcW w:w="1199" w:type="dxa"/>
          </w:tcPr>
          <w:p w14:paraId="2A8C88F4" w14:textId="14E52DBA" w:rsidR="00290E47" w:rsidRPr="002128A6" w:rsidRDefault="00290E47" w:rsidP="00F54824">
            <w:pPr>
              <w:spacing w:after="0"/>
              <w:jc w:val="both"/>
              <w:rPr>
                <w:rFonts w:ascii="Garamond" w:hAnsi="Garamond" w:cstheme="majorBidi"/>
              </w:rPr>
            </w:pPr>
            <w:r w:rsidRPr="002128A6">
              <w:rPr>
                <w:rFonts w:ascii="Garamond" w:hAnsi="Garamond" w:cstheme="majorBidi"/>
              </w:rPr>
              <w:t>AIMS</w:t>
            </w:r>
          </w:p>
        </w:tc>
        <w:tc>
          <w:tcPr>
            <w:tcW w:w="8151" w:type="dxa"/>
            <w:gridSpan w:val="2"/>
          </w:tcPr>
          <w:p w14:paraId="6C6EB362" w14:textId="2DE3C1B8" w:rsidR="00290E47" w:rsidRPr="002128A6" w:rsidRDefault="00290E47" w:rsidP="00F54824">
            <w:pPr>
              <w:spacing w:after="0"/>
              <w:jc w:val="both"/>
              <w:rPr>
                <w:rFonts w:ascii="Garamond" w:hAnsi="Garamond" w:cstheme="majorBidi"/>
              </w:rPr>
            </w:pPr>
            <w:r w:rsidRPr="002128A6">
              <w:rPr>
                <w:rFonts w:ascii="Garamond" w:hAnsi="Garamond" w:cstheme="majorBidi"/>
              </w:rPr>
              <w:t>Agjencia e Inteligjencës dhe Sigurisë së Mbrojtjes</w:t>
            </w:r>
          </w:p>
        </w:tc>
      </w:tr>
      <w:tr w:rsidR="00F54824" w:rsidRPr="002128A6" w14:paraId="01E9C9D3" w14:textId="77777777" w:rsidTr="00EE772D">
        <w:trPr>
          <w:gridAfter w:val="1"/>
          <w:wAfter w:w="10" w:type="dxa"/>
          <w:trHeight w:val="20"/>
        </w:trPr>
        <w:tc>
          <w:tcPr>
            <w:tcW w:w="1199" w:type="dxa"/>
          </w:tcPr>
          <w:p w14:paraId="76DBF5E5" w14:textId="23FD1DF5" w:rsidR="00290E47" w:rsidRPr="002128A6" w:rsidRDefault="00290E47" w:rsidP="00F54824">
            <w:pPr>
              <w:spacing w:after="0"/>
              <w:jc w:val="both"/>
              <w:rPr>
                <w:rFonts w:ascii="Garamond" w:hAnsi="Garamond" w:cstheme="majorBidi"/>
              </w:rPr>
            </w:pPr>
            <w:r w:rsidRPr="002128A6">
              <w:rPr>
                <w:rFonts w:ascii="Garamond" w:hAnsi="Garamond" w:cstheme="majorBidi"/>
              </w:rPr>
              <w:t>AMF</w:t>
            </w:r>
          </w:p>
        </w:tc>
        <w:tc>
          <w:tcPr>
            <w:tcW w:w="8151" w:type="dxa"/>
            <w:gridSpan w:val="2"/>
          </w:tcPr>
          <w:p w14:paraId="6F754BCC" w14:textId="171B6E87" w:rsidR="00290E47" w:rsidRPr="002128A6" w:rsidRDefault="00290E47" w:rsidP="00F54824">
            <w:pPr>
              <w:spacing w:after="0"/>
              <w:jc w:val="both"/>
              <w:rPr>
                <w:rFonts w:ascii="Garamond" w:hAnsi="Garamond" w:cstheme="majorBidi"/>
              </w:rPr>
            </w:pPr>
            <w:r w:rsidRPr="002128A6">
              <w:rPr>
                <w:rFonts w:ascii="Garamond" w:hAnsi="Garamond" w:cstheme="majorBidi"/>
              </w:rPr>
              <w:t>Autoriteti i Mbikëqyrjes Financiare</w:t>
            </w:r>
          </w:p>
        </w:tc>
      </w:tr>
      <w:tr w:rsidR="00F54824" w:rsidRPr="002128A6" w14:paraId="74ABFEC5" w14:textId="77777777" w:rsidTr="00EE772D">
        <w:trPr>
          <w:gridAfter w:val="1"/>
          <w:wAfter w:w="10" w:type="dxa"/>
          <w:trHeight w:val="20"/>
        </w:trPr>
        <w:tc>
          <w:tcPr>
            <w:tcW w:w="1199" w:type="dxa"/>
          </w:tcPr>
          <w:p w14:paraId="00F048BF" w14:textId="52413BEF" w:rsidR="00290E47" w:rsidRPr="002128A6" w:rsidRDefault="00290E47" w:rsidP="00F54824">
            <w:pPr>
              <w:spacing w:after="0"/>
              <w:jc w:val="both"/>
              <w:rPr>
                <w:rFonts w:ascii="Garamond" w:hAnsi="Garamond" w:cstheme="majorBidi"/>
              </w:rPr>
            </w:pPr>
            <w:r w:rsidRPr="002128A6">
              <w:rPr>
                <w:rFonts w:ascii="Garamond" w:hAnsi="Garamond" w:cstheme="majorBidi"/>
              </w:rPr>
              <w:t>ADN</w:t>
            </w:r>
          </w:p>
        </w:tc>
        <w:tc>
          <w:tcPr>
            <w:tcW w:w="8151" w:type="dxa"/>
            <w:gridSpan w:val="2"/>
          </w:tcPr>
          <w:p w14:paraId="1D23777F" w14:textId="77E1DFE9" w:rsidR="00290E47" w:rsidRPr="002128A6" w:rsidRDefault="00290E47" w:rsidP="00F54824">
            <w:pPr>
              <w:spacing w:after="0"/>
              <w:jc w:val="both"/>
              <w:rPr>
                <w:rFonts w:ascii="Garamond" w:hAnsi="Garamond" w:cstheme="majorBidi"/>
              </w:rPr>
            </w:pPr>
            <w:r w:rsidRPr="002128A6">
              <w:rPr>
                <w:rFonts w:ascii="Garamond" w:hAnsi="Garamond" w:cstheme="majorBidi"/>
              </w:rPr>
              <w:t>Acidi Deoksiribonukleik</w:t>
            </w:r>
          </w:p>
        </w:tc>
      </w:tr>
      <w:tr w:rsidR="00F54824" w:rsidRPr="002128A6" w14:paraId="60FFD39E" w14:textId="77777777" w:rsidTr="00EE772D">
        <w:trPr>
          <w:gridAfter w:val="1"/>
          <w:wAfter w:w="10" w:type="dxa"/>
          <w:trHeight w:val="20"/>
        </w:trPr>
        <w:tc>
          <w:tcPr>
            <w:tcW w:w="1199" w:type="dxa"/>
          </w:tcPr>
          <w:p w14:paraId="00AD9CF9"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AKSK</w:t>
            </w:r>
          </w:p>
          <w:p w14:paraId="0559CF1B" w14:textId="1F6BB3C2" w:rsidR="00D226C7" w:rsidRPr="002128A6" w:rsidRDefault="00D226C7" w:rsidP="00F54824">
            <w:pPr>
              <w:spacing w:after="0"/>
              <w:jc w:val="both"/>
              <w:rPr>
                <w:rFonts w:ascii="Garamond" w:hAnsi="Garamond" w:cstheme="majorBidi"/>
              </w:rPr>
            </w:pPr>
            <w:r w:rsidRPr="002128A6">
              <w:rPr>
                <w:rFonts w:ascii="Garamond" w:hAnsi="Garamond" w:cstheme="majorBidi"/>
              </w:rPr>
              <w:t>AMSEVP</w:t>
            </w:r>
          </w:p>
        </w:tc>
        <w:tc>
          <w:tcPr>
            <w:tcW w:w="8151" w:type="dxa"/>
            <w:gridSpan w:val="2"/>
          </w:tcPr>
          <w:p w14:paraId="36EEAC7A"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Agjencia Kombëtare për Sigurinë Kibernetike</w:t>
            </w:r>
          </w:p>
          <w:p w14:paraId="616B0085" w14:textId="29916553" w:rsidR="00D226C7" w:rsidRPr="002128A6" w:rsidRDefault="00D226C7" w:rsidP="00F54824">
            <w:pPr>
              <w:spacing w:after="0"/>
              <w:jc w:val="both"/>
              <w:rPr>
                <w:rFonts w:ascii="Garamond" w:hAnsi="Garamond" w:cstheme="majorBidi"/>
              </w:rPr>
            </w:pPr>
            <w:r w:rsidRPr="002128A6">
              <w:rPr>
                <w:rFonts w:ascii="Garamond" w:hAnsi="Garamond" w:cstheme="majorBidi"/>
              </w:rPr>
              <w:t>Agjencia e Mbikëqyrjes në Sistemin e Ekzekutimit të Vendimeve Penale</w:t>
            </w:r>
            <w:r w:rsidRPr="002128A6">
              <w:rPr>
                <w:rStyle w:val="FootnoteReference"/>
                <w:rFonts w:ascii="Garamond" w:hAnsi="Garamond" w:cstheme="majorBidi"/>
              </w:rPr>
              <w:footnoteReference w:id="2"/>
            </w:r>
          </w:p>
        </w:tc>
      </w:tr>
      <w:tr w:rsidR="00F54824" w:rsidRPr="002128A6" w14:paraId="611F5367" w14:textId="77777777" w:rsidTr="00EE772D">
        <w:trPr>
          <w:gridAfter w:val="1"/>
          <w:wAfter w:w="10" w:type="dxa"/>
          <w:trHeight w:val="20"/>
        </w:trPr>
        <w:tc>
          <w:tcPr>
            <w:tcW w:w="1199" w:type="dxa"/>
          </w:tcPr>
          <w:p w14:paraId="5166446A" w14:textId="2346496A" w:rsidR="00290E47" w:rsidRPr="002128A6" w:rsidRDefault="00290E47" w:rsidP="00F54824">
            <w:pPr>
              <w:spacing w:after="0"/>
              <w:jc w:val="both"/>
              <w:rPr>
                <w:rFonts w:ascii="Garamond" w:hAnsi="Garamond" w:cstheme="majorBidi"/>
              </w:rPr>
            </w:pPr>
            <w:r w:rsidRPr="002128A6">
              <w:rPr>
                <w:rFonts w:ascii="Garamond" w:hAnsi="Garamond" w:cstheme="majorBidi"/>
              </w:rPr>
              <w:t>AS</w:t>
            </w:r>
          </w:p>
        </w:tc>
        <w:tc>
          <w:tcPr>
            <w:tcW w:w="8151" w:type="dxa"/>
            <w:gridSpan w:val="2"/>
          </w:tcPr>
          <w:p w14:paraId="5B5B858D" w14:textId="434ABEBD" w:rsidR="00290E47" w:rsidRPr="002128A6" w:rsidRDefault="00290E47" w:rsidP="00F54824">
            <w:pPr>
              <w:spacing w:after="0"/>
              <w:jc w:val="both"/>
              <w:rPr>
                <w:rFonts w:ascii="Garamond" w:hAnsi="Garamond" w:cstheme="majorBidi"/>
              </w:rPr>
            </w:pPr>
            <w:r w:rsidRPr="002128A6">
              <w:rPr>
                <w:rFonts w:ascii="Garamond" w:hAnsi="Garamond" w:cstheme="majorBidi"/>
              </w:rPr>
              <w:t>Akademia e Sigurisë</w:t>
            </w:r>
          </w:p>
        </w:tc>
      </w:tr>
      <w:tr w:rsidR="00F54824" w:rsidRPr="002128A6" w14:paraId="639CEBC8" w14:textId="77777777" w:rsidTr="00EE772D">
        <w:trPr>
          <w:gridAfter w:val="1"/>
          <w:wAfter w:w="10" w:type="dxa"/>
          <w:trHeight w:val="20"/>
        </w:trPr>
        <w:tc>
          <w:tcPr>
            <w:tcW w:w="1199" w:type="dxa"/>
          </w:tcPr>
          <w:p w14:paraId="09CF86D0" w14:textId="5DABB1FD" w:rsidR="00290E47" w:rsidRPr="002128A6" w:rsidRDefault="00290E47" w:rsidP="00F54824">
            <w:pPr>
              <w:spacing w:after="0"/>
              <w:jc w:val="both"/>
              <w:rPr>
                <w:rFonts w:ascii="Garamond" w:hAnsi="Garamond" w:cstheme="majorBidi"/>
              </w:rPr>
            </w:pPr>
            <w:r w:rsidRPr="002128A6">
              <w:rPr>
                <w:rFonts w:ascii="Garamond" w:hAnsi="Garamond" w:cstheme="majorBidi"/>
              </w:rPr>
              <w:t>BSH</w:t>
            </w:r>
          </w:p>
        </w:tc>
        <w:tc>
          <w:tcPr>
            <w:tcW w:w="8151" w:type="dxa"/>
            <w:gridSpan w:val="2"/>
          </w:tcPr>
          <w:p w14:paraId="79739EB8" w14:textId="6174CE04" w:rsidR="00290E47" w:rsidRPr="002128A6" w:rsidRDefault="00290E47" w:rsidP="00F54824">
            <w:pPr>
              <w:spacing w:after="0"/>
              <w:jc w:val="both"/>
              <w:rPr>
                <w:rFonts w:ascii="Garamond" w:hAnsi="Garamond" w:cstheme="majorBidi"/>
              </w:rPr>
            </w:pPr>
            <w:r w:rsidRPr="002128A6">
              <w:rPr>
                <w:rFonts w:ascii="Garamond" w:hAnsi="Garamond" w:cstheme="majorBidi"/>
              </w:rPr>
              <w:t>Banka e Shqipërisë</w:t>
            </w:r>
          </w:p>
        </w:tc>
      </w:tr>
      <w:tr w:rsidR="00F54824" w:rsidRPr="002128A6" w14:paraId="547CD8BA" w14:textId="77777777" w:rsidTr="00EE772D">
        <w:trPr>
          <w:gridAfter w:val="1"/>
          <w:wAfter w:w="10" w:type="dxa"/>
          <w:trHeight w:val="20"/>
        </w:trPr>
        <w:tc>
          <w:tcPr>
            <w:tcW w:w="1199" w:type="dxa"/>
          </w:tcPr>
          <w:p w14:paraId="160E4A13" w14:textId="63879502" w:rsidR="00290E47" w:rsidRPr="002128A6" w:rsidRDefault="00290E47" w:rsidP="00F54824">
            <w:pPr>
              <w:spacing w:after="0"/>
              <w:jc w:val="both"/>
              <w:rPr>
                <w:rFonts w:ascii="Garamond" w:hAnsi="Garamond" w:cstheme="majorBidi"/>
              </w:rPr>
            </w:pPr>
            <w:r w:rsidRPr="002128A6">
              <w:rPr>
                <w:rFonts w:ascii="Garamond" w:hAnsi="Garamond" w:cstheme="majorBidi"/>
              </w:rPr>
              <w:lastRenderedPageBreak/>
              <w:t>BE</w:t>
            </w:r>
          </w:p>
        </w:tc>
        <w:tc>
          <w:tcPr>
            <w:tcW w:w="8151" w:type="dxa"/>
            <w:gridSpan w:val="2"/>
          </w:tcPr>
          <w:p w14:paraId="3D3C7C64" w14:textId="4DD12287" w:rsidR="00290E47" w:rsidRPr="002128A6" w:rsidRDefault="00290E47" w:rsidP="00F54824">
            <w:pPr>
              <w:spacing w:after="0"/>
              <w:jc w:val="both"/>
              <w:rPr>
                <w:rFonts w:ascii="Garamond" w:hAnsi="Garamond" w:cstheme="majorBidi"/>
              </w:rPr>
            </w:pPr>
            <w:r w:rsidRPr="002128A6">
              <w:rPr>
                <w:rFonts w:ascii="Garamond" w:hAnsi="Garamond" w:cstheme="majorBidi"/>
              </w:rPr>
              <w:t>Bashkimi Evropian</w:t>
            </w:r>
          </w:p>
        </w:tc>
      </w:tr>
      <w:tr w:rsidR="00F54824" w:rsidRPr="002128A6" w14:paraId="5B30C4E4" w14:textId="77777777" w:rsidTr="00EE772D">
        <w:trPr>
          <w:gridAfter w:val="1"/>
          <w:wAfter w:w="10" w:type="dxa"/>
          <w:trHeight w:val="20"/>
        </w:trPr>
        <w:tc>
          <w:tcPr>
            <w:tcW w:w="1199" w:type="dxa"/>
          </w:tcPr>
          <w:p w14:paraId="54932D96" w14:textId="3AB55A14" w:rsidR="00290E47" w:rsidRPr="002128A6" w:rsidRDefault="00290E47" w:rsidP="00F54824">
            <w:pPr>
              <w:spacing w:after="0"/>
              <w:jc w:val="both"/>
              <w:rPr>
                <w:rFonts w:ascii="Garamond" w:hAnsi="Garamond" w:cstheme="majorBidi"/>
              </w:rPr>
            </w:pPr>
            <w:r w:rsidRPr="002128A6">
              <w:rPr>
                <w:rFonts w:ascii="Garamond" w:hAnsi="Garamond" w:cstheme="majorBidi"/>
              </w:rPr>
              <w:t>BKH</w:t>
            </w:r>
          </w:p>
        </w:tc>
        <w:tc>
          <w:tcPr>
            <w:tcW w:w="8151" w:type="dxa"/>
            <w:gridSpan w:val="2"/>
          </w:tcPr>
          <w:p w14:paraId="2D48C16A" w14:textId="6B09A60C" w:rsidR="00290E47" w:rsidRPr="002128A6" w:rsidRDefault="00290E47" w:rsidP="00F54824">
            <w:pPr>
              <w:spacing w:after="0"/>
              <w:jc w:val="both"/>
              <w:rPr>
                <w:rFonts w:ascii="Garamond" w:hAnsi="Garamond" w:cstheme="majorBidi"/>
              </w:rPr>
            </w:pPr>
            <w:r w:rsidRPr="002128A6">
              <w:rPr>
                <w:rFonts w:ascii="Garamond" w:hAnsi="Garamond" w:cstheme="majorBidi"/>
              </w:rPr>
              <w:t>Byroja Kombëtare e Hetimit</w:t>
            </w:r>
          </w:p>
        </w:tc>
      </w:tr>
      <w:tr w:rsidR="00F54824" w:rsidRPr="002128A6" w14:paraId="13E87AFC" w14:textId="77777777" w:rsidTr="00EE772D">
        <w:trPr>
          <w:gridAfter w:val="1"/>
          <w:wAfter w:w="10" w:type="dxa"/>
          <w:trHeight w:val="20"/>
        </w:trPr>
        <w:tc>
          <w:tcPr>
            <w:tcW w:w="1199" w:type="dxa"/>
          </w:tcPr>
          <w:p w14:paraId="78FE404F" w14:textId="258FDC33" w:rsidR="00290E47" w:rsidRPr="002128A6" w:rsidRDefault="00290E47" w:rsidP="00F54824">
            <w:pPr>
              <w:spacing w:after="0"/>
              <w:jc w:val="both"/>
              <w:rPr>
                <w:rFonts w:ascii="Garamond" w:hAnsi="Garamond" w:cstheme="majorBidi"/>
              </w:rPr>
            </w:pPr>
            <w:r w:rsidRPr="002128A6">
              <w:rPr>
                <w:rFonts w:ascii="Garamond" w:hAnsi="Garamond" w:cstheme="majorBidi"/>
              </w:rPr>
              <w:t>DPD</w:t>
            </w:r>
          </w:p>
        </w:tc>
        <w:tc>
          <w:tcPr>
            <w:tcW w:w="8151" w:type="dxa"/>
            <w:gridSpan w:val="2"/>
          </w:tcPr>
          <w:p w14:paraId="4CF5FC9A" w14:textId="516183AF" w:rsidR="00290E47" w:rsidRPr="002128A6" w:rsidRDefault="00290E47" w:rsidP="00F54824">
            <w:pPr>
              <w:spacing w:after="0"/>
              <w:jc w:val="both"/>
              <w:rPr>
                <w:rFonts w:ascii="Garamond" w:hAnsi="Garamond" w:cstheme="majorBidi"/>
              </w:rPr>
            </w:pPr>
            <w:r w:rsidRPr="002128A6">
              <w:rPr>
                <w:rFonts w:ascii="Garamond" w:hAnsi="Garamond" w:cstheme="majorBidi"/>
              </w:rPr>
              <w:t>Drejtoria e Përgjithshme e Doganave</w:t>
            </w:r>
          </w:p>
        </w:tc>
      </w:tr>
      <w:tr w:rsidR="00F54824" w:rsidRPr="002128A6" w14:paraId="5A4CA7C5" w14:textId="77777777" w:rsidTr="00EE772D">
        <w:trPr>
          <w:gridAfter w:val="1"/>
          <w:wAfter w:w="10" w:type="dxa"/>
          <w:trHeight w:val="20"/>
        </w:trPr>
        <w:tc>
          <w:tcPr>
            <w:tcW w:w="1199" w:type="dxa"/>
          </w:tcPr>
          <w:p w14:paraId="58C2E39F" w14:textId="681F16E1" w:rsidR="00290E47" w:rsidRPr="002128A6" w:rsidRDefault="00290E47" w:rsidP="00F54824">
            <w:pPr>
              <w:spacing w:after="0"/>
              <w:jc w:val="both"/>
              <w:rPr>
                <w:rFonts w:ascii="Garamond" w:hAnsi="Garamond" w:cstheme="majorBidi"/>
              </w:rPr>
            </w:pPr>
            <w:r w:rsidRPr="002128A6">
              <w:rPr>
                <w:rFonts w:ascii="Garamond" w:hAnsi="Garamond" w:cstheme="majorBidi"/>
              </w:rPr>
              <w:t>DPB</w:t>
            </w:r>
          </w:p>
        </w:tc>
        <w:tc>
          <w:tcPr>
            <w:tcW w:w="8151" w:type="dxa"/>
            <w:gridSpan w:val="2"/>
          </w:tcPr>
          <w:p w14:paraId="47A32EF1" w14:textId="07EE30BE" w:rsidR="00290E47" w:rsidRPr="002128A6" w:rsidRDefault="00290E47" w:rsidP="00F54824">
            <w:pPr>
              <w:spacing w:after="0"/>
              <w:jc w:val="both"/>
              <w:rPr>
                <w:rFonts w:ascii="Garamond" w:hAnsi="Garamond" w:cstheme="majorBidi"/>
              </w:rPr>
            </w:pPr>
            <w:r w:rsidRPr="002128A6">
              <w:rPr>
                <w:rFonts w:ascii="Garamond" w:hAnsi="Garamond" w:cstheme="majorBidi"/>
              </w:rPr>
              <w:t>Drejtoria e Përgjithshme e Burgjeve</w:t>
            </w:r>
          </w:p>
        </w:tc>
      </w:tr>
      <w:tr w:rsidR="00F54824" w:rsidRPr="002128A6" w14:paraId="23333F59" w14:textId="77777777" w:rsidTr="00EE772D">
        <w:trPr>
          <w:gridAfter w:val="1"/>
          <w:wAfter w:w="10" w:type="dxa"/>
          <w:trHeight w:val="20"/>
        </w:trPr>
        <w:tc>
          <w:tcPr>
            <w:tcW w:w="1199" w:type="dxa"/>
          </w:tcPr>
          <w:p w14:paraId="49CD10B3" w14:textId="7B77D07E" w:rsidR="00290E47" w:rsidRPr="002128A6" w:rsidRDefault="00290E47" w:rsidP="00F54824">
            <w:pPr>
              <w:spacing w:after="0"/>
              <w:jc w:val="both"/>
              <w:rPr>
                <w:rFonts w:ascii="Garamond" w:hAnsi="Garamond" w:cstheme="majorBidi"/>
              </w:rPr>
            </w:pPr>
            <w:r w:rsidRPr="002128A6">
              <w:rPr>
                <w:rFonts w:ascii="Garamond" w:hAnsi="Garamond" w:cstheme="majorBidi"/>
              </w:rPr>
              <w:t>DPPSH</w:t>
            </w:r>
          </w:p>
        </w:tc>
        <w:tc>
          <w:tcPr>
            <w:tcW w:w="8151" w:type="dxa"/>
            <w:gridSpan w:val="2"/>
          </w:tcPr>
          <w:p w14:paraId="5B067E97" w14:textId="46CF5591" w:rsidR="00290E47" w:rsidRPr="002128A6" w:rsidRDefault="00290E47" w:rsidP="00F54824">
            <w:pPr>
              <w:spacing w:after="0"/>
              <w:jc w:val="both"/>
              <w:rPr>
                <w:rFonts w:ascii="Garamond" w:hAnsi="Garamond" w:cstheme="majorBidi"/>
              </w:rPr>
            </w:pPr>
            <w:r w:rsidRPr="002128A6">
              <w:rPr>
                <w:rFonts w:ascii="Garamond" w:hAnsi="Garamond" w:cstheme="majorBidi"/>
              </w:rPr>
              <w:t>Drejtoria e Përgjithshme e Policisë së Shtetit</w:t>
            </w:r>
          </w:p>
        </w:tc>
      </w:tr>
      <w:tr w:rsidR="00F54824" w:rsidRPr="002128A6" w14:paraId="0010EB6F" w14:textId="77777777" w:rsidTr="00EE772D">
        <w:trPr>
          <w:gridAfter w:val="1"/>
          <w:wAfter w:w="10" w:type="dxa"/>
          <w:trHeight w:val="20"/>
        </w:trPr>
        <w:tc>
          <w:tcPr>
            <w:tcW w:w="1199" w:type="dxa"/>
          </w:tcPr>
          <w:p w14:paraId="001200AB" w14:textId="2F2D2F60" w:rsidR="00290E47" w:rsidRPr="002128A6" w:rsidRDefault="00290E47" w:rsidP="00F54824">
            <w:pPr>
              <w:spacing w:after="0"/>
              <w:jc w:val="both"/>
              <w:rPr>
                <w:rFonts w:ascii="Garamond" w:hAnsi="Garamond" w:cstheme="majorBidi"/>
              </w:rPr>
            </w:pPr>
            <w:r w:rsidRPr="002128A6">
              <w:rPr>
                <w:rFonts w:ascii="Garamond" w:hAnsi="Garamond" w:cstheme="majorBidi"/>
              </w:rPr>
              <w:t>DPT</w:t>
            </w:r>
          </w:p>
        </w:tc>
        <w:tc>
          <w:tcPr>
            <w:tcW w:w="8151" w:type="dxa"/>
            <w:gridSpan w:val="2"/>
          </w:tcPr>
          <w:p w14:paraId="4DB05099" w14:textId="7413E8D1" w:rsidR="00290E47" w:rsidRPr="002128A6" w:rsidRDefault="00290E47" w:rsidP="00F54824">
            <w:pPr>
              <w:spacing w:after="0"/>
              <w:jc w:val="both"/>
              <w:rPr>
                <w:rFonts w:ascii="Garamond" w:hAnsi="Garamond" w:cstheme="majorBidi"/>
              </w:rPr>
            </w:pPr>
            <w:r w:rsidRPr="002128A6">
              <w:rPr>
                <w:rFonts w:ascii="Garamond" w:hAnsi="Garamond" w:cstheme="majorBidi"/>
              </w:rPr>
              <w:t>Drejtoria e Përgjithshme e Tatimeve</w:t>
            </w:r>
          </w:p>
        </w:tc>
      </w:tr>
      <w:tr w:rsidR="00F54824" w:rsidRPr="002128A6" w14:paraId="7378CC95" w14:textId="77777777" w:rsidTr="00EE772D">
        <w:trPr>
          <w:gridAfter w:val="1"/>
          <w:wAfter w:w="10" w:type="dxa"/>
          <w:trHeight w:val="20"/>
        </w:trPr>
        <w:tc>
          <w:tcPr>
            <w:tcW w:w="1199" w:type="dxa"/>
          </w:tcPr>
          <w:p w14:paraId="2424A704" w14:textId="7A3B4D03" w:rsidR="00290E47" w:rsidRPr="002128A6" w:rsidRDefault="00290E47" w:rsidP="00F54824">
            <w:pPr>
              <w:spacing w:after="0"/>
              <w:jc w:val="both"/>
              <w:rPr>
                <w:rFonts w:ascii="Garamond" w:hAnsi="Garamond" w:cstheme="majorBidi"/>
              </w:rPr>
            </w:pPr>
            <w:r w:rsidRPr="002128A6">
              <w:rPr>
                <w:rFonts w:ascii="Garamond" w:hAnsi="Garamond" w:cstheme="majorBidi"/>
              </w:rPr>
              <w:t>DVP</w:t>
            </w:r>
          </w:p>
        </w:tc>
        <w:tc>
          <w:tcPr>
            <w:tcW w:w="8151" w:type="dxa"/>
            <w:gridSpan w:val="2"/>
          </w:tcPr>
          <w:p w14:paraId="2D2805F1" w14:textId="1E9E0BCA" w:rsidR="00290E47" w:rsidRPr="002128A6" w:rsidRDefault="00290E47" w:rsidP="00F54824">
            <w:pPr>
              <w:spacing w:after="0"/>
              <w:jc w:val="both"/>
              <w:rPr>
                <w:rFonts w:ascii="Garamond" w:hAnsi="Garamond" w:cstheme="majorBidi"/>
              </w:rPr>
            </w:pPr>
            <w:r w:rsidRPr="002128A6">
              <w:rPr>
                <w:rFonts w:ascii="Garamond" w:hAnsi="Garamond" w:cstheme="majorBidi"/>
              </w:rPr>
              <w:t>Drejtoritë Vendore të Policisë</w:t>
            </w:r>
          </w:p>
        </w:tc>
      </w:tr>
      <w:tr w:rsidR="00F54824" w:rsidRPr="002128A6" w14:paraId="073A90BA" w14:textId="77777777" w:rsidTr="00EE772D">
        <w:trPr>
          <w:gridAfter w:val="1"/>
          <w:wAfter w:w="10" w:type="dxa"/>
          <w:trHeight w:val="20"/>
        </w:trPr>
        <w:tc>
          <w:tcPr>
            <w:tcW w:w="1199" w:type="dxa"/>
          </w:tcPr>
          <w:p w14:paraId="7C4D6EC1" w14:textId="4ADA818C" w:rsidR="00290E47" w:rsidRPr="002128A6" w:rsidRDefault="00290E47" w:rsidP="00F54824">
            <w:pPr>
              <w:spacing w:after="0"/>
              <w:jc w:val="both"/>
              <w:rPr>
                <w:rFonts w:ascii="Garamond" w:hAnsi="Garamond" w:cstheme="majorBidi"/>
              </w:rPr>
            </w:pPr>
            <w:r w:rsidRPr="002128A6">
              <w:rPr>
                <w:rFonts w:ascii="Garamond" w:hAnsi="Garamond" w:cstheme="majorBidi"/>
              </w:rPr>
              <w:t>EMPACT</w:t>
            </w:r>
          </w:p>
        </w:tc>
        <w:tc>
          <w:tcPr>
            <w:tcW w:w="8151" w:type="dxa"/>
            <w:gridSpan w:val="2"/>
          </w:tcPr>
          <w:p w14:paraId="419EE16B" w14:textId="5100D9D9" w:rsidR="00290E47" w:rsidRPr="002128A6" w:rsidRDefault="00290E47" w:rsidP="00F54824">
            <w:pPr>
              <w:spacing w:after="0"/>
              <w:jc w:val="both"/>
              <w:rPr>
                <w:rFonts w:ascii="Garamond" w:hAnsi="Garamond" w:cstheme="majorBidi"/>
              </w:rPr>
            </w:pPr>
            <w:r w:rsidRPr="002128A6">
              <w:rPr>
                <w:rFonts w:ascii="Garamond" w:hAnsi="Garamond" w:cstheme="majorBidi"/>
              </w:rPr>
              <w:t>Platforma Evropiane Multidisiplinare kundër Kërcënimeve Kriminale</w:t>
            </w:r>
          </w:p>
        </w:tc>
      </w:tr>
      <w:tr w:rsidR="00F54824" w:rsidRPr="002128A6" w14:paraId="5E7BE1AD" w14:textId="77777777" w:rsidTr="00EE772D">
        <w:trPr>
          <w:gridAfter w:val="1"/>
          <w:wAfter w:w="10" w:type="dxa"/>
          <w:trHeight w:val="20"/>
        </w:trPr>
        <w:tc>
          <w:tcPr>
            <w:tcW w:w="1199" w:type="dxa"/>
          </w:tcPr>
          <w:p w14:paraId="6CCEF4A7" w14:textId="560DCF52" w:rsidR="00290E47" w:rsidRPr="002128A6" w:rsidRDefault="00290E47" w:rsidP="00F54824">
            <w:pPr>
              <w:spacing w:after="0"/>
              <w:jc w:val="both"/>
              <w:rPr>
                <w:rFonts w:ascii="Garamond" w:hAnsi="Garamond" w:cstheme="majorBidi"/>
              </w:rPr>
            </w:pPr>
            <w:r w:rsidRPr="002128A6">
              <w:rPr>
                <w:rFonts w:ascii="Garamond" w:hAnsi="Garamond" w:cstheme="majorBidi"/>
              </w:rPr>
              <w:t>ENFAST</w:t>
            </w:r>
          </w:p>
        </w:tc>
        <w:tc>
          <w:tcPr>
            <w:tcW w:w="8151" w:type="dxa"/>
            <w:gridSpan w:val="2"/>
          </w:tcPr>
          <w:p w14:paraId="5A8C96A3" w14:textId="6487749D" w:rsidR="00290E47" w:rsidRPr="002128A6" w:rsidRDefault="00290E47" w:rsidP="00F54824">
            <w:pPr>
              <w:spacing w:after="0"/>
              <w:jc w:val="both"/>
              <w:rPr>
                <w:rFonts w:ascii="Garamond" w:hAnsi="Garamond" w:cstheme="majorBidi"/>
              </w:rPr>
            </w:pPr>
            <w:r w:rsidRPr="002128A6">
              <w:rPr>
                <w:rFonts w:ascii="Garamond" w:hAnsi="Garamond" w:cstheme="majorBidi"/>
              </w:rPr>
              <w:t>Rrjeti Evropian i Skuadrave Aktive të Kërkimit të Personave në Kërkim</w:t>
            </w:r>
          </w:p>
        </w:tc>
      </w:tr>
      <w:tr w:rsidR="00F54824" w:rsidRPr="002128A6" w14:paraId="5EF4B254" w14:textId="77777777" w:rsidTr="00EE772D">
        <w:trPr>
          <w:gridAfter w:val="1"/>
          <w:wAfter w:w="10" w:type="dxa"/>
          <w:trHeight w:val="20"/>
        </w:trPr>
        <w:tc>
          <w:tcPr>
            <w:tcW w:w="1199" w:type="dxa"/>
          </w:tcPr>
          <w:p w14:paraId="518D8A5B" w14:textId="6F8EFD32" w:rsidR="00290E47" w:rsidRPr="002128A6" w:rsidRDefault="00290E47" w:rsidP="00F54824">
            <w:pPr>
              <w:spacing w:after="0"/>
              <w:jc w:val="both"/>
              <w:rPr>
                <w:rFonts w:ascii="Garamond" w:hAnsi="Garamond" w:cstheme="majorBidi"/>
              </w:rPr>
            </w:pPr>
            <w:r w:rsidRPr="002128A6">
              <w:rPr>
                <w:rFonts w:ascii="Garamond" w:hAnsi="Garamond" w:cstheme="majorBidi"/>
              </w:rPr>
              <w:t>EUDA</w:t>
            </w:r>
            <w:r w:rsidR="00F54824" w:rsidRPr="002128A6">
              <w:rPr>
                <w:rFonts w:ascii="Garamond" w:hAnsi="Garamond" w:cstheme="majorBidi"/>
              </w:rPr>
              <w:t xml:space="preserve"> </w:t>
            </w:r>
          </w:p>
        </w:tc>
        <w:tc>
          <w:tcPr>
            <w:tcW w:w="8151" w:type="dxa"/>
            <w:gridSpan w:val="2"/>
          </w:tcPr>
          <w:p w14:paraId="3E019D1A" w14:textId="6D255F54" w:rsidR="00290E47" w:rsidRPr="002128A6" w:rsidRDefault="00290E47" w:rsidP="00F54824">
            <w:pPr>
              <w:spacing w:after="0"/>
              <w:jc w:val="both"/>
              <w:rPr>
                <w:rFonts w:ascii="Garamond" w:hAnsi="Garamond" w:cstheme="majorBidi"/>
              </w:rPr>
            </w:pPr>
            <w:r w:rsidRPr="002128A6">
              <w:rPr>
                <w:rFonts w:ascii="Garamond" w:hAnsi="Garamond" w:cstheme="majorBidi"/>
              </w:rPr>
              <w:t>Agjencia e Bashkimit Evropian për Drogat</w:t>
            </w:r>
          </w:p>
        </w:tc>
      </w:tr>
      <w:tr w:rsidR="00F54824" w:rsidRPr="002128A6" w14:paraId="2741619E" w14:textId="77777777" w:rsidTr="00EE772D">
        <w:trPr>
          <w:gridAfter w:val="1"/>
          <w:wAfter w:w="10" w:type="dxa"/>
          <w:trHeight w:val="20"/>
        </w:trPr>
        <w:tc>
          <w:tcPr>
            <w:tcW w:w="1199" w:type="dxa"/>
          </w:tcPr>
          <w:p w14:paraId="6C6A3015" w14:textId="67471B37" w:rsidR="00290E47" w:rsidRPr="002128A6" w:rsidRDefault="00290E47" w:rsidP="00F54824">
            <w:pPr>
              <w:spacing w:after="0"/>
              <w:jc w:val="both"/>
              <w:rPr>
                <w:rFonts w:ascii="Garamond" w:hAnsi="Garamond" w:cstheme="majorBidi"/>
              </w:rPr>
            </w:pPr>
            <w:r w:rsidRPr="002128A6">
              <w:rPr>
                <w:rFonts w:ascii="Garamond" w:hAnsi="Garamond" w:cstheme="majorBidi"/>
              </w:rPr>
              <w:t>FAST</w:t>
            </w:r>
          </w:p>
        </w:tc>
        <w:tc>
          <w:tcPr>
            <w:tcW w:w="8151" w:type="dxa"/>
            <w:gridSpan w:val="2"/>
          </w:tcPr>
          <w:p w14:paraId="40C3813A" w14:textId="3C009D4A" w:rsidR="00290E47" w:rsidRPr="002128A6" w:rsidRDefault="00290E47" w:rsidP="00F54824">
            <w:pPr>
              <w:spacing w:after="0"/>
              <w:jc w:val="both"/>
              <w:rPr>
                <w:rFonts w:ascii="Garamond" w:hAnsi="Garamond" w:cstheme="majorBidi"/>
              </w:rPr>
            </w:pPr>
            <w:r w:rsidRPr="002128A6">
              <w:rPr>
                <w:rFonts w:ascii="Garamond" w:hAnsi="Garamond" w:cstheme="majorBidi"/>
              </w:rPr>
              <w:t>Njësia e Kapjes së të Personave të Kërkuar nga Drejtësia</w:t>
            </w:r>
          </w:p>
        </w:tc>
      </w:tr>
      <w:tr w:rsidR="00F54824" w:rsidRPr="002128A6" w14:paraId="2FA2FA1F" w14:textId="77777777" w:rsidTr="00EE772D">
        <w:trPr>
          <w:gridAfter w:val="1"/>
          <w:wAfter w:w="10" w:type="dxa"/>
          <w:trHeight w:val="20"/>
        </w:trPr>
        <w:tc>
          <w:tcPr>
            <w:tcW w:w="1199" w:type="dxa"/>
          </w:tcPr>
          <w:p w14:paraId="124AB22F" w14:textId="7677E47A" w:rsidR="00290E47" w:rsidRPr="002128A6" w:rsidRDefault="00290E47" w:rsidP="00F54824">
            <w:pPr>
              <w:spacing w:after="0"/>
              <w:jc w:val="both"/>
              <w:rPr>
                <w:rFonts w:ascii="Garamond" w:hAnsi="Garamond" w:cstheme="majorBidi"/>
              </w:rPr>
            </w:pPr>
            <w:r w:rsidRPr="002128A6">
              <w:rPr>
                <w:rFonts w:ascii="Garamond" w:hAnsi="Garamond" w:cstheme="majorBidi"/>
              </w:rPr>
              <w:t>KLGJ</w:t>
            </w:r>
          </w:p>
        </w:tc>
        <w:tc>
          <w:tcPr>
            <w:tcW w:w="8151" w:type="dxa"/>
            <w:gridSpan w:val="2"/>
          </w:tcPr>
          <w:p w14:paraId="56A26900" w14:textId="3A6277EE" w:rsidR="00290E47" w:rsidRPr="002128A6" w:rsidRDefault="00290E47" w:rsidP="00F54824">
            <w:pPr>
              <w:spacing w:after="0"/>
              <w:jc w:val="both"/>
              <w:rPr>
                <w:rFonts w:ascii="Garamond" w:hAnsi="Garamond" w:cstheme="majorBidi"/>
              </w:rPr>
            </w:pPr>
            <w:r w:rsidRPr="002128A6">
              <w:rPr>
                <w:rFonts w:ascii="Garamond" w:hAnsi="Garamond" w:cstheme="majorBidi"/>
              </w:rPr>
              <w:t>Këshilli i Lartë Gjyqësor</w:t>
            </w:r>
          </w:p>
        </w:tc>
      </w:tr>
      <w:tr w:rsidR="00F54824" w:rsidRPr="002128A6" w14:paraId="6AE17106" w14:textId="77777777" w:rsidTr="00EE772D">
        <w:trPr>
          <w:gridAfter w:val="1"/>
          <w:wAfter w:w="10" w:type="dxa"/>
          <w:trHeight w:val="20"/>
        </w:trPr>
        <w:tc>
          <w:tcPr>
            <w:tcW w:w="1199" w:type="dxa"/>
          </w:tcPr>
          <w:p w14:paraId="1A6237ED" w14:textId="0357E92E" w:rsidR="00290E47" w:rsidRPr="002128A6" w:rsidRDefault="00290E47" w:rsidP="00F54824">
            <w:pPr>
              <w:spacing w:after="0"/>
              <w:jc w:val="both"/>
              <w:rPr>
                <w:rFonts w:ascii="Garamond" w:hAnsi="Garamond" w:cstheme="majorBidi"/>
              </w:rPr>
            </w:pPr>
            <w:r w:rsidRPr="002128A6">
              <w:rPr>
                <w:rFonts w:ascii="Garamond" w:hAnsi="Garamond" w:cstheme="majorBidi"/>
              </w:rPr>
              <w:t>QKEDH</w:t>
            </w:r>
          </w:p>
        </w:tc>
        <w:tc>
          <w:tcPr>
            <w:tcW w:w="8151" w:type="dxa"/>
            <w:gridSpan w:val="2"/>
          </w:tcPr>
          <w:p w14:paraId="45084F92" w14:textId="38B321C4" w:rsidR="00290E47" w:rsidRPr="002128A6" w:rsidRDefault="00290E47" w:rsidP="00F54824">
            <w:pPr>
              <w:spacing w:after="0"/>
              <w:jc w:val="both"/>
              <w:rPr>
                <w:rFonts w:ascii="Garamond" w:hAnsi="Garamond" w:cstheme="majorBidi"/>
              </w:rPr>
            </w:pPr>
            <w:r w:rsidRPr="002128A6">
              <w:rPr>
                <w:rFonts w:ascii="Garamond" w:hAnsi="Garamond" w:cstheme="majorBidi"/>
              </w:rPr>
              <w:t>Qendra e Koordinimit kundër Ekstremizmit të Dhunshëm</w:t>
            </w:r>
          </w:p>
        </w:tc>
      </w:tr>
      <w:tr w:rsidR="00F54824" w:rsidRPr="002128A6" w14:paraId="31645183" w14:textId="77777777" w:rsidTr="00EE772D">
        <w:trPr>
          <w:gridAfter w:val="1"/>
          <w:wAfter w:w="10" w:type="dxa"/>
          <w:trHeight w:val="20"/>
        </w:trPr>
        <w:tc>
          <w:tcPr>
            <w:tcW w:w="1199" w:type="dxa"/>
          </w:tcPr>
          <w:p w14:paraId="65B9DCFA" w14:textId="1D61FDC3" w:rsidR="00290E47" w:rsidRPr="002128A6" w:rsidRDefault="00290E47" w:rsidP="00F54824">
            <w:pPr>
              <w:spacing w:after="0"/>
              <w:jc w:val="both"/>
              <w:rPr>
                <w:rFonts w:ascii="Garamond" w:hAnsi="Garamond" w:cstheme="majorBidi"/>
              </w:rPr>
            </w:pPr>
            <w:r w:rsidRPr="002128A6">
              <w:rPr>
                <w:rFonts w:ascii="Garamond" w:hAnsi="Garamond" w:cstheme="majorBidi"/>
              </w:rPr>
              <w:t>QKB</w:t>
            </w:r>
          </w:p>
        </w:tc>
        <w:tc>
          <w:tcPr>
            <w:tcW w:w="8151" w:type="dxa"/>
            <w:gridSpan w:val="2"/>
          </w:tcPr>
          <w:p w14:paraId="265F4EF2" w14:textId="60BDC2F5" w:rsidR="00290E47" w:rsidRPr="002128A6" w:rsidRDefault="00290E47" w:rsidP="00F54824">
            <w:pPr>
              <w:spacing w:after="0"/>
              <w:jc w:val="both"/>
              <w:rPr>
                <w:rFonts w:ascii="Garamond" w:hAnsi="Garamond" w:cstheme="majorBidi"/>
              </w:rPr>
            </w:pPr>
            <w:r w:rsidRPr="002128A6">
              <w:rPr>
                <w:rFonts w:ascii="Garamond" w:hAnsi="Garamond" w:cstheme="majorBidi"/>
              </w:rPr>
              <w:t>Qendra Kombëtare e Biznesit</w:t>
            </w:r>
          </w:p>
        </w:tc>
      </w:tr>
      <w:tr w:rsidR="00F54824" w:rsidRPr="002128A6" w14:paraId="586A19B4" w14:textId="77777777" w:rsidTr="00EE772D">
        <w:trPr>
          <w:gridAfter w:val="1"/>
          <w:wAfter w:w="10" w:type="dxa"/>
          <w:trHeight w:val="20"/>
        </w:trPr>
        <w:tc>
          <w:tcPr>
            <w:tcW w:w="1199" w:type="dxa"/>
          </w:tcPr>
          <w:p w14:paraId="7097DFE2" w14:textId="234A0C32" w:rsidR="00290E47" w:rsidRPr="002128A6" w:rsidRDefault="00290E47" w:rsidP="00F54824">
            <w:pPr>
              <w:spacing w:after="0"/>
              <w:jc w:val="both"/>
              <w:rPr>
                <w:rFonts w:ascii="Garamond" w:hAnsi="Garamond" w:cstheme="majorBidi"/>
              </w:rPr>
            </w:pPr>
            <w:r w:rsidRPr="002128A6">
              <w:rPr>
                <w:rFonts w:ascii="Garamond" w:hAnsi="Garamond" w:cstheme="majorBidi"/>
              </w:rPr>
              <w:t>PP</w:t>
            </w:r>
          </w:p>
        </w:tc>
        <w:tc>
          <w:tcPr>
            <w:tcW w:w="8151" w:type="dxa"/>
            <w:gridSpan w:val="2"/>
          </w:tcPr>
          <w:p w14:paraId="0D74E461" w14:textId="45059B25" w:rsidR="00290E47" w:rsidRPr="002128A6" w:rsidRDefault="00290E47" w:rsidP="00F54824">
            <w:pPr>
              <w:spacing w:after="0"/>
              <w:jc w:val="both"/>
              <w:rPr>
                <w:rFonts w:ascii="Garamond" w:hAnsi="Garamond" w:cstheme="majorBidi"/>
              </w:rPr>
            </w:pPr>
            <w:r w:rsidRPr="002128A6">
              <w:rPr>
                <w:rFonts w:ascii="Garamond" w:hAnsi="Garamond" w:cstheme="majorBidi"/>
              </w:rPr>
              <w:t>Prokuroria e Përgjithshme</w:t>
            </w:r>
          </w:p>
        </w:tc>
      </w:tr>
      <w:tr w:rsidR="00F54824" w:rsidRPr="002128A6" w14:paraId="53E91F95" w14:textId="77777777" w:rsidTr="00EE772D">
        <w:trPr>
          <w:gridAfter w:val="1"/>
          <w:wAfter w:w="10" w:type="dxa"/>
          <w:trHeight w:val="20"/>
        </w:trPr>
        <w:tc>
          <w:tcPr>
            <w:tcW w:w="1199" w:type="dxa"/>
          </w:tcPr>
          <w:p w14:paraId="7968FEA1" w14:textId="27F5A4AC" w:rsidR="00290E47" w:rsidRPr="002128A6" w:rsidRDefault="00290E47" w:rsidP="00F54824">
            <w:pPr>
              <w:spacing w:after="0"/>
              <w:jc w:val="both"/>
              <w:rPr>
                <w:rFonts w:ascii="Garamond" w:hAnsi="Garamond" w:cstheme="majorBidi"/>
              </w:rPr>
            </w:pPr>
            <w:r w:rsidRPr="002128A6">
              <w:rPr>
                <w:rFonts w:ascii="Garamond" w:hAnsi="Garamond" w:cstheme="majorBidi"/>
              </w:rPr>
              <w:t>MA</w:t>
            </w:r>
          </w:p>
        </w:tc>
        <w:tc>
          <w:tcPr>
            <w:tcW w:w="8151" w:type="dxa"/>
            <w:gridSpan w:val="2"/>
          </w:tcPr>
          <w:p w14:paraId="4BFD6A70" w14:textId="468BE297" w:rsidR="00290E47" w:rsidRPr="002128A6" w:rsidRDefault="00290E47" w:rsidP="00F54824">
            <w:pPr>
              <w:spacing w:after="0"/>
              <w:jc w:val="both"/>
              <w:rPr>
                <w:rFonts w:ascii="Garamond" w:hAnsi="Garamond" w:cstheme="majorBidi"/>
              </w:rPr>
            </w:pPr>
            <w:r w:rsidRPr="002128A6">
              <w:rPr>
                <w:rFonts w:ascii="Garamond" w:hAnsi="Garamond" w:cstheme="majorBidi"/>
              </w:rPr>
              <w:t>Ministria e Arsimit</w:t>
            </w:r>
          </w:p>
        </w:tc>
      </w:tr>
      <w:tr w:rsidR="00F54824" w:rsidRPr="002128A6" w14:paraId="33DCBCDB" w14:textId="77777777" w:rsidTr="00EE772D">
        <w:trPr>
          <w:gridAfter w:val="1"/>
          <w:wAfter w:w="10" w:type="dxa"/>
          <w:trHeight w:val="20"/>
        </w:trPr>
        <w:tc>
          <w:tcPr>
            <w:tcW w:w="1199" w:type="dxa"/>
          </w:tcPr>
          <w:p w14:paraId="316D6940" w14:textId="03849A73" w:rsidR="00290E47" w:rsidRPr="002128A6" w:rsidRDefault="00290E47" w:rsidP="00F54824">
            <w:pPr>
              <w:spacing w:after="0"/>
              <w:jc w:val="both"/>
              <w:rPr>
                <w:rFonts w:ascii="Garamond" w:hAnsi="Garamond" w:cstheme="majorBidi"/>
              </w:rPr>
            </w:pPr>
            <w:r w:rsidRPr="002128A6">
              <w:rPr>
                <w:rFonts w:ascii="Garamond" w:hAnsi="Garamond" w:cstheme="majorBidi"/>
              </w:rPr>
              <w:t>MBZHR</w:t>
            </w:r>
          </w:p>
        </w:tc>
        <w:tc>
          <w:tcPr>
            <w:tcW w:w="8151" w:type="dxa"/>
            <w:gridSpan w:val="2"/>
          </w:tcPr>
          <w:p w14:paraId="4D6B9916" w14:textId="77C32F50" w:rsidR="00290E47" w:rsidRPr="002128A6" w:rsidRDefault="00290E47" w:rsidP="00F54824">
            <w:pPr>
              <w:spacing w:after="0"/>
              <w:jc w:val="both"/>
              <w:rPr>
                <w:rFonts w:ascii="Garamond" w:hAnsi="Garamond" w:cstheme="majorBidi"/>
              </w:rPr>
            </w:pPr>
            <w:r w:rsidRPr="002128A6">
              <w:rPr>
                <w:rFonts w:ascii="Garamond" w:hAnsi="Garamond" w:cstheme="majorBidi"/>
              </w:rPr>
              <w:t>Ministria e Bujqësisë dhe Zhvillimit Rural</w:t>
            </w:r>
          </w:p>
        </w:tc>
      </w:tr>
      <w:tr w:rsidR="00F54824" w:rsidRPr="002128A6" w14:paraId="1E0EBF3D" w14:textId="77777777" w:rsidTr="00EE772D">
        <w:trPr>
          <w:gridAfter w:val="1"/>
          <w:wAfter w:w="10" w:type="dxa"/>
          <w:trHeight w:val="20"/>
        </w:trPr>
        <w:tc>
          <w:tcPr>
            <w:tcW w:w="1199" w:type="dxa"/>
          </w:tcPr>
          <w:p w14:paraId="3645EB8F" w14:textId="5B3E975D" w:rsidR="00290E47" w:rsidRPr="002128A6" w:rsidRDefault="00290E47" w:rsidP="00F54824">
            <w:pPr>
              <w:spacing w:after="0"/>
              <w:jc w:val="both"/>
              <w:rPr>
                <w:rFonts w:ascii="Garamond" w:hAnsi="Garamond" w:cstheme="majorBidi"/>
              </w:rPr>
            </w:pPr>
            <w:r w:rsidRPr="002128A6">
              <w:rPr>
                <w:rFonts w:ascii="Garamond" w:hAnsi="Garamond" w:cstheme="majorBidi"/>
              </w:rPr>
              <w:t>MM</w:t>
            </w:r>
          </w:p>
        </w:tc>
        <w:tc>
          <w:tcPr>
            <w:tcW w:w="8151" w:type="dxa"/>
            <w:gridSpan w:val="2"/>
          </w:tcPr>
          <w:p w14:paraId="336AAA29" w14:textId="71C82F1C" w:rsidR="00290E47" w:rsidRPr="002128A6" w:rsidRDefault="00290E47" w:rsidP="00F54824">
            <w:pPr>
              <w:spacing w:after="0"/>
              <w:jc w:val="both"/>
              <w:rPr>
                <w:rFonts w:ascii="Garamond" w:hAnsi="Garamond" w:cstheme="majorBidi"/>
              </w:rPr>
            </w:pPr>
            <w:r w:rsidRPr="002128A6">
              <w:rPr>
                <w:rFonts w:ascii="Garamond" w:hAnsi="Garamond" w:cstheme="majorBidi"/>
              </w:rPr>
              <w:t>Ministria e Mbrojtjes</w:t>
            </w:r>
          </w:p>
        </w:tc>
      </w:tr>
      <w:tr w:rsidR="00F54824" w:rsidRPr="002128A6" w14:paraId="5C079B37" w14:textId="77777777" w:rsidTr="00EE772D">
        <w:trPr>
          <w:gridAfter w:val="1"/>
          <w:wAfter w:w="10" w:type="dxa"/>
          <w:trHeight w:val="20"/>
        </w:trPr>
        <w:tc>
          <w:tcPr>
            <w:tcW w:w="1199" w:type="dxa"/>
          </w:tcPr>
          <w:p w14:paraId="36CB408E" w14:textId="3066DD08" w:rsidR="00290E47" w:rsidRPr="002128A6" w:rsidRDefault="00290E47" w:rsidP="00F54824">
            <w:pPr>
              <w:spacing w:after="0"/>
              <w:jc w:val="both"/>
              <w:rPr>
                <w:rFonts w:ascii="Garamond" w:hAnsi="Garamond" w:cstheme="majorBidi"/>
              </w:rPr>
            </w:pPr>
            <w:r w:rsidRPr="002128A6">
              <w:rPr>
                <w:rFonts w:ascii="Garamond" w:hAnsi="Garamond" w:cstheme="majorBidi"/>
              </w:rPr>
              <w:t>MTKS</w:t>
            </w:r>
          </w:p>
        </w:tc>
        <w:tc>
          <w:tcPr>
            <w:tcW w:w="8151" w:type="dxa"/>
            <w:gridSpan w:val="2"/>
          </w:tcPr>
          <w:p w14:paraId="2E7866AC" w14:textId="5ADB67D7" w:rsidR="00290E47" w:rsidRPr="002128A6" w:rsidRDefault="00290E47" w:rsidP="00F54824">
            <w:pPr>
              <w:spacing w:after="0"/>
              <w:jc w:val="both"/>
              <w:rPr>
                <w:rFonts w:ascii="Garamond" w:hAnsi="Garamond" w:cstheme="majorBidi"/>
              </w:rPr>
            </w:pPr>
            <w:r w:rsidRPr="002128A6">
              <w:rPr>
                <w:rFonts w:ascii="Garamond" w:hAnsi="Garamond" w:cstheme="majorBidi"/>
              </w:rPr>
              <w:t>Ministria e Turizmit, Kulturës dhe Sporteve</w:t>
            </w:r>
          </w:p>
        </w:tc>
      </w:tr>
      <w:tr w:rsidR="00F54824" w:rsidRPr="002128A6" w14:paraId="6BE99783" w14:textId="77777777" w:rsidTr="00EE772D">
        <w:trPr>
          <w:gridAfter w:val="1"/>
          <w:wAfter w:w="10" w:type="dxa"/>
          <w:trHeight w:val="20"/>
        </w:trPr>
        <w:tc>
          <w:tcPr>
            <w:tcW w:w="1199" w:type="dxa"/>
          </w:tcPr>
          <w:p w14:paraId="2ADA78CE" w14:textId="584AC038" w:rsidR="00290E47" w:rsidRPr="002128A6" w:rsidRDefault="00290E47" w:rsidP="00F54824">
            <w:pPr>
              <w:spacing w:after="0"/>
              <w:jc w:val="both"/>
              <w:rPr>
                <w:rFonts w:ascii="Garamond" w:hAnsi="Garamond" w:cstheme="majorBidi"/>
              </w:rPr>
            </w:pPr>
            <w:r w:rsidRPr="002128A6">
              <w:rPr>
                <w:rFonts w:ascii="Garamond" w:hAnsi="Garamond" w:cstheme="majorBidi"/>
              </w:rPr>
              <w:t>MEI</w:t>
            </w:r>
          </w:p>
        </w:tc>
        <w:tc>
          <w:tcPr>
            <w:tcW w:w="8151" w:type="dxa"/>
            <w:gridSpan w:val="2"/>
          </w:tcPr>
          <w:p w14:paraId="1A5938ED" w14:textId="5D0290A4" w:rsidR="00290E47" w:rsidRPr="002128A6" w:rsidRDefault="00290E47" w:rsidP="00F54824">
            <w:pPr>
              <w:spacing w:after="0"/>
              <w:jc w:val="both"/>
              <w:rPr>
                <w:rFonts w:ascii="Garamond" w:hAnsi="Garamond" w:cstheme="majorBidi"/>
              </w:rPr>
            </w:pPr>
            <w:r w:rsidRPr="002128A6">
              <w:rPr>
                <w:rFonts w:ascii="Garamond" w:hAnsi="Garamond" w:cstheme="majorBidi"/>
              </w:rPr>
              <w:t>Ministria e Ekonomisë dhe Inovacionit</w:t>
            </w:r>
          </w:p>
        </w:tc>
      </w:tr>
      <w:tr w:rsidR="00F54824" w:rsidRPr="002128A6" w14:paraId="27DEB671" w14:textId="77777777" w:rsidTr="00EE772D">
        <w:trPr>
          <w:gridAfter w:val="1"/>
          <w:wAfter w:w="10" w:type="dxa"/>
          <w:trHeight w:val="20"/>
        </w:trPr>
        <w:tc>
          <w:tcPr>
            <w:tcW w:w="1199" w:type="dxa"/>
          </w:tcPr>
          <w:p w14:paraId="7083E563" w14:textId="60EBC6E7" w:rsidR="00290E47" w:rsidRPr="002128A6" w:rsidRDefault="00290E47" w:rsidP="00F54824">
            <w:pPr>
              <w:spacing w:after="0"/>
              <w:jc w:val="both"/>
              <w:rPr>
                <w:rFonts w:ascii="Garamond" w:hAnsi="Garamond" w:cstheme="majorBidi"/>
              </w:rPr>
            </w:pPr>
            <w:r w:rsidRPr="002128A6">
              <w:rPr>
                <w:rFonts w:ascii="Garamond" w:hAnsi="Garamond" w:cstheme="majorBidi"/>
              </w:rPr>
              <w:t>MEPJ</w:t>
            </w:r>
          </w:p>
        </w:tc>
        <w:tc>
          <w:tcPr>
            <w:tcW w:w="8151" w:type="dxa"/>
            <w:gridSpan w:val="2"/>
          </w:tcPr>
          <w:p w14:paraId="0F040273" w14:textId="6FDC616A" w:rsidR="00290E47" w:rsidRPr="002128A6" w:rsidRDefault="00290E47" w:rsidP="00F54824">
            <w:pPr>
              <w:spacing w:after="0"/>
              <w:jc w:val="both"/>
              <w:rPr>
                <w:rFonts w:ascii="Garamond" w:hAnsi="Garamond" w:cstheme="majorBidi"/>
              </w:rPr>
            </w:pPr>
            <w:r w:rsidRPr="002128A6">
              <w:rPr>
                <w:rFonts w:ascii="Garamond" w:hAnsi="Garamond" w:cstheme="majorBidi"/>
              </w:rPr>
              <w:t>Ministria për Evropën dhe Punët e Jashtme</w:t>
            </w:r>
          </w:p>
        </w:tc>
      </w:tr>
      <w:tr w:rsidR="00F54824" w:rsidRPr="002128A6" w14:paraId="0A911FD9" w14:textId="77777777" w:rsidTr="00EE772D">
        <w:trPr>
          <w:gridAfter w:val="1"/>
          <w:wAfter w:w="10" w:type="dxa"/>
          <w:trHeight w:val="20"/>
        </w:trPr>
        <w:tc>
          <w:tcPr>
            <w:tcW w:w="1199" w:type="dxa"/>
          </w:tcPr>
          <w:p w14:paraId="70089441" w14:textId="24F41993" w:rsidR="00290E47" w:rsidRPr="002128A6" w:rsidRDefault="00290E47" w:rsidP="00F54824">
            <w:pPr>
              <w:spacing w:after="0"/>
              <w:jc w:val="both"/>
              <w:rPr>
                <w:rFonts w:ascii="Garamond" w:hAnsi="Garamond" w:cstheme="majorBidi"/>
              </w:rPr>
            </w:pPr>
            <w:r w:rsidRPr="002128A6">
              <w:rPr>
                <w:rFonts w:ascii="Garamond" w:hAnsi="Garamond" w:cstheme="majorBidi"/>
              </w:rPr>
              <w:t>MSHMS</w:t>
            </w:r>
          </w:p>
        </w:tc>
        <w:tc>
          <w:tcPr>
            <w:tcW w:w="8151" w:type="dxa"/>
            <w:gridSpan w:val="2"/>
          </w:tcPr>
          <w:p w14:paraId="142C8258" w14:textId="001475F3" w:rsidR="00290E47" w:rsidRPr="002128A6" w:rsidRDefault="00290E47" w:rsidP="00F54824">
            <w:pPr>
              <w:spacing w:after="0"/>
              <w:jc w:val="both"/>
              <w:rPr>
                <w:rFonts w:ascii="Garamond" w:hAnsi="Garamond" w:cstheme="majorBidi"/>
              </w:rPr>
            </w:pPr>
            <w:r w:rsidRPr="002128A6">
              <w:rPr>
                <w:rFonts w:ascii="Garamond" w:hAnsi="Garamond" w:cstheme="majorBidi"/>
              </w:rPr>
              <w:t>Ministria e Shëndetësisë dhe Mirëqenies Sociale</w:t>
            </w:r>
          </w:p>
        </w:tc>
      </w:tr>
      <w:tr w:rsidR="00F54824" w:rsidRPr="002128A6" w14:paraId="42CA900F" w14:textId="77777777" w:rsidTr="00EE772D">
        <w:trPr>
          <w:gridAfter w:val="1"/>
          <w:wAfter w:w="10" w:type="dxa"/>
          <w:trHeight w:val="20"/>
        </w:trPr>
        <w:tc>
          <w:tcPr>
            <w:tcW w:w="1199" w:type="dxa"/>
          </w:tcPr>
          <w:p w14:paraId="60A672B6" w14:textId="398CBD23" w:rsidR="00290E47" w:rsidRPr="002128A6" w:rsidRDefault="00290E47" w:rsidP="00F54824">
            <w:pPr>
              <w:spacing w:after="0"/>
              <w:jc w:val="both"/>
              <w:rPr>
                <w:rFonts w:ascii="Garamond" w:hAnsi="Garamond" w:cstheme="majorBidi"/>
              </w:rPr>
            </w:pPr>
            <w:r w:rsidRPr="002128A6">
              <w:rPr>
                <w:rFonts w:ascii="Garamond" w:hAnsi="Garamond" w:cstheme="majorBidi"/>
              </w:rPr>
              <w:t>MPB</w:t>
            </w:r>
          </w:p>
        </w:tc>
        <w:tc>
          <w:tcPr>
            <w:tcW w:w="8151" w:type="dxa"/>
            <w:gridSpan w:val="2"/>
          </w:tcPr>
          <w:p w14:paraId="6C8B9B1D" w14:textId="36D8DE17" w:rsidR="00290E47" w:rsidRPr="002128A6" w:rsidRDefault="00290E47" w:rsidP="00F54824">
            <w:pPr>
              <w:tabs>
                <w:tab w:val="left" w:pos="1815"/>
              </w:tabs>
              <w:spacing w:after="0"/>
              <w:jc w:val="both"/>
              <w:rPr>
                <w:rFonts w:ascii="Garamond" w:hAnsi="Garamond" w:cstheme="majorBidi"/>
              </w:rPr>
            </w:pPr>
            <w:r w:rsidRPr="002128A6">
              <w:rPr>
                <w:rFonts w:ascii="Garamond" w:hAnsi="Garamond" w:cstheme="majorBidi"/>
              </w:rPr>
              <w:t>Ministria e Punëve të Brendshme</w:t>
            </w:r>
          </w:p>
        </w:tc>
      </w:tr>
      <w:tr w:rsidR="00F54824" w:rsidRPr="002128A6" w14:paraId="02F46248" w14:textId="77777777" w:rsidTr="00EE772D">
        <w:trPr>
          <w:gridAfter w:val="1"/>
          <w:wAfter w:w="10" w:type="dxa"/>
          <w:trHeight w:val="20"/>
        </w:trPr>
        <w:tc>
          <w:tcPr>
            <w:tcW w:w="1199" w:type="dxa"/>
          </w:tcPr>
          <w:p w14:paraId="223C6431" w14:textId="29E174EC" w:rsidR="00290E47" w:rsidRPr="002128A6" w:rsidRDefault="00290E47" w:rsidP="00F54824">
            <w:pPr>
              <w:spacing w:after="0"/>
              <w:jc w:val="both"/>
              <w:rPr>
                <w:rFonts w:ascii="Garamond" w:hAnsi="Garamond" w:cstheme="majorBidi"/>
              </w:rPr>
            </w:pPr>
            <w:r w:rsidRPr="002128A6">
              <w:rPr>
                <w:rFonts w:ascii="Garamond" w:hAnsi="Garamond" w:cstheme="majorBidi"/>
              </w:rPr>
              <w:t>NjQV</w:t>
            </w:r>
          </w:p>
        </w:tc>
        <w:tc>
          <w:tcPr>
            <w:tcW w:w="8151" w:type="dxa"/>
            <w:gridSpan w:val="2"/>
          </w:tcPr>
          <w:p w14:paraId="01DC7EAD" w14:textId="03EEEE49" w:rsidR="00290E47" w:rsidRPr="002128A6" w:rsidRDefault="00290E47" w:rsidP="00F54824">
            <w:pPr>
              <w:spacing w:after="0"/>
              <w:jc w:val="both"/>
              <w:rPr>
                <w:rFonts w:ascii="Garamond" w:hAnsi="Garamond" w:cstheme="majorBidi"/>
              </w:rPr>
            </w:pPr>
            <w:r w:rsidRPr="002128A6">
              <w:rPr>
                <w:rStyle w:val="Strong"/>
                <w:rFonts w:ascii="Garamond" w:hAnsi="Garamond" w:cstheme="majorBidi"/>
                <w:b w:val="0"/>
                <w:bCs w:val="0"/>
              </w:rPr>
              <w:t>Njësi të Qeverisjes Vendore</w:t>
            </w:r>
          </w:p>
        </w:tc>
      </w:tr>
      <w:tr w:rsidR="00F54824" w:rsidRPr="002128A6" w14:paraId="7234E19A" w14:textId="77777777" w:rsidTr="00EE772D">
        <w:trPr>
          <w:gridAfter w:val="1"/>
          <w:wAfter w:w="10" w:type="dxa"/>
          <w:trHeight w:val="20"/>
        </w:trPr>
        <w:tc>
          <w:tcPr>
            <w:tcW w:w="1199" w:type="dxa"/>
          </w:tcPr>
          <w:p w14:paraId="7269A6AE" w14:textId="041ED3BE" w:rsidR="00290E47" w:rsidRPr="002128A6" w:rsidRDefault="00290E47" w:rsidP="00F54824">
            <w:pPr>
              <w:spacing w:after="0"/>
              <w:jc w:val="both"/>
              <w:rPr>
                <w:rFonts w:ascii="Garamond" w:hAnsi="Garamond" w:cstheme="majorBidi"/>
              </w:rPr>
            </w:pPr>
            <w:r w:rsidRPr="002128A6">
              <w:rPr>
                <w:rFonts w:ascii="Garamond" w:eastAsia="Times New Roman" w:hAnsi="Garamond" w:cstheme="majorBidi"/>
              </w:rPr>
              <w:t>NPS</w:t>
            </w:r>
          </w:p>
        </w:tc>
        <w:tc>
          <w:tcPr>
            <w:tcW w:w="8151" w:type="dxa"/>
            <w:gridSpan w:val="2"/>
          </w:tcPr>
          <w:p w14:paraId="5A2C57E5" w14:textId="0275B05A" w:rsidR="00290E47" w:rsidRPr="002128A6" w:rsidRDefault="002537AA" w:rsidP="00F54824">
            <w:pPr>
              <w:spacing w:after="0"/>
              <w:jc w:val="both"/>
              <w:rPr>
                <w:rFonts w:ascii="Garamond" w:hAnsi="Garamond" w:cstheme="majorBidi"/>
              </w:rPr>
            </w:pPr>
            <w:r w:rsidRPr="002128A6">
              <w:rPr>
                <w:rFonts w:ascii="Garamond" w:eastAsia="Times New Roman" w:hAnsi="Garamond" w:cstheme="majorBidi"/>
              </w:rPr>
              <w:t>Lëndët</w:t>
            </w:r>
            <w:r w:rsidR="00290E47" w:rsidRPr="002128A6">
              <w:rPr>
                <w:rFonts w:ascii="Garamond" w:eastAsia="Times New Roman" w:hAnsi="Garamond" w:cstheme="majorBidi"/>
              </w:rPr>
              <w:t xml:space="preserve"> e </w:t>
            </w:r>
            <w:r w:rsidR="007269A4" w:rsidRPr="002128A6">
              <w:rPr>
                <w:rFonts w:ascii="Garamond" w:eastAsia="Times New Roman" w:hAnsi="Garamond" w:cstheme="majorBidi"/>
              </w:rPr>
              <w:t>Reja Psikotrope</w:t>
            </w:r>
          </w:p>
        </w:tc>
      </w:tr>
      <w:tr w:rsidR="00F54824" w:rsidRPr="002128A6" w14:paraId="1C70A9C4" w14:textId="77777777" w:rsidTr="00EE772D">
        <w:trPr>
          <w:gridAfter w:val="1"/>
          <w:wAfter w:w="10" w:type="dxa"/>
          <w:trHeight w:val="20"/>
        </w:trPr>
        <w:tc>
          <w:tcPr>
            <w:tcW w:w="1199" w:type="dxa"/>
          </w:tcPr>
          <w:p w14:paraId="245BB24D" w14:textId="3C66AA51" w:rsidR="00290E47" w:rsidRPr="002128A6" w:rsidRDefault="00290E47" w:rsidP="00F54824">
            <w:pPr>
              <w:spacing w:after="0"/>
              <w:jc w:val="both"/>
              <w:rPr>
                <w:rFonts w:ascii="Garamond" w:hAnsi="Garamond" w:cstheme="majorBidi"/>
              </w:rPr>
            </w:pPr>
            <w:r w:rsidRPr="002128A6">
              <w:rPr>
                <w:rFonts w:ascii="Garamond" w:hAnsi="Garamond" w:cstheme="majorBidi"/>
              </w:rPr>
              <w:t>PU</w:t>
            </w:r>
          </w:p>
        </w:tc>
        <w:tc>
          <w:tcPr>
            <w:tcW w:w="8151" w:type="dxa"/>
            <w:gridSpan w:val="2"/>
          </w:tcPr>
          <w:p w14:paraId="6CD4027F" w14:textId="387FD23C" w:rsidR="00290E47" w:rsidRPr="002128A6" w:rsidRDefault="00290E47" w:rsidP="00F54824">
            <w:pPr>
              <w:spacing w:after="0"/>
              <w:jc w:val="both"/>
              <w:rPr>
                <w:rFonts w:ascii="Garamond" w:hAnsi="Garamond" w:cstheme="majorBidi"/>
              </w:rPr>
            </w:pPr>
            <w:r w:rsidRPr="002128A6">
              <w:rPr>
                <w:rFonts w:ascii="Garamond" w:hAnsi="Garamond" w:cstheme="majorBidi"/>
              </w:rPr>
              <w:t>Policia Ushtarake</w:t>
            </w:r>
          </w:p>
        </w:tc>
      </w:tr>
      <w:tr w:rsidR="00F54824" w:rsidRPr="002128A6" w14:paraId="58F3DA0F" w14:textId="77777777" w:rsidTr="00EE772D">
        <w:trPr>
          <w:gridAfter w:val="1"/>
          <w:wAfter w:w="10" w:type="dxa"/>
          <w:trHeight w:val="20"/>
        </w:trPr>
        <w:tc>
          <w:tcPr>
            <w:tcW w:w="1199" w:type="dxa"/>
          </w:tcPr>
          <w:p w14:paraId="50C5A80E" w14:textId="18E875F1" w:rsidR="00290E47" w:rsidRPr="002128A6" w:rsidRDefault="00290E47" w:rsidP="00F54824">
            <w:pPr>
              <w:spacing w:after="0"/>
              <w:jc w:val="both"/>
              <w:rPr>
                <w:rFonts w:ascii="Garamond" w:hAnsi="Garamond" w:cstheme="majorBidi"/>
              </w:rPr>
            </w:pPr>
            <w:r w:rsidRPr="002128A6">
              <w:rPr>
                <w:rFonts w:ascii="Garamond" w:eastAsia="Aptos" w:hAnsi="Garamond" w:cstheme="majorBidi"/>
              </w:rPr>
              <w:t>OZHQ</w:t>
            </w:r>
          </w:p>
        </w:tc>
        <w:tc>
          <w:tcPr>
            <w:tcW w:w="8151" w:type="dxa"/>
            <w:gridSpan w:val="2"/>
          </w:tcPr>
          <w:p w14:paraId="49CD02DE" w14:textId="32F9A51D" w:rsidR="00290E47" w:rsidRPr="002128A6" w:rsidRDefault="00290E47" w:rsidP="00F54824">
            <w:pPr>
              <w:spacing w:after="0"/>
              <w:jc w:val="both"/>
              <w:rPr>
                <w:rFonts w:ascii="Garamond" w:hAnsi="Garamond" w:cstheme="majorBidi"/>
              </w:rPr>
            </w:pPr>
            <w:r w:rsidRPr="002128A6">
              <w:rPr>
                <w:rFonts w:ascii="Garamond" w:hAnsi="Garamond" w:cstheme="majorBidi"/>
                <w:bCs/>
              </w:rPr>
              <w:t>Objektiv i Zhvillimit të Qëndrueshëm</w:t>
            </w:r>
          </w:p>
        </w:tc>
      </w:tr>
      <w:tr w:rsidR="00F54824" w:rsidRPr="002128A6" w14:paraId="71B18B07" w14:textId="77777777" w:rsidTr="00EE772D">
        <w:trPr>
          <w:gridAfter w:val="1"/>
          <w:wAfter w:w="10" w:type="dxa"/>
          <w:trHeight w:val="20"/>
        </w:trPr>
        <w:tc>
          <w:tcPr>
            <w:tcW w:w="1199" w:type="dxa"/>
          </w:tcPr>
          <w:p w14:paraId="5F7BE6E1" w14:textId="6A35D29A" w:rsidR="00290E47" w:rsidRPr="002128A6" w:rsidRDefault="00290E47" w:rsidP="00F54824">
            <w:pPr>
              <w:spacing w:after="0"/>
              <w:jc w:val="both"/>
              <w:rPr>
                <w:rFonts w:ascii="Garamond" w:hAnsi="Garamond" w:cstheme="majorBidi"/>
              </w:rPr>
            </w:pPr>
            <w:r w:rsidRPr="002128A6">
              <w:rPr>
                <w:rFonts w:ascii="Garamond" w:eastAsia="Arial" w:hAnsi="Garamond" w:cstheme="majorBidi"/>
              </w:rPr>
              <w:t>OS</w:t>
            </w:r>
          </w:p>
        </w:tc>
        <w:tc>
          <w:tcPr>
            <w:tcW w:w="8151" w:type="dxa"/>
            <w:gridSpan w:val="2"/>
          </w:tcPr>
          <w:p w14:paraId="2F552D24" w14:textId="1D2A4F3E" w:rsidR="00290E47" w:rsidRPr="002128A6" w:rsidRDefault="00290E47" w:rsidP="00F54824">
            <w:pPr>
              <w:spacing w:after="0"/>
              <w:jc w:val="both"/>
              <w:rPr>
                <w:rFonts w:ascii="Garamond" w:hAnsi="Garamond" w:cstheme="majorBidi"/>
              </w:rPr>
            </w:pPr>
            <w:r w:rsidRPr="002128A6">
              <w:rPr>
                <w:rFonts w:ascii="Garamond" w:hAnsi="Garamond" w:cstheme="majorBidi"/>
                <w:bCs/>
              </w:rPr>
              <w:t>Objektiv Specifik</w:t>
            </w:r>
          </w:p>
        </w:tc>
      </w:tr>
      <w:tr w:rsidR="00F54824" w:rsidRPr="002128A6" w14:paraId="3465EA31" w14:textId="77777777" w:rsidTr="00EE772D">
        <w:trPr>
          <w:gridAfter w:val="1"/>
          <w:wAfter w:w="10" w:type="dxa"/>
          <w:trHeight w:val="20"/>
        </w:trPr>
        <w:tc>
          <w:tcPr>
            <w:tcW w:w="1199" w:type="dxa"/>
          </w:tcPr>
          <w:p w14:paraId="5C20B41A" w14:textId="4B544722" w:rsidR="00290E47" w:rsidRPr="002128A6" w:rsidRDefault="00290E47" w:rsidP="00F54824">
            <w:pPr>
              <w:spacing w:after="0"/>
              <w:jc w:val="both"/>
              <w:rPr>
                <w:rFonts w:ascii="Garamond" w:hAnsi="Garamond" w:cstheme="majorBidi"/>
              </w:rPr>
            </w:pPr>
            <w:r w:rsidRPr="002128A6">
              <w:rPr>
                <w:rFonts w:ascii="Garamond" w:hAnsi="Garamond" w:cstheme="majorBidi"/>
              </w:rPr>
              <w:t>PBA</w:t>
            </w:r>
          </w:p>
        </w:tc>
        <w:tc>
          <w:tcPr>
            <w:tcW w:w="8151" w:type="dxa"/>
            <w:gridSpan w:val="2"/>
          </w:tcPr>
          <w:p w14:paraId="6DAA2BF9" w14:textId="739FB580" w:rsidR="00290E47" w:rsidRPr="002128A6" w:rsidRDefault="00290E47" w:rsidP="00F54824">
            <w:pPr>
              <w:spacing w:after="0"/>
              <w:jc w:val="both"/>
              <w:rPr>
                <w:rFonts w:ascii="Garamond" w:hAnsi="Garamond" w:cstheme="majorBidi"/>
              </w:rPr>
            </w:pPr>
            <w:r w:rsidRPr="002128A6">
              <w:rPr>
                <w:rFonts w:ascii="Garamond" w:hAnsi="Garamond" w:cstheme="majorBidi"/>
              </w:rPr>
              <w:t>Programi Buxhetor Afatmesëm</w:t>
            </w:r>
          </w:p>
        </w:tc>
      </w:tr>
      <w:tr w:rsidR="00F54824" w:rsidRPr="002128A6" w14:paraId="4F808B59" w14:textId="77777777" w:rsidTr="00EE772D">
        <w:trPr>
          <w:gridAfter w:val="1"/>
          <w:wAfter w:w="10" w:type="dxa"/>
          <w:trHeight w:val="20"/>
        </w:trPr>
        <w:tc>
          <w:tcPr>
            <w:tcW w:w="1199" w:type="dxa"/>
          </w:tcPr>
          <w:p w14:paraId="692B9866" w14:textId="637A1F12" w:rsidR="00290E47" w:rsidRPr="002128A6" w:rsidRDefault="00290E47" w:rsidP="00F54824">
            <w:pPr>
              <w:spacing w:after="0"/>
              <w:jc w:val="both"/>
              <w:rPr>
                <w:rFonts w:ascii="Garamond" w:hAnsi="Garamond" w:cstheme="majorBidi"/>
              </w:rPr>
            </w:pPr>
            <w:r w:rsidRPr="002128A6">
              <w:rPr>
                <w:rFonts w:ascii="Garamond" w:hAnsi="Garamond" w:cstheme="majorBidi"/>
              </w:rPr>
              <w:t>PCC SEE</w:t>
            </w:r>
            <w:r w:rsidR="00F54824" w:rsidRPr="002128A6">
              <w:rPr>
                <w:rFonts w:ascii="Garamond" w:hAnsi="Garamond" w:cstheme="majorBidi"/>
              </w:rPr>
              <w:t xml:space="preserve"> </w:t>
            </w:r>
          </w:p>
        </w:tc>
        <w:tc>
          <w:tcPr>
            <w:tcW w:w="8151" w:type="dxa"/>
            <w:gridSpan w:val="2"/>
          </w:tcPr>
          <w:p w14:paraId="488272F2" w14:textId="2F67ACDC" w:rsidR="00290E47" w:rsidRPr="002128A6" w:rsidRDefault="00290E47" w:rsidP="00F54824">
            <w:pPr>
              <w:spacing w:after="0"/>
              <w:jc w:val="both"/>
              <w:rPr>
                <w:rFonts w:ascii="Garamond" w:hAnsi="Garamond" w:cstheme="majorBidi"/>
              </w:rPr>
            </w:pPr>
            <w:r w:rsidRPr="002128A6">
              <w:rPr>
                <w:rFonts w:ascii="Garamond" w:hAnsi="Garamond" w:cstheme="majorBidi"/>
              </w:rPr>
              <w:t>Konventa e Bashkëpunimit Policor për Evropën Juglindore</w:t>
            </w:r>
          </w:p>
        </w:tc>
      </w:tr>
      <w:tr w:rsidR="00F54824" w:rsidRPr="002128A6" w14:paraId="1E9C540C" w14:textId="77777777" w:rsidTr="00EE772D">
        <w:trPr>
          <w:gridAfter w:val="1"/>
          <w:wAfter w:w="10" w:type="dxa"/>
          <w:trHeight w:val="20"/>
        </w:trPr>
        <w:tc>
          <w:tcPr>
            <w:tcW w:w="1199" w:type="dxa"/>
          </w:tcPr>
          <w:p w14:paraId="0B495797" w14:textId="5A433108" w:rsidR="00290E47" w:rsidRPr="002128A6" w:rsidRDefault="00290E47" w:rsidP="00F54824">
            <w:pPr>
              <w:spacing w:after="0"/>
              <w:jc w:val="both"/>
              <w:rPr>
                <w:rFonts w:ascii="Garamond" w:hAnsi="Garamond" w:cstheme="majorBidi"/>
              </w:rPr>
            </w:pPr>
            <w:r w:rsidRPr="002128A6">
              <w:rPr>
                <w:rFonts w:ascii="Garamond" w:hAnsi="Garamond" w:cstheme="majorBidi"/>
              </w:rPr>
              <w:t>RAD</w:t>
            </w:r>
          </w:p>
        </w:tc>
        <w:tc>
          <w:tcPr>
            <w:tcW w:w="8151" w:type="dxa"/>
            <w:gridSpan w:val="2"/>
          </w:tcPr>
          <w:p w14:paraId="17B1E49F" w14:textId="1294D10A" w:rsidR="00290E47" w:rsidRPr="002128A6" w:rsidRDefault="00290E47" w:rsidP="00F54824">
            <w:pPr>
              <w:spacing w:after="0"/>
              <w:jc w:val="both"/>
              <w:rPr>
                <w:rFonts w:ascii="Garamond" w:hAnsi="Garamond" w:cstheme="majorBidi"/>
              </w:rPr>
            </w:pPr>
            <w:r w:rsidRPr="002128A6">
              <w:rPr>
                <w:rFonts w:ascii="Garamond" w:hAnsi="Garamond" w:cstheme="majorBidi"/>
              </w:rPr>
              <w:t>Raporti i Aktivitetit të Dyshimtë</w:t>
            </w:r>
          </w:p>
        </w:tc>
      </w:tr>
      <w:tr w:rsidR="00F54824" w:rsidRPr="002128A6" w14:paraId="1CEF816B" w14:textId="77777777" w:rsidTr="00EE772D">
        <w:trPr>
          <w:gridAfter w:val="1"/>
          <w:wAfter w:w="10" w:type="dxa"/>
          <w:trHeight w:val="20"/>
        </w:trPr>
        <w:tc>
          <w:tcPr>
            <w:tcW w:w="1199" w:type="dxa"/>
          </w:tcPr>
          <w:p w14:paraId="5D0520CC" w14:textId="6EA02776" w:rsidR="00290E47" w:rsidRPr="002128A6" w:rsidRDefault="00290E47" w:rsidP="00F54824">
            <w:pPr>
              <w:spacing w:after="0"/>
              <w:jc w:val="both"/>
              <w:rPr>
                <w:rFonts w:ascii="Garamond" w:hAnsi="Garamond" w:cstheme="majorBidi"/>
              </w:rPr>
            </w:pPr>
            <w:r w:rsidRPr="002128A6">
              <w:rPr>
                <w:rFonts w:ascii="Garamond" w:hAnsi="Garamond" w:cstheme="majorBidi"/>
              </w:rPr>
              <w:t>Sh.p.k</w:t>
            </w:r>
          </w:p>
        </w:tc>
        <w:tc>
          <w:tcPr>
            <w:tcW w:w="8151" w:type="dxa"/>
            <w:gridSpan w:val="2"/>
          </w:tcPr>
          <w:p w14:paraId="28C80834" w14:textId="34B8B649" w:rsidR="00290E47" w:rsidRPr="002128A6" w:rsidRDefault="00290E47" w:rsidP="00F54824">
            <w:pPr>
              <w:spacing w:after="0"/>
              <w:jc w:val="both"/>
              <w:rPr>
                <w:rFonts w:ascii="Garamond" w:hAnsi="Garamond" w:cstheme="majorBidi"/>
              </w:rPr>
            </w:pPr>
            <w:r w:rsidRPr="002128A6">
              <w:rPr>
                <w:rFonts w:ascii="Garamond" w:hAnsi="Garamond" w:cstheme="majorBidi"/>
              </w:rPr>
              <w:t>Shoqëri me Përgjegjësi të Kufizuar</w:t>
            </w:r>
          </w:p>
        </w:tc>
      </w:tr>
      <w:tr w:rsidR="00F54824" w:rsidRPr="002128A6" w14:paraId="229C88B9" w14:textId="77777777" w:rsidTr="00EE772D">
        <w:trPr>
          <w:gridAfter w:val="1"/>
          <w:wAfter w:w="10" w:type="dxa"/>
          <w:trHeight w:val="20"/>
        </w:trPr>
        <w:tc>
          <w:tcPr>
            <w:tcW w:w="1199" w:type="dxa"/>
          </w:tcPr>
          <w:p w14:paraId="67923A7A" w14:textId="0919F7D9" w:rsidR="00290E47" w:rsidRPr="002128A6" w:rsidRDefault="00290E47" w:rsidP="00F54824">
            <w:pPr>
              <w:spacing w:after="0"/>
              <w:jc w:val="both"/>
              <w:rPr>
                <w:rFonts w:ascii="Garamond" w:hAnsi="Garamond" w:cstheme="majorBidi"/>
              </w:rPr>
            </w:pPr>
            <w:r w:rsidRPr="002128A6">
              <w:rPr>
                <w:rFonts w:ascii="Garamond" w:hAnsi="Garamond" w:cstheme="majorBidi"/>
              </w:rPr>
              <w:t>SKZHIE</w:t>
            </w:r>
          </w:p>
        </w:tc>
        <w:tc>
          <w:tcPr>
            <w:tcW w:w="8151" w:type="dxa"/>
            <w:gridSpan w:val="2"/>
          </w:tcPr>
          <w:p w14:paraId="6FDA3E7F" w14:textId="4885E70A" w:rsidR="00290E47" w:rsidRPr="002128A6" w:rsidRDefault="00290E47" w:rsidP="00F54824">
            <w:pPr>
              <w:spacing w:after="0"/>
              <w:jc w:val="both"/>
              <w:rPr>
                <w:rFonts w:ascii="Garamond" w:hAnsi="Garamond" w:cstheme="majorBidi"/>
              </w:rPr>
            </w:pPr>
            <w:r w:rsidRPr="002128A6">
              <w:rPr>
                <w:rFonts w:ascii="Garamond" w:hAnsi="Garamond" w:cstheme="majorBidi"/>
              </w:rPr>
              <w:t>Strategjia Kombëtare për Zhvillim dhe Integrim Evropian</w:t>
            </w:r>
          </w:p>
        </w:tc>
      </w:tr>
      <w:tr w:rsidR="00F54824" w:rsidRPr="002128A6" w14:paraId="573358CC" w14:textId="77777777" w:rsidTr="00EE772D">
        <w:trPr>
          <w:gridAfter w:val="1"/>
          <w:wAfter w:w="10" w:type="dxa"/>
          <w:trHeight w:val="20"/>
        </w:trPr>
        <w:tc>
          <w:tcPr>
            <w:tcW w:w="1199" w:type="dxa"/>
          </w:tcPr>
          <w:p w14:paraId="16272DE4" w14:textId="34305F0A" w:rsidR="00290E47" w:rsidRPr="002128A6" w:rsidRDefault="00290E47" w:rsidP="00F54824">
            <w:pPr>
              <w:spacing w:after="0"/>
              <w:jc w:val="both"/>
              <w:rPr>
                <w:rFonts w:ascii="Garamond" w:hAnsi="Garamond" w:cstheme="majorBidi"/>
              </w:rPr>
            </w:pPr>
            <w:r w:rsidRPr="002128A6">
              <w:rPr>
                <w:rFonts w:ascii="Garamond" w:hAnsi="Garamond" w:cstheme="majorBidi"/>
              </w:rPr>
              <w:t>SASPAC</w:t>
            </w:r>
          </w:p>
        </w:tc>
        <w:tc>
          <w:tcPr>
            <w:tcW w:w="8151" w:type="dxa"/>
            <w:gridSpan w:val="2"/>
          </w:tcPr>
          <w:p w14:paraId="78184C48" w14:textId="1E646544" w:rsidR="00290E47" w:rsidRPr="002128A6" w:rsidRDefault="00290E47" w:rsidP="00F54824">
            <w:pPr>
              <w:spacing w:after="0"/>
              <w:jc w:val="both"/>
              <w:rPr>
                <w:rFonts w:ascii="Garamond" w:hAnsi="Garamond" w:cstheme="majorBidi"/>
              </w:rPr>
            </w:pPr>
            <w:r w:rsidRPr="002128A6">
              <w:rPr>
                <w:rFonts w:ascii="Garamond" w:hAnsi="Garamond" w:cstheme="majorBidi"/>
              </w:rPr>
              <w:t>Agjencia Shtetërore për Programimin Strategjik dhe Koordinimin e Ndihmës</w:t>
            </w:r>
          </w:p>
        </w:tc>
      </w:tr>
      <w:tr w:rsidR="00F54824" w:rsidRPr="002128A6" w14:paraId="6D5A1569" w14:textId="77777777" w:rsidTr="00EE772D">
        <w:trPr>
          <w:gridAfter w:val="1"/>
          <w:wAfter w:w="10" w:type="dxa"/>
          <w:trHeight w:val="20"/>
        </w:trPr>
        <w:tc>
          <w:tcPr>
            <w:tcW w:w="1199" w:type="dxa"/>
          </w:tcPr>
          <w:p w14:paraId="73BB2435" w14:textId="300DE6F6" w:rsidR="00290E47" w:rsidRPr="002128A6" w:rsidRDefault="00290E47" w:rsidP="00F54824">
            <w:pPr>
              <w:spacing w:after="0"/>
              <w:jc w:val="both"/>
              <w:rPr>
                <w:rFonts w:ascii="Garamond" w:hAnsi="Garamond" w:cstheme="majorBidi"/>
              </w:rPr>
            </w:pPr>
            <w:r w:rsidRPr="002128A6">
              <w:rPr>
                <w:rFonts w:ascii="Garamond" w:hAnsi="Garamond" w:cstheme="majorBidi"/>
              </w:rPr>
              <w:t>SIENA</w:t>
            </w:r>
          </w:p>
        </w:tc>
        <w:tc>
          <w:tcPr>
            <w:tcW w:w="8151" w:type="dxa"/>
            <w:gridSpan w:val="2"/>
          </w:tcPr>
          <w:p w14:paraId="6D68ED07" w14:textId="7142DF3F" w:rsidR="00290E47" w:rsidRPr="002128A6" w:rsidRDefault="00290E47" w:rsidP="00F54824">
            <w:pPr>
              <w:spacing w:after="0"/>
              <w:jc w:val="both"/>
              <w:rPr>
                <w:rFonts w:ascii="Garamond" w:hAnsi="Garamond" w:cstheme="majorBidi"/>
              </w:rPr>
            </w:pPr>
            <w:r w:rsidRPr="002128A6">
              <w:rPr>
                <w:rFonts w:ascii="Garamond" w:hAnsi="Garamond" w:cstheme="majorBidi"/>
              </w:rPr>
              <w:t>Aplikacioni i sigurt për rrjetin e shkëmbimit të informacionit</w:t>
            </w:r>
          </w:p>
        </w:tc>
      </w:tr>
      <w:tr w:rsidR="00F54824" w:rsidRPr="002128A6" w14:paraId="0DF8FAE1" w14:textId="77777777" w:rsidTr="00EE772D">
        <w:trPr>
          <w:gridAfter w:val="1"/>
          <w:wAfter w:w="10" w:type="dxa"/>
          <w:trHeight w:val="20"/>
        </w:trPr>
        <w:tc>
          <w:tcPr>
            <w:tcW w:w="1199" w:type="dxa"/>
          </w:tcPr>
          <w:p w14:paraId="6DE68EBD" w14:textId="73FC09DB" w:rsidR="00290E47" w:rsidRPr="002128A6" w:rsidRDefault="00290E47" w:rsidP="00F54824">
            <w:pPr>
              <w:spacing w:after="0"/>
              <w:jc w:val="both"/>
              <w:rPr>
                <w:rFonts w:ascii="Garamond" w:hAnsi="Garamond" w:cstheme="majorBidi"/>
              </w:rPr>
            </w:pPr>
            <w:r w:rsidRPr="002128A6">
              <w:rPr>
                <w:rFonts w:ascii="Garamond" w:hAnsi="Garamond" w:cstheme="majorBidi"/>
              </w:rPr>
              <w:t>SKKOKR</w:t>
            </w:r>
          </w:p>
        </w:tc>
        <w:tc>
          <w:tcPr>
            <w:tcW w:w="8151" w:type="dxa"/>
            <w:gridSpan w:val="2"/>
          </w:tcPr>
          <w:p w14:paraId="40FEE737" w14:textId="20EA3959" w:rsidR="00290E47" w:rsidRPr="002128A6" w:rsidRDefault="00290E47" w:rsidP="00F54824">
            <w:pPr>
              <w:spacing w:after="0"/>
              <w:jc w:val="both"/>
              <w:rPr>
                <w:rFonts w:ascii="Garamond" w:hAnsi="Garamond" w:cstheme="majorBidi"/>
              </w:rPr>
            </w:pPr>
            <w:r w:rsidRPr="002128A6">
              <w:rPr>
                <w:rFonts w:ascii="Garamond" w:hAnsi="Garamond" w:cstheme="majorBidi"/>
              </w:rPr>
              <w:t>Strategjia Kombëtare kundër Krimit të Organizuar dhe Krimeve të Rënda</w:t>
            </w:r>
          </w:p>
        </w:tc>
      </w:tr>
      <w:tr w:rsidR="00F54824" w:rsidRPr="002128A6" w14:paraId="19AE55C1" w14:textId="77777777" w:rsidTr="00EE772D">
        <w:trPr>
          <w:gridAfter w:val="1"/>
          <w:wAfter w:w="10" w:type="dxa"/>
          <w:trHeight w:val="20"/>
        </w:trPr>
        <w:tc>
          <w:tcPr>
            <w:tcW w:w="1199" w:type="dxa"/>
          </w:tcPr>
          <w:p w14:paraId="6497195C" w14:textId="1D266F09" w:rsidR="00290E47" w:rsidRPr="002128A6" w:rsidRDefault="00290E47" w:rsidP="00F54824">
            <w:pPr>
              <w:spacing w:after="0"/>
              <w:jc w:val="both"/>
              <w:rPr>
                <w:rFonts w:ascii="Garamond" w:hAnsi="Garamond" w:cstheme="majorBidi"/>
              </w:rPr>
            </w:pPr>
            <w:r w:rsidRPr="002128A6">
              <w:rPr>
                <w:rFonts w:ascii="Garamond" w:hAnsi="Garamond" w:cstheme="majorBidi"/>
              </w:rPr>
              <w:t>KLGJ</w:t>
            </w:r>
          </w:p>
        </w:tc>
        <w:tc>
          <w:tcPr>
            <w:tcW w:w="8151" w:type="dxa"/>
            <w:gridSpan w:val="2"/>
          </w:tcPr>
          <w:p w14:paraId="13B4C9CC" w14:textId="1C033357" w:rsidR="00290E47" w:rsidRPr="002128A6" w:rsidRDefault="00290E47" w:rsidP="00F54824">
            <w:pPr>
              <w:spacing w:after="0"/>
              <w:jc w:val="both"/>
              <w:rPr>
                <w:rFonts w:ascii="Garamond" w:hAnsi="Garamond" w:cstheme="majorBidi"/>
              </w:rPr>
            </w:pPr>
            <w:r w:rsidRPr="002128A6">
              <w:rPr>
                <w:rFonts w:ascii="Garamond" w:hAnsi="Garamond" w:cstheme="majorBidi"/>
              </w:rPr>
              <w:t>Këshilli i Lartë Gjyqësor</w:t>
            </w:r>
          </w:p>
        </w:tc>
      </w:tr>
      <w:tr w:rsidR="00F54824" w:rsidRPr="002128A6" w14:paraId="6F076FB0" w14:textId="77777777" w:rsidTr="00EE772D">
        <w:trPr>
          <w:gridAfter w:val="1"/>
          <w:wAfter w:w="10" w:type="dxa"/>
          <w:trHeight w:val="20"/>
        </w:trPr>
        <w:tc>
          <w:tcPr>
            <w:tcW w:w="1199" w:type="dxa"/>
          </w:tcPr>
          <w:p w14:paraId="72A790F1" w14:textId="324A95A2" w:rsidR="00290E47" w:rsidRPr="002128A6" w:rsidRDefault="00290E47" w:rsidP="00F54824">
            <w:pPr>
              <w:spacing w:after="0"/>
              <w:jc w:val="both"/>
              <w:rPr>
                <w:rFonts w:ascii="Garamond" w:hAnsi="Garamond" w:cstheme="majorBidi"/>
              </w:rPr>
            </w:pPr>
            <w:r w:rsidRPr="002128A6">
              <w:rPr>
                <w:rFonts w:ascii="Garamond" w:hAnsi="Garamond" w:cstheme="majorBidi"/>
              </w:rPr>
              <w:t>QKEDH</w:t>
            </w:r>
          </w:p>
        </w:tc>
        <w:tc>
          <w:tcPr>
            <w:tcW w:w="8151" w:type="dxa"/>
            <w:gridSpan w:val="2"/>
          </w:tcPr>
          <w:p w14:paraId="21705F5E" w14:textId="2E8CFC29" w:rsidR="00290E47" w:rsidRPr="002128A6" w:rsidRDefault="00290E47" w:rsidP="00F54824">
            <w:pPr>
              <w:spacing w:after="0"/>
              <w:jc w:val="both"/>
              <w:rPr>
                <w:rFonts w:ascii="Garamond" w:hAnsi="Garamond" w:cstheme="majorBidi"/>
              </w:rPr>
            </w:pPr>
            <w:r w:rsidRPr="002128A6">
              <w:rPr>
                <w:rFonts w:ascii="Garamond" w:hAnsi="Garamond" w:cstheme="majorBidi"/>
              </w:rPr>
              <w:t>Qendra e Koordinimit kundër Ekstremizmit të Dhunshëm</w:t>
            </w:r>
          </w:p>
        </w:tc>
      </w:tr>
      <w:tr w:rsidR="00F54824" w:rsidRPr="002128A6" w14:paraId="00431B42" w14:textId="77777777" w:rsidTr="00EE772D">
        <w:trPr>
          <w:gridAfter w:val="1"/>
          <w:wAfter w:w="10" w:type="dxa"/>
          <w:trHeight w:val="20"/>
        </w:trPr>
        <w:tc>
          <w:tcPr>
            <w:tcW w:w="1199" w:type="dxa"/>
          </w:tcPr>
          <w:p w14:paraId="5CEAC4A2" w14:textId="18B93B37" w:rsidR="00F0772A" w:rsidRPr="002128A6" w:rsidRDefault="00F0772A" w:rsidP="00F54824">
            <w:pPr>
              <w:spacing w:after="0"/>
              <w:jc w:val="both"/>
              <w:rPr>
                <w:rFonts w:ascii="Garamond" w:hAnsi="Garamond" w:cstheme="majorBidi"/>
              </w:rPr>
            </w:pPr>
            <w:r w:rsidRPr="002128A6">
              <w:rPr>
                <w:rFonts w:ascii="Garamond" w:hAnsi="Garamond" w:cstheme="majorBidi"/>
              </w:rPr>
              <w:t>SHISH</w:t>
            </w:r>
          </w:p>
        </w:tc>
        <w:tc>
          <w:tcPr>
            <w:tcW w:w="8151" w:type="dxa"/>
            <w:gridSpan w:val="2"/>
          </w:tcPr>
          <w:p w14:paraId="358667A6" w14:textId="5590EAF3" w:rsidR="00F0772A" w:rsidRPr="002128A6" w:rsidRDefault="00F0772A" w:rsidP="00F54824">
            <w:pPr>
              <w:spacing w:after="0"/>
              <w:jc w:val="both"/>
              <w:rPr>
                <w:rFonts w:ascii="Garamond" w:hAnsi="Garamond" w:cstheme="majorBidi"/>
              </w:rPr>
            </w:pPr>
            <w:r w:rsidRPr="002128A6">
              <w:rPr>
                <w:rFonts w:ascii="Garamond" w:hAnsi="Garamond" w:cstheme="majorBidi"/>
              </w:rPr>
              <w:t>Shërbimi Informativ</w:t>
            </w:r>
            <w:r w:rsidR="00A77A64" w:rsidRPr="002128A6">
              <w:rPr>
                <w:rFonts w:ascii="Garamond" w:hAnsi="Garamond" w:cstheme="majorBidi"/>
              </w:rPr>
              <w:t xml:space="preserve"> i Shtetit</w:t>
            </w:r>
          </w:p>
        </w:tc>
      </w:tr>
      <w:tr w:rsidR="00F54824" w:rsidRPr="002128A6" w14:paraId="0CE54B8C" w14:textId="77777777" w:rsidTr="00EE772D">
        <w:trPr>
          <w:gridAfter w:val="2"/>
          <w:wAfter w:w="308" w:type="dxa"/>
          <w:trHeight w:val="20"/>
        </w:trPr>
        <w:tc>
          <w:tcPr>
            <w:tcW w:w="1199" w:type="dxa"/>
          </w:tcPr>
          <w:p w14:paraId="479BCF9C" w14:textId="77777777" w:rsidR="00290E47" w:rsidRPr="002128A6" w:rsidRDefault="00290E47" w:rsidP="00F54824">
            <w:pPr>
              <w:spacing w:after="0"/>
              <w:jc w:val="both"/>
              <w:rPr>
                <w:rFonts w:ascii="Garamond" w:hAnsi="Garamond" w:cstheme="majorBidi"/>
              </w:rPr>
            </w:pPr>
            <w:r w:rsidRPr="002128A6">
              <w:rPr>
                <w:rFonts w:ascii="Garamond" w:eastAsia="Times New Roman" w:hAnsi="Garamond" w:cstheme="majorBidi"/>
              </w:rPr>
              <w:t>SMÇ</w:t>
            </w:r>
          </w:p>
        </w:tc>
        <w:tc>
          <w:tcPr>
            <w:tcW w:w="7853" w:type="dxa"/>
          </w:tcPr>
          <w:p w14:paraId="3F788078" w14:textId="77777777" w:rsidR="00290E47" w:rsidRPr="002128A6" w:rsidRDefault="00290E47" w:rsidP="00F54824">
            <w:pPr>
              <w:spacing w:after="0"/>
              <w:jc w:val="both"/>
              <w:rPr>
                <w:rFonts w:ascii="Garamond" w:hAnsi="Garamond" w:cstheme="majorBidi"/>
              </w:rPr>
            </w:pPr>
            <w:r w:rsidRPr="002128A6">
              <w:rPr>
                <w:rFonts w:ascii="Garamond" w:eastAsia="Times New Roman" w:hAnsi="Garamond" w:cstheme="majorBidi"/>
              </w:rPr>
              <w:t>Sistemi i Menaxhimit të Çështjeve</w:t>
            </w:r>
          </w:p>
        </w:tc>
      </w:tr>
      <w:tr w:rsidR="00F54824" w:rsidRPr="002128A6" w14:paraId="2C8A4401" w14:textId="77777777" w:rsidTr="00EE772D">
        <w:trPr>
          <w:gridAfter w:val="2"/>
          <w:wAfter w:w="308" w:type="dxa"/>
          <w:trHeight w:val="20"/>
        </w:trPr>
        <w:tc>
          <w:tcPr>
            <w:tcW w:w="1199" w:type="dxa"/>
          </w:tcPr>
          <w:p w14:paraId="538FE611" w14:textId="77777777" w:rsidR="00290E47" w:rsidRPr="002128A6" w:rsidRDefault="00290E47" w:rsidP="00F54824">
            <w:pPr>
              <w:spacing w:after="0"/>
              <w:jc w:val="both"/>
              <w:rPr>
                <w:rFonts w:ascii="Garamond" w:hAnsi="Garamond" w:cstheme="majorBidi"/>
              </w:rPr>
            </w:pPr>
            <w:r w:rsidRPr="002128A6">
              <w:rPr>
                <w:rFonts w:ascii="Garamond" w:eastAsia="Times New Roman" w:hAnsi="Garamond" w:cstheme="majorBidi"/>
              </w:rPr>
              <w:t>SOCTA</w:t>
            </w:r>
          </w:p>
        </w:tc>
        <w:tc>
          <w:tcPr>
            <w:tcW w:w="7853" w:type="dxa"/>
          </w:tcPr>
          <w:p w14:paraId="5279FA75" w14:textId="77777777" w:rsidR="00290E47" w:rsidRPr="002128A6" w:rsidRDefault="00290E47" w:rsidP="00F54824">
            <w:pPr>
              <w:spacing w:after="0"/>
              <w:jc w:val="both"/>
              <w:rPr>
                <w:rFonts w:ascii="Garamond" w:hAnsi="Garamond" w:cstheme="majorBidi"/>
              </w:rPr>
            </w:pPr>
            <w:r w:rsidRPr="002128A6">
              <w:rPr>
                <w:rFonts w:ascii="Garamond" w:eastAsia="Times New Roman" w:hAnsi="Garamond" w:cstheme="majorBidi"/>
              </w:rPr>
              <w:t>Vlerësimi i Kërcënimit të Krimit të Organizuar dhe të Rëndë</w:t>
            </w:r>
          </w:p>
        </w:tc>
      </w:tr>
      <w:tr w:rsidR="00F54824" w:rsidRPr="002128A6" w14:paraId="239A7BB3" w14:textId="77777777" w:rsidTr="00EE772D">
        <w:trPr>
          <w:trHeight w:val="20"/>
        </w:trPr>
        <w:tc>
          <w:tcPr>
            <w:tcW w:w="1199" w:type="dxa"/>
          </w:tcPr>
          <w:p w14:paraId="4F5FAA9C" w14:textId="2334AF13" w:rsidR="00290E47" w:rsidRPr="002128A6" w:rsidRDefault="00290E47" w:rsidP="00F54824">
            <w:pPr>
              <w:spacing w:after="0"/>
              <w:jc w:val="both"/>
              <w:rPr>
                <w:rFonts w:ascii="Garamond" w:hAnsi="Garamond" w:cstheme="majorBidi"/>
              </w:rPr>
            </w:pPr>
            <w:r w:rsidRPr="002128A6">
              <w:rPr>
                <w:rFonts w:ascii="Garamond" w:hAnsi="Garamond" w:cstheme="majorBidi"/>
              </w:rPr>
              <w:lastRenderedPageBreak/>
              <w:t>SIPI/IPSIS</w:t>
            </w:r>
            <w:r w:rsidR="00F54824" w:rsidRPr="002128A6">
              <w:rPr>
                <w:rFonts w:ascii="Garamond" w:hAnsi="Garamond" w:cstheme="majorBidi"/>
              </w:rPr>
              <w:t xml:space="preserve"> </w:t>
            </w:r>
          </w:p>
        </w:tc>
        <w:tc>
          <w:tcPr>
            <w:tcW w:w="8161" w:type="dxa"/>
            <w:gridSpan w:val="3"/>
          </w:tcPr>
          <w:p w14:paraId="2421111E"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Sistemi i Integruar i Informacionit për Planifikimin</w:t>
            </w:r>
          </w:p>
        </w:tc>
      </w:tr>
      <w:tr w:rsidR="00F54824" w:rsidRPr="002128A6" w14:paraId="1D828533" w14:textId="77777777" w:rsidTr="00EE772D">
        <w:trPr>
          <w:trHeight w:val="20"/>
        </w:trPr>
        <w:tc>
          <w:tcPr>
            <w:tcW w:w="1199" w:type="dxa"/>
          </w:tcPr>
          <w:p w14:paraId="788846A9"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SPAK</w:t>
            </w:r>
          </w:p>
        </w:tc>
        <w:tc>
          <w:tcPr>
            <w:tcW w:w="8161" w:type="dxa"/>
            <w:gridSpan w:val="3"/>
          </w:tcPr>
          <w:p w14:paraId="1F0BA9EC"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Struktura e Posaçme kundër Korrupsionit dhe Krimit të Organizuar</w:t>
            </w:r>
          </w:p>
        </w:tc>
      </w:tr>
      <w:tr w:rsidR="00F54824" w:rsidRPr="002128A6" w14:paraId="60346335" w14:textId="77777777" w:rsidTr="00EE772D">
        <w:trPr>
          <w:gridAfter w:val="2"/>
          <w:wAfter w:w="308" w:type="dxa"/>
          <w:trHeight w:val="20"/>
        </w:trPr>
        <w:tc>
          <w:tcPr>
            <w:tcW w:w="1199" w:type="dxa"/>
          </w:tcPr>
          <w:p w14:paraId="333CAD6D" w14:textId="77777777" w:rsidR="00290E47" w:rsidRPr="002128A6" w:rsidRDefault="00290E47" w:rsidP="00F54824">
            <w:pPr>
              <w:spacing w:after="0"/>
              <w:jc w:val="both"/>
              <w:rPr>
                <w:rFonts w:ascii="Garamond" w:hAnsi="Garamond" w:cstheme="majorBidi"/>
              </w:rPr>
            </w:pPr>
            <w:r w:rsidRPr="002128A6">
              <w:rPr>
                <w:rFonts w:ascii="Garamond" w:eastAsia="Aptos" w:hAnsi="Garamond" w:cstheme="majorBidi"/>
              </w:rPr>
              <w:t>SPH</w:t>
            </w:r>
          </w:p>
        </w:tc>
        <w:tc>
          <w:tcPr>
            <w:tcW w:w="7853" w:type="dxa"/>
          </w:tcPr>
          <w:p w14:paraId="39D5F568" w14:textId="77777777" w:rsidR="00290E47" w:rsidRPr="002128A6" w:rsidRDefault="00290E47" w:rsidP="00F54824">
            <w:pPr>
              <w:spacing w:after="0"/>
              <w:jc w:val="both"/>
              <w:rPr>
                <w:rFonts w:ascii="Garamond" w:hAnsi="Garamond" w:cstheme="majorBidi"/>
              </w:rPr>
            </w:pPr>
            <w:r w:rsidRPr="002128A6">
              <w:rPr>
                <w:rFonts w:ascii="Garamond" w:eastAsia="Aptos" w:hAnsi="Garamond" w:cstheme="majorBidi"/>
              </w:rPr>
              <w:t>Skuadrat e Përbashkëta Hetimore</w:t>
            </w:r>
          </w:p>
        </w:tc>
      </w:tr>
      <w:tr w:rsidR="00F54824" w:rsidRPr="002128A6" w14:paraId="27E0926A" w14:textId="77777777" w:rsidTr="00EE772D">
        <w:trPr>
          <w:gridAfter w:val="2"/>
          <w:wAfter w:w="308" w:type="dxa"/>
          <w:trHeight w:val="20"/>
        </w:trPr>
        <w:tc>
          <w:tcPr>
            <w:tcW w:w="1199" w:type="dxa"/>
          </w:tcPr>
          <w:p w14:paraId="54CECC95" w14:textId="77777777" w:rsidR="00290E47" w:rsidRPr="002128A6" w:rsidRDefault="00290E47" w:rsidP="00F54824">
            <w:pPr>
              <w:spacing w:after="0"/>
              <w:jc w:val="both"/>
              <w:rPr>
                <w:rFonts w:ascii="Garamond" w:eastAsia="Aptos" w:hAnsi="Garamond" w:cstheme="majorBidi"/>
              </w:rPr>
            </w:pPr>
            <w:r w:rsidRPr="002128A6">
              <w:rPr>
                <w:rFonts w:ascii="Garamond" w:hAnsi="Garamond" w:cstheme="majorBidi"/>
              </w:rPr>
              <w:t>TI</w:t>
            </w:r>
          </w:p>
        </w:tc>
        <w:tc>
          <w:tcPr>
            <w:tcW w:w="7853" w:type="dxa"/>
          </w:tcPr>
          <w:p w14:paraId="1C8B524A" w14:textId="77777777" w:rsidR="00290E47" w:rsidRPr="002128A6" w:rsidRDefault="00290E47" w:rsidP="00F54824">
            <w:pPr>
              <w:spacing w:after="0"/>
              <w:jc w:val="both"/>
              <w:rPr>
                <w:rFonts w:ascii="Garamond" w:eastAsia="Aptos" w:hAnsi="Garamond" w:cstheme="majorBidi"/>
              </w:rPr>
            </w:pPr>
            <w:r w:rsidRPr="002128A6">
              <w:rPr>
                <w:rFonts w:ascii="Garamond" w:hAnsi="Garamond" w:cstheme="majorBidi"/>
              </w:rPr>
              <w:t xml:space="preserve">Teknologji e informacionit </w:t>
            </w:r>
          </w:p>
        </w:tc>
      </w:tr>
      <w:tr w:rsidR="00F54824" w:rsidRPr="002128A6" w14:paraId="538BDC33" w14:textId="77777777" w:rsidTr="00EE772D">
        <w:trPr>
          <w:gridAfter w:val="2"/>
          <w:wAfter w:w="308" w:type="dxa"/>
          <w:trHeight w:val="20"/>
        </w:trPr>
        <w:tc>
          <w:tcPr>
            <w:tcW w:w="1199" w:type="dxa"/>
          </w:tcPr>
          <w:p w14:paraId="6D5DA274" w14:textId="77777777" w:rsidR="00290E47" w:rsidRPr="002128A6" w:rsidRDefault="00290E47" w:rsidP="00F54824">
            <w:pPr>
              <w:spacing w:after="0"/>
              <w:jc w:val="both"/>
              <w:rPr>
                <w:rFonts w:ascii="Garamond" w:hAnsi="Garamond" w:cstheme="majorBidi"/>
              </w:rPr>
            </w:pPr>
            <w:r w:rsidRPr="002128A6">
              <w:rPr>
                <w:rFonts w:ascii="Garamond" w:eastAsia="Times New Roman" w:hAnsi="Garamond" w:cstheme="majorBidi"/>
              </w:rPr>
              <w:t>UNODC</w:t>
            </w:r>
          </w:p>
        </w:tc>
        <w:tc>
          <w:tcPr>
            <w:tcW w:w="7853" w:type="dxa"/>
          </w:tcPr>
          <w:p w14:paraId="3C2E33F4" w14:textId="77777777" w:rsidR="00290E47" w:rsidRPr="002128A6" w:rsidRDefault="00290E47" w:rsidP="00F54824">
            <w:pPr>
              <w:spacing w:after="0"/>
              <w:jc w:val="both"/>
              <w:rPr>
                <w:rFonts w:ascii="Garamond" w:hAnsi="Garamond" w:cstheme="majorBidi"/>
              </w:rPr>
            </w:pPr>
            <w:r w:rsidRPr="002128A6">
              <w:rPr>
                <w:rFonts w:ascii="Garamond" w:eastAsia="Times New Roman" w:hAnsi="Garamond" w:cstheme="majorBidi"/>
              </w:rPr>
              <w:t>Zyra e Kombeve të Bashkuara për Drogën dhe Krimin</w:t>
            </w:r>
          </w:p>
        </w:tc>
      </w:tr>
      <w:tr w:rsidR="00F54824" w:rsidRPr="002128A6" w14:paraId="7049116A" w14:textId="77777777" w:rsidTr="00EE772D">
        <w:trPr>
          <w:trHeight w:val="20"/>
        </w:trPr>
        <w:tc>
          <w:tcPr>
            <w:tcW w:w="1199" w:type="dxa"/>
          </w:tcPr>
          <w:p w14:paraId="378B7216"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VPN</w:t>
            </w:r>
          </w:p>
        </w:tc>
        <w:tc>
          <w:tcPr>
            <w:tcW w:w="8161" w:type="dxa"/>
            <w:gridSpan w:val="3"/>
          </w:tcPr>
          <w:p w14:paraId="7BA47C7F"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Rrjeti Privat Virtual</w:t>
            </w:r>
          </w:p>
        </w:tc>
      </w:tr>
      <w:tr w:rsidR="00F54824" w:rsidRPr="002128A6" w14:paraId="76964142" w14:textId="77777777" w:rsidTr="00EE772D">
        <w:trPr>
          <w:gridAfter w:val="2"/>
          <w:wAfter w:w="308" w:type="dxa"/>
          <w:trHeight w:val="20"/>
        </w:trPr>
        <w:tc>
          <w:tcPr>
            <w:tcW w:w="1199" w:type="dxa"/>
          </w:tcPr>
          <w:p w14:paraId="3E2E0452"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ZRA</w:t>
            </w:r>
          </w:p>
        </w:tc>
        <w:tc>
          <w:tcPr>
            <w:tcW w:w="7853" w:type="dxa"/>
          </w:tcPr>
          <w:p w14:paraId="06689E86" w14:textId="77777777" w:rsidR="00290E47" w:rsidRPr="002128A6" w:rsidRDefault="00290E47" w:rsidP="00F54824">
            <w:pPr>
              <w:spacing w:after="0"/>
              <w:jc w:val="both"/>
              <w:rPr>
                <w:rFonts w:ascii="Garamond" w:hAnsi="Garamond" w:cstheme="majorBidi"/>
              </w:rPr>
            </w:pPr>
            <w:r w:rsidRPr="002128A6">
              <w:rPr>
                <w:rFonts w:ascii="Garamond" w:hAnsi="Garamond" w:cstheme="majorBidi"/>
              </w:rPr>
              <w:t>Zyra e Rikuperimit të Aseteve</w:t>
            </w:r>
          </w:p>
        </w:tc>
      </w:tr>
    </w:tbl>
    <w:p w14:paraId="7018A960" w14:textId="77777777" w:rsidR="00F54824" w:rsidRPr="002128A6" w:rsidRDefault="00F54824" w:rsidP="00F54824">
      <w:pPr>
        <w:pStyle w:val="Heading1"/>
        <w:spacing w:before="0" w:after="0" w:line="240" w:lineRule="auto"/>
        <w:jc w:val="center"/>
        <w:rPr>
          <w:rFonts w:ascii="Garamond" w:eastAsia="Calibri" w:hAnsi="Garamond"/>
          <w:b/>
          <w:color w:val="auto"/>
          <w:sz w:val="24"/>
          <w:szCs w:val="24"/>
        </w:rPr>
      </w:pPr>
      <w:bookmarkStart w:id="6" w:name="_Toc233371565"/>
      <w:bookmarkEnd w:id="0"/>
    </w:p>
    <w:p w14:paraId="7CCC5925" w14:textId="4684CF7C" w:rsidR="00F54824" w:rsidRPr="002128A6" w:rsidRDefault="00D226C7" w:rsidP="00F54824">
      <w:pPr>
        <w:pStyle w:val="Heading1"/>
        <w:spacing w:before="0" w:after="0" w:line="240" w:lineRule="auto"/>
        <w:jc w:val="center"/>
        <w:rPr>
          <w:rFonts w:ascii="Garamond" w:eastAsia="Calibri" w:hAnsi="Garamond"/>
          <w:bCs/>
          <w:color w:val="auto"/>
          <w:sz w:val="24"/>
          <w:szCs w:val="24"/>
        </w:rPr>
      </w:pPr>
      <w:r w:rsidRPr="002128A6">
        <w:rPr>
          <w:rFonts w:ascii="Garamond" w:eastAsia="Calibri" w:hAnsi="Garamond"/>
          <w:bCs/>
          <w:color w:val="auto"/>
          <w:sz w:val="24"/>
          <w:szCs w:val="24"/>
        </w:rPr>
        <w:t>PJESA I</w:t>
      </w:r>
    </w:p>
    <w:p w14:paraId="7E219706" w14:textId="62F21995" w:rsidR="00D226C7" w:rsidRPr="002128A6" w:rsidRDefault="00D226C7" w:rsidP="00F54824">
      <w:pPr>
        <w:pStyle w:val="Heading1"/>
        <w:spacing w:before="0" w:after="0" w:line="240" w:lineRule="auto"/>
        <w:jc w:val="center"/>
        <w:rPr>
          <w:rFonts w:ascii="Garamond" w:eastAsia="Calibri" w:hAnsi="Garamond"/>
          <w:bCs/>
          <w:color w:val="auto"/>
          <w:sz w:val="24"/>
          <w:szCs w:val="24"/>
        </w:rPr>
      </w:pPr>
      <w:r w:rsidRPr="002128A6">
        <w:rPr>
          <w:rFonts w:ascii="Garamond" w:eastAsia="Calibri" w:hAnsi="Garamond"/>
          <w:bCs/>
          <w:color w:val="auto"/>
          <w:sz w:val="24"/>
          <w:szCs w:val="24"/>
        </w:rPr>
        <w:t>KONTEKSTI STRATEGJIK</w:t>
      </w:r>
      <w:bookmarkEnd w:id="6"/>
    </w:p>
    <w:p w14:paraId="1D151F88" w14:textId="77777777" w:rsidR="009C1A51" w:rsidRPr="002128A6" w:rsidRDefault="009C1A51" w:rsidP="0025426C">
      <w:pPr>
        <w:spacing w:after="0" w:line="240" w:lineRule="auto"/>
        <w:ind w:firstLine="284"/>
        <w:jc w:val="both"/>
        <w:rPr>
          <w:rFonts w:ascii="Garamond" w:hAnsi="Garamond" w:cstheme="majorBidi"/>
        </w:rPr>
      </w:pPr>
    </w:p>
    <w:p w14:paraId="7ECC2D6C" w14:textId="4AA6247A" w:rsidR="001E0B27" w:rsidRPr="002128A6" w:rsidRDefault="00407F50" w:rsidP="0025426C">
      <w:pPr>
        <w:pStyle w:val="Heading2"/>
        <w:spacing w:before="0" w:after="0" w:line="240" w:lineRule="auto"/>
        <w:ind w:firstLine="284"/>
        <w:jc w:val="both"/>
        <w:rPr>
          <w:rFonts w:ascii="Garamond" w:hAnsi="Garamond"/>
          <w:color w:val="auto"/>
          <w:sz w:val="24"/>
          <w:szCs w:val="24"/>
        </w:rPr>
      </w:pPr>
      <w:bookmarkStart w:id="7" w:name="_Toc227770705"/>
      <w:bookmarkStart w:id="8" w:name="_Toc233371566"/>
      <w:r w:rsidRPr="002128A6">
        <w:rPr>
          <w:rFonts w:ascii="Garamond" w:hAnsi="Garamond"/>
          <w:color w:val="auto"/>
          <w:sz w:val="24"/>
          <w:szCs w:val="24"/>
        </w:rPr>
        <w:t xml:space="preserve">1. </w:t>
      </w:r>
      <w:r w:rsidR="001E0B27" w:rsidRPr="002128A6">
        <w:rPr>
          <w:rFonts w:ascii="Garamond" w:hAnsi="Garamond"/>
          <w:color w:val="auto"/>
          <w:sz w:val="24"/>
          <w:szCs w:val="24"/>
        </w:rPr>
        <w:t>HYRJA DHE QËLLIMI I DOKUMENTIT STRATEGJIK</w:t>
      </w:r>
      <w:bookmarkEnd w:id="7"/>
      <w:bookmarkEnd w:id="8"/>
    </w:p>
    <w:p w14:paraId="08DE9656" w14:textId="728853DF" w:rsidR="00CB2F22" w:rsidRPr="002128A6" w:rsidRDefault="00A11C87" w:rsidP="0025426C">
      <w:pPr>
        <w:spacing w:after="0" w:line="240" w:lineRule="auto"/>
        <w:ind w:firstLine="284"/>
        <w:jc w:val="both"/>
        <w:rPr>
          <w:rFonts w:ascii="Garamond" w:eastAsiaTheme="minorEastAsia" w:hAnsi="Garamond" w:cstheme="majorBidi"/>
        </w:rPr>
      </w:pPr>
      <w:r w:rsidRPr="002128A6">
        <w:rPr>
          <w:rFonts w:ascii="Garamond" w:hAnsi="Garamond" w:cstheme="majorBidi"/>
        </w:rPr>
        <w:t xml:space="preserve">Republika e Shqipërisë vazhdon të avancojë </w:t>
      </w:r>
      <w:r w:rsidR="00E32A1B" w:rsidRPr="002128A6">
        <w:rPr>
          <w:rFonts w:ascii="Garamond" w:hAnsi="Garamond" w:cstheme="majorBidi"/>
        </w:rPr>
        <w:t>agjend</w:t>
      </w:r>
      <w:r w:rsidRPr="002128A6">
        <w:rPr>
          <w:rFonts w:ascii="Garamond" w:hAnsi="Garamond" w:cstheme="majorBidi"/>
        </w:rPr>
        <w:t xml:space="preserve">ën e </w:t>
      </w:r>
      <w:r w:rsidR="00A66D46" w:rsidRPr="002128A6">
        <w:rPr>
          <w:rFonts w:ascii="Garamond" w:hAnsi="Garamond" w:cstheme="majorBidi"/>
        </w:rPr>
        <w:t>reformave</w:t>
      </w:r>
      <w:r w:rsidRPr="002128A6">
        <w:rPr>
          <w:rFonts w:ascii="Garamond" w:hAnsi="Garamond" w:cstheme="majorBidi"/>
        </w:rPr>
        <w:t xml:space="preserve"> dhe të harmonizohet gjithnjë e më ngushtë me standardet e Bashkimit E</w:t>
      </w:r>
      <w:r w:rsidR="00A66D46" w:rsidRPr="002128A6">
        <w:rPr>
          <w:rFonts w:ascii="Garamond" w:hAnsi="Garamond" w:cstheme="majorBidi"/>
        </w:rPr>
        <w:t>vropian</w:t>
      </w:r>
      <w:r w:rsidRPr="002128A6">
        <w:rPr>
          <w:rFonts w:ascii="Garamond" w:hAnsi="Garamond" w:cstheme="majorBidi"/>
        </w:rPr>
        <w:t xml:space="preserve">. </w:t>
      </w:r>
      <w:r w:rsidR="00F869E0" w:rsidRPr="002128A6">
        <w:rPr>
          <w:rFonts w:ascii="Garamond" w:hAnsi="Garamond" w:cstheme="majorBidi"/>
        </w:rPr>
        <w:t>Në këtë kontekst, krimi i organizuar vazhdon të përbëjë një kërcënim serioz dhe të vazhdueshëm, duke cenuar kohezionin shoqëror, stabilitetin ekonomik dhe konsolidimin e proceseve demokratike në vend.</w:t>
      </w:r>
      <w:r w:rsidR="003734E6" w:rsidRPr="002128A6">
        <w:rPr>
          <w:rFonts w:ascii="Garamond" w:hAnsi="Garamond" w:cstheme="majorBidi"/>
        </w:rPr>
        <w:t xml:space="preserve"> </w:t>
      </w:r>
      <w:r w:rsidR="004D29A7" w:rsidRPr="002128A6">
        <w:rPr>
          <w:rFonts w:ascii="Garamond" w:hAnsi="Garamond" w:cstheme="majorBidi"/>
        </w:rPr>
        <w:t xml:space="preserve">Sfidat që paraqet krimi i organizuar tejkalojnë dimensionin kombëtar, pasi grupet kriminale me lidhje shqiptare kanë zhvilluar rrjete komplekse dhe të mirëstrukturuara që operojnë në mbarë Evropën dhe më gjerë. Këto rrjete janë të përfshira në një gamë të gjerë aktivitetesh kriminale me ndikim të lartë, duke përfshirë trafikimin e lëndëve narkotike, veçanërisht të kokainës, trafikimin e qenieve njerëzore, kontrabandimin e migrantëve, mashtrimet kibernetike, pastrimin e parave dhe korrupsionin. Karakteri transnacional i veprimtarisë së tyre, së bashku me aftësinë për t’u përshtatur ndaj rrethanave të reja, për të shfrytëzuar boshllëqet rregullatore dhe për të depërtuar në ekonominë e ligjshme, përbën një sfidë të konsiderueshme për Shqipërinë dhe partnerët e saj ndërkombëtarë në fushën e sigurisë dhe sundimit të ligjit. </w:t>
      </w:r>
    </w:p>
    <w:p w14:paraId="77225E07" w14:textId="41AE7401" w:rsidR="00CB2F22" w:rsidRPr="002128A6" w:rsidRDefault="004D29A7" w:rsidP="0025426C">
      <w:pPr>
        <w:spacing w:after="0" w:line="240" w:lineRule="auto"/>
        <w:ind w:firstLine="284"/>
        <w:jc w:val="both"/>
        <w:rPr>
          <w:rFonts w:ascii="Garamond" w:hAnsi="Garamond" w:cstheme="majorBidi"/>
        </w:rPr>
      </w:pPr>
      <w:r w:rsidRPr="002128A6">
        <w:rPr>
          <w:rFonts w:ascii="Garamond" w:hAnsi="Garamond" w:cstheme="majorBidi"/>
        </w:rPr>
        <w:t xml:space="preserve">Ndikimet e krimit të organizuar shtrihen në një gamë të gjerë dimensionesh shoqërore, ekonomike dhe institucionale. Rrjetet kriminale shfrytëzojnë dobësitë dhe cenueshmëritë ekzistuese brenda institucioneve publike, sektorëve ekonomikë dhe komuniteteve vendore, duke rritur aftësinë e tyre për të ushtruar ndikim dhe për të siguruar përfitime të paligjshme. Veprimtaria e tyre dëmton besimin e publikut në institucionet shtetërore, cenon sundimin e ligjit dhe kufizon efektivitetin e mekanizmave ligjzbatuese dhe gjyqësore. </w:t>
      </w:r>
      <w:r w:rsidR="00CB2F22" w:rsidRPr="002128A6">
        <w:rPr>
          <w:rFonts w:ascii="Garamond" w:hAnsi="Garamond" w:cstheme="majorBidi"/>
        </w:rPr>
        <w:t xml:space="preserve">Këto zhvillime pengojnë progresin e Shqipërisë drejt përmbushjes së kërkesave </w:t>
      </w:r>
      <w:r w:rsidR="00010B95" w:rsidRPr="002128A6">
        <w:rPr>
          <w:rFonts w:ascii="Garamond" w:hAnsi="Garamond" w:cstheme="majorBidi"/>
        </w:rPr>
        <w:t>strikte</w:t>
      </w:r>
      <w:r w:rsidR="00CB2F22" w:rsidRPr="002128A6">
        <w:rPr>
          <w:rFonts w:ascii="Garamond" w:hAnsi="Garamond" w:cstheme="majorBidi"/>
        </w:rPr>
        <w:t xml:space="preserve"> të anëtarësimit në Bashkimin E</w:t>
      </w:r>
      <w:r w:rsidR="00A66D46" w:rsidRPr="002128A6">
        <w:rPr>
          <w:rFonts w:ascii="Garamond" w:hAnsi="Garamond" w:cstheme="majorBidi"/>
        </w:rPr>
        <w:t>vropian</w:t>
      </w:r>
      <w:r w:rsidR="00CB2F22" w:rsidRPr="002128A6">
        <w:rPr>
          <w:rFonts w:ascii="Garamond" w:hAnsi="Garamond" w:cstheme="majorBidi"/>
        </w:rPr>
        <w:t xml:space="preserve">. </w:t>
      </w:r>
      <w:r w:rsidR="00D513F5" w:rsidRPr="002128A6">
        <w:rPr>
          <w:rFonts w:ascii="Garamond" w:hAnsi="Garamond" w:cstheme="majorBidi"/>
        </w:rPr>
        <w:t xml:space="preserve">Nivelet e perceptuara dhe reale të kriminalitetit dhe korrupsionit ndikojnë negativisht në legjitimitetin e institucioneve demokratike, duke dobësuar gjithashtu besimin e partnerëve ndërkombëtarë dhe efektivitetin e bashkëpunimit ndërkufitar. Lufta kundër krimit të organizuar nuk përbën vetëm një prioritet të sigurisë së brendshme, por edhe një kusht thelbësor për forcimin e shtetit të së drejtës, konsolidimin e institucioneve demokratike dhe avancimin e procesit të anëtarësimit të Shqipërisë në Bashkimin Evropian. </w:t>
      </w:r>
      <w:r w:rsidR="00CB2F22" w:rsidRPr="002128A6">
        <w:rPr>
          <w:rFonts w:ascii="Garamond" w:hAnsi="Garamond" w:cstheme="majorBidi"/>
        </w:rPr>
        <w:t xml:space="preserve">Në këtë </w:t>
      </w:r>
      <w:r w:rsidR="00D513F5" w:rsidRPr="002128A6">
        <w:rPr>
          <w:rFonts w:ascii="Garamond" w:hAnsi="Garamond" w:cstheme="majorBidi"/>
        </w:rPr>
        <w:t>kontekst</w:t>
      </w:r>
      <w:r w:rsidR="00CB2F22" w:rsidRPr="002128A6">
        <w:rPr>
          <w:rFonts w:ascii="Garamond" w:hAnsi="Garamond" w:cstheme="majorBidi"/>
        </w:rPr>
        <w:t xml:space="preserve">, </w:t>
      </w:r>
      <w:r w:rsidR="00CB2F22" w:rsidRPr="002128A6">
        <w:rPr>
          <w:rFonts w:ascii="Garamond" w:hAnsi="Garamond" w:cstheme="majorBidi"/>
          <w:b/>
          <w:bCs/>
        </w:rPr>
        <w:t>Strategjia Kombëtare për Parandalimin dhe Luftën kundër Krimit të Organizuar dhe Krimeve të Rënda 2026</w:t>
      </w:r>
      <w:r w:rsidR="00F54824" w:rsidRPr="002128A6">
        <w:rPr>
          <w:rFonts w:ascii="Garamond" w:hAnsi="Garamond" w:cstheme="majorBidi"/>
          <w:b/>
          <w:bCs/>
        </w:rPr>
        <w:t>–</w:t>
      </w:r>
      <w:r w:rsidR="00CB2F22" w:rsidRPr="002128A6">
        <w:rPr>
          <w:rFonts w:ascii="Garamond" w:hAnsi="Garamond" w:cstheme="majorBidi"/>
          <w:b/>
          <w:bCs/>
        </w:rPr>
        <w:t>2030</w:t>
      </w:r>
      <w:r w:rsidR="00CB2F22" w:rsidRPr="002128A6">
        <w:rPr>
          <w:rFonts w:ascii="Garamond" w:hAnsi="Garamond" w:cstheme="majorBidi"/>
        </w:rPr>
        <w:t xml:space="preserve"> është </w:t>
      </w:r>
      <w:r w:rsidR="00C45ABE" w:rsidRPr="002128A6">
        <w:rPr>
          <w:rFonts w:ascii="Garamond" w:hAnsi="Garamond" w:cstheme="majorBidi"/>
        </w:rPr>
        <w:t>hart</w:t>
      </w:r>
      <w:r w:rsidR="00CB2F22" w:rsidRPr="002128A6">
        <w:rPr>
          <w:rFonts w:ascii="Garamond" w:hAnsi="Garamond" w:cstheme="majorBidi"/>
        </w:rPr>
        <w:t xml:space="preserve">uar si </w:t>
      </w:r>
      <w:r w:rsidR="00D513F5" w:rsidRPr="002128A6">
        <w:rPr>
          <w:rFonts w:ascii="Garamond" w:hAnsi="Garamond" w:cstheme="majorBidi"/>
        </w:rPr>
        <w:t xml:space="preserve">një </w:t>
      </w:r>
      <w:r w:rsidR="00CB2F22" w:rsidRPr="002128A6">
        <w:rPr>
          <w:rFonts w:ascii="Garamond" w:hAnsi="Garamond" w:cstheme="majorBidi"/>
        </w:rPr>
        <w:t>përgjigje gjithëpërfshirëse</w:t>
      </w:r>
      <w:r w:rsidR="00D513F5" w:rsidRPr="002128A6">
        <w:rPr>
          <w:rFonts w:ascii="Garamond" w:hAnsi="Garamond" w:cstheme="majorBidi"/>
        </w:rPr>
        <w:t>, e integruar</w:t>
      </w:r>
      <w:r w:rsidR="00CB2F22" w:rsidRPr="002128A6">
        <w:rPr>
          <w:rFonts w:ascii="Garamond" w:hAnsi="Garamond" w:cstheme="majorBidi"/>
        </w:rPr>
        <w:t xml:space="preserve"> dhe largpamëse</w:t>
      </w:r>
      <w:r w:rsidR="00811564" w:rsidRPr="002128A6">
        <w:rPr>
          <w:rFonts w:ascii="Garamond" w:hAnsi="Garamond" w:cstheme="majorBidi"/>
        </w:rPr>
        <w:t>, e ndërtuar mbi bazën e përvojës së strategjisë së mëparshme ndërsektoriale për periudhën 202</w:t>
      </w:r>
      <w:r w:rsidR="00C17F8D" w:rsidRPr="002128A6">
        <w:rPr>
          <w:rFonts w:ascii="Garamond" w:hAnsi="Garamond" w:cstheme="majorBidi"/>
        </w:rPr>
        <w:t>1</w:t>
      </w:r>
      <w:r w:rsidR="002930A6">
        <w:rPr>
          <w:rFonts w:ascii="Garamond" w:hAnsi="Garamond" w:cstheme="majorBidi"/>
        </w:rPr>
        <w:t>–</w:t>
      </w:r>
      <w:r w:rsidR="00811564" w:rsidRPr="002128A6">
        <w:rPr>
          <w:rFonts w:ascii="Garamond" w:hAnsi="Garamond" w:cstheme="majorBidi"/>
        </w:rPr>
        <w:t>2025 dhe Planeve të Veprimit të saj, kjo strategji shënon një riorientim të plotë drejt prioriteteve aktuale dhe prioriteteve afatgjata të shtetit shqiptar në luftën kundër krimit të organizuar</w:t>
      </w:r>
      <w:r w:rsidR="00393060" w:rsidRPr="002128A6">
        <w:rPr>
          <w:rFonts w:ascii="Garamond" w:hAnsi="Garamond" w:cstheme="majorBidi"/>
        </w:rPr>
        <w:t xml:space="preserve">. </w:t>
      </w:r>
      <w:r w:rsidR="00CB2F22" w:rsidRPr="002128A6">
        <w:rPr>
          <w:rFonts w:ascii="Garamond" w:hAnsi="Garamond" w:cstheme="majorBidi"/>
        </w:rPr>
        <w:t xml:space="preserve">Kjo strategji prezanton një kornizë moderne, të udhëhequr nga inteligjenca dhe të harmonizuar me </w:t>
      </w:r>
      <w:r w:rsidR="00D513F5" w:rsidRPr="002128A6">
        <w:rPr>
          <w:rFonts w:ascii="Garamond" w:hAnsi="Garamond" w:cstheme="majorBidi"/>
        </w:rPr>
        <w:t>standardet dhe prioritetet e Bashkimit Evropian</w:t>
      </w:r>
      <w:r w:rsidR="00CB2F22" w:rsidRPr="002128A6">
        <w:rPr>
          <w:rFonts w:ascii="Garamond" w:hAnsi="Garamond" w:cstheme="majorBidi"/>
        </w:rPr>
        <w:t xml:space="preserve">, e </w:t>
      </w:r>
      <w:r w:rsidR="003E0CB5" w:rsidRPr="002128A6">
        <w:rPr>
          <w:rFonts w:ascii="Garamond" w:hAnsi="Garamond" w:cstheme="majorBidi"/>
        </w:rPr>
        <w:t>hartuar</w:t>
      </w:r>
      <w:r w:rsidR="00CB2F22" w:rsidRPr="002128A6">
        <w:rPr>
          <w:rFonts w:ascii="Garamond" w:hAnsi="Garamond" w:cstheme="majorBidi"/>
        </w:rPr>
        <w:t xml:space="preserve"> për të përmirësuar qëndrueshmërinë e Shqipërisë ndaj formave të </w:t>
      </w:r>
      <w:r w:rsidR="003E0CB5" w:rsidRPr="002128A6">
        <w:rPr>
          <w:rFonts w:ascii="Garamond" w:hAnsi="Garamond" w:cstheme="majorBidi"/>
        </w:rPr>
        <w:t>konsoliduara</w:t>
      </w:r>
      <w:r w:rsidR="00CB2F22" w:rsidRPr="002128A6">
        <w:rPr>
          <w:rFonts w:ascii="Garamond" w:hAnsi="Garamond" w:cstheme="majorBidi"/>
        </w:rPr>
        <w:t xml:space="preserve"> dhe atyre në zhvillim të krimit të organizuar. </w:t>
      </w:r>
      <w:r w:rsidR="00D513F5" w:rsidRPr="002128A6">
        <w:rPr>
          <w:rFonts w:ascii="Garamond" w:hAnsi="Garamond" w:cstheme="majorBidi"/>
        </w:rPr>
        <w:t xml:space="preserve">Ky kuadër strategjik mbështetet në praktikat më të mira ndërkombëtare </w:t>
      </w:r>
      <w:r w:rsidR="00CB2F22" w:rsidRPr="002128A6">
        <w:rPr>
          <w:rFonts w:ascii="Garamond" w:hAnsi="Garamond" w:cstheme="majorBidi"/>
        </w:rPr>
        <w:t xml:space="preserve">dhe </w:t>
      </w:r>
      <w:r w:rsidR="00393060" w:rsidRPr="002128A6">
        <w:rPr>
          <w:rFonts w:ascii="Garamond" w:hAnsi="Garamond" w:cstheme="majorBidi"/>
        </w:rPr>
        <w:t>integron</w:t>
      </w:r>
      <w:r w:rsidR="00CB2F22" w:rsidRPr="002128A6">
        <w:rPr>
          <w:rFonts w:ascii="Garamond" w:hAnsi="Garamond" w:cstheme="majorBidi"/>
        </w:rPr>
        <w:t xml:space="preserve"> </w:t>
      </w:r>
      <w:r w:rsidR="00D513F5" w:rsidRPr="002128A6">
        <w:rPr>
          <w:rFonts w:ascii="Garamond" w:hAnsi="Garamond" w:cstheme="majorBidi"/>
        </w:rPr>
        <w:t xml:space="preserve">qasjet me të avancuara </w:t>
      </w:r>
      <w:r w:rsidR="00CB2F22" w:rsidRPr="002128A6">
        <w:rPr>
          <w:rFonts w:ascii="Garamond" w:hAnsi="Garamond" w:cstheme="majorBidi"/>
        </w:rPr>
        <w:t xml:space="preserve">në parandalimin e </w:t>
      </w:r>
      <w:r w:rsidR="00CB2F22" w:rsidRPr="002128A6">
        <w:rPr>
          <w:rFonts w:ascii="Garamond" w:hAnsi="Garamond" w:cstheme="majorBidi"/>
        </w:rPr>
        <w:lastRenderedPageBreak/>
        <w:t>krimi</w:t>
      </w:r>
      <w:r w:rsidR="00D513F5" w:rsidRPr="002128A6">
        <w:rPr>
          <w:rFonts w:ascii="Garamond" w:hAnsi="Garamond" w:cstheme="majorBidi"/>
        </w:rPr>
        <w:t>nalitetit</w:t>
      </w:r>
      <w:r w:rsidR="00CB2F22" w:rsidRPr="002128A6">
        <w:rPr>
          <w:rFonts w:ascii="Garamond" w:hAnsi="Garamond" w:cstheme="majorBidi"/>
        </w:rPr>
        <w:t xml:space="preserve">, mbledhjen e inteligjencës, ndërprerjen </w:t>
      </w:r>
      <w:r w:rsidR="003E0CB5" w:rsidRPr="002128A6">
        <w:rPr>
          <w:rFonts w:ascii="Garamond" w:hAnsi="Garamond" w:cstheme="majorBidi"/>
        </w:rPr>
        <w:t>e operacioneve kriminale</w:t>
      </w:r>
      <w:r w:rsidR="00CB2F22" w:rsidRPr="002128A6">
        <w:rPr>
          <w:rFonts w:ascii="Garamond" w:hAnsi="Garamond" w:cstheme="majorBidi"/>
        </w:rPr>
        <w:t xml:space="preserve"> dhe forcimin institucional. </w:t>
      </w:r>
      <w:r w:rsidR="00D96D43" w:rsidRPr="002128A6">
        <w:rPr>
          <w:rFonts w:ascii="Garamond" w:hAnsi="Garamond" w:cstheme="majorBidi"/>
        </w:rPr>
        <w:t xml:space="preserve">Strategjia promovon një qasje proaktive </w:t>
      </w:r>
      <w:r w:rsidR="00CB2F22" w:rsidRPr="002128A6">
        <w:rPr>
          <w:rFonts w:ascii="Garamond" w:hAnsi="Garamond" w:cstheme="majorBidi"/>
        </w:rPr>
        <w:t xml:space="preserve">dhe parashikuese, duke </w:t>
      </w:r>
      <w:r w:rsidR="00D96D43" w:rsidRPr="002128A6">
        <w:rPr>
          <w:rFonts w:ascii="Garamond" w:hAnsi="Garamond" w:cstheme="majorBidi"/>
        </w:rPr>
        <w:t>kapërcyer modelin tradicional kryesisht rea</w:t>
      </w:r>
      <w:r w:rsidR="003F755B" w:rsidRPr="002128A6">
        <w:rPr>
          <w:rFonts w:ascii="Garamond" w:hAnsi="Garamond" w:cstheme="majorBidi"/>
        </w:rPr>
        <w:t>gues</w:t>
      </w:r>
      <w:r w:rsidR="00D96D43" w:rsidRPr="002128A6">
        <w:rPr>
          <w:rFonts w:ascii="Garamond" w:hAnsi="Garamond" w:cstheme="majorBidi"/>
        </w:rPr>
        <w:t xml:space="preserve"> </w:t>
      </w:r>
      <w:r w:rsidR="0026664C" w:rsidRPr="002128A6">
        <w:rPr>
          <w:rFonts w:ascii="Garamond" w:hAnsi="Garamond" w:cstheme="majorBidi"/>
        </w:rPr>
        <w:t xml:space="preserve">dhe të fokusuar në ndërhyrjen pas konsumimit të veprës penale, </w:t>
      </w:r>
      <w:r w:rsidR="00CB2F22" w:rsidRPr="002128A6">
        <w:rPr>
          <w:rFonts w:ascii="Garamond" w:hAnsi="Garamond" w:cstheme="majorBidi"/>
        </w:rPr>
        <w:t xml:space="preserve">duke shkuar drejt një modeli që integron </w:t>
      </w:r>
      <w:r w:rsidR="0026664C" w:rsidRPr="002128A6">
        <w:rPr>
          <w:rFonts w:ascii="Garamond" w:hAnsi="Garamond" w:cstheme="majorBidi"/>
        </w:rPr>
        <w:t xml:space="preserve">masat </w:t>
      </w:r>
      <w:r w:rsidR="00CB2F22" w:rsidRPr="002128A6">
        <w:rPr>
          <w:rFonts w:ascii="Garamond" w:hAnsi="Garamond" w:cstheme="majorBidi"/>
        </w:rPr>
        <w:t>parandal</w:t>
      </w:r>
      <w:r w:rsidR="0026664C" w:rsidRPr="002128A6">
        <w:rPr>
          <w:rFonts w:ascii="Garamond" w:hAnsi="Garamond" w:cstheme="majorBidi"/>
        </w:rPr>
        <w:t>uese</w:t>
      </w:r>
      <w:r w:rsidR="00CB2F22" w:rsidRPr="002128A6">
        <w:rPr>
          <w:rFonts w:ascii="Garamond" w:hAnsi="Garamond" w:cstheme="majorBidi"/>
        </w:rPr>
        <w:t>, inteligjencën, hetimin financiar dhe bashkëpunimin e fortë</w:t>
      </w:r>
      <w:r w:rsidR="0026664C" w:rsidRPr="002128A6">
        <w:rPr>
          <w:rFonts w:ascii="Garamond" w:hAnsi="Garamond" w:cstheme="majorBidi"/>
        </w:rPr>
        <w:t xml:space="preserve"> ndërinstitucional, si</w:t>
      </w:r>
      <w:r w:rsidR="00CB2F22" w:rsidRPr="002128A6">
        <w:rPr>
          <w:rFonts w:ascii="Garamond" w:hAnsi="Garamond" w:cstheme="majorBidi"/>
        </w:rPr>
        <w:t xml:space="preserve"> në nivel </w:t>
      </w:r>
      <w:r w:rsidR="003E0CB5" w:rsidRPr="002128A6">
        <w:rPr>
          <w:rFonts w:ascii="Garamond" w:hAnsi="Garamond" w:cstheme="majorBidi"/>
        </w:rPr>
        <w:t>komb</w:t>
      </w:r>
      <w:r w:rsidR="00CB2F22" w:rsidRPr="002128A6">
        <w:rPr>
          <w:rFonts w:ascii="Garamond" w:hAnsi="Garamond" w:cstheme="majorBidi"/>
        </w:rPr>
        <w:t>ë</w:t>
      </w:r>
      <w:r w:rsidR="003E0CB5" w:rsidRPr="002128A6">
        <w:rPr>
          <w:rFonts w:ascii="Garamond" w:hAnsi="Garamond" w:cstheme="majorBidi"/>
        </w:rPr>
        <w:t xml:space="preserve">tar </w:t>
      </w:r>
      <w:r w:rsidR="0026664C" w:rsidRPr="002128A6">
        <w:rPr>
          <w:rFonts w:ascii="Garamond" w:hAnsi="Garamond" w:cstheme="majorBidi"/>
        </w:rPr>
        <w:t>ashtu e</w:t>
      </w:r>
      <w:r w:rsidR="00CB2F22" w:rsidRPr="002128A6">
        <w:rPr>
          <w:rFonts w:ascii="Garamond" w:hAnsi="Garamond" w:cstheme="majorBidi"/>
        </w:rPr>
        <w:t xml:space="preserve">dhe ndërkombëtar. </w:t>
      </w:r>
    </w:p>
    <w:p w14:paraId="0DBFBC4B" w14:textId="47FE3006" w:rsidR="00B87DD9" w:rsidRPr="002128A6" w:rsidRDefault="00873CFB" w:rsidP="0025426C">
      <w:pPr>
        <w:spacing w:after="0" w:line="240" w:lineRule="auto"/>
        <w:ind w:firstLine="284"/>
        <w:jc w:val="both"/>
        <w:rPr>
          <w:rFonts w:ascii="Garamond" w:hAnsi="Garamond" w:cstheme="majorBidi"/>
        </w:rPr>
      </w:pPr>
      <w:r w:rsidRPr="002128A6">
        <w:rPr>
          <w:rFonts w:ascii="Garamond" w:hAnsi="Garamond" w:cstheme="majorBidi"/>
        </w:rPr>
        <w:t>Kuptueshmëria e thelluar e mjedisit të kërcënimeve është thelbësore për konceptimin e strategjisë</w:t>
      </w:r>
      <w:r w:rsidR="00CB2F22" w:rsidRPr="002128A6">
        <w:rPr>
          <w:rFonts w:ascii="Garamond" w:hAnsi="Garamond" w:cstheme="majorBidi"/>
        </w:rPr>
        <w:t xml:space="preserve">. Kjo fillon me një vlerësim të hollësishëm të rreziqeve që krimi i organizuar paraqet </w:t>
      </w:r>
      <w:r w:rsidR="0026664C" w:rsidRPr="002128A6">
        <w:rPr>
          <w:rFonts w:ascii="Garamond" w:hAnsi="Garamond" w:cstheme="majorBidi"/>
        </w:rPr>
        <w:t>për sigurinë publike, zhvillimin ekonomik, integritetin institucional dhe marrëdhëniet ndërkombëtare të Shqipërisë.</w:t>
      </w:r>
      <w:r w:rsidR="00EB5C1F" w:rsidRPr="002128A6">
        <w:rPr>
          <w:rFonts w:ascii="Garamond" w:hAnsi="Garamond" w:cstheme="majorBidi"/>
        </w:rPr>
        <w:t xml:space="preserve"> </w:t>
      </w:r>
      <w:r w:rsidR="00B87DD9" w:rsidRPr="002128A6">
        <w:rPr>
          <w:rFonts w:ascii="Garamond" w:eastAsia="Times New Roman" w:hAnsi="Garamond" w:cstheme="majorBidi"/>
        </w:rPr>
        <w:t>Ky vlerësim nuk duhet të konsiderohet si një proces statik, por si një mekanizëm i vazhdueshëm dhe dinamik, i aftë të reflektojë transformimin e vazhdueshëm të kërcënimeve kriminale. Për këtë arsye, një kuptim i përditësuar dhe i bazuar në inteligjencë i mjedisit të kërcënimeve është thelbësor për garantimin e politikave efektive, të qëndrueshme dhe të orientuara drejt parandalimit dhe reduktimit të ndikimit të krimit të organizuar.</w:t>
      </w:r>
    </w:p>
    <w:p w14:paraId="475B2DDF" w14:textId="3576C80F" w:rsidR="00B87DD9" w:rsidRPr="002128A6" w:rsidRDefault="001E0B27"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Nga ana tjetër,</w:t>
      </w:r>
      <w:r w:rsidR="00E874B1" w:rsidRPr="002128A6">
        <w:rPr>
          <w:rFonts w:ascii="Garamond" w:eastAsia="Times New Roman" w:hAnsi="Garamond" w:cstheme="majorBidi"/>
        </w:rPr>
        <w:t xml:space="preserve"> kjo</w:t>
      </w:r>
      <w:r w:rsidRPr="002128A6">
        <w:rPr>
          <w:rFonts w:ascii="Garamond" w:eastAsia="Times New Roman" w:hAnsi="Garamond" w:cstheme="majorBidi"/>
        </w:rPr>
        <w:t xml:space="preserve"> strategji synon politika që fokusohen edhe te grupet e cenueshme</w:t>
      </w:r>
      <w:r w:rsidR="00EB5C1F" w:rsidRPr="002128A6">
        <w:rPr>
          <w:rFonts w:ascii="Garamond" w:eastAsia="Times New Roman" w:hAnsi="Garamond" w:cstheme="majorBidi"/>
        </w:rPr>
        <w:t xml:space="preserve"> të shoqërisë</w:t>
      </w:r>
      <w:r w:rsidR="00FD3B99" w:rsidRPr="002128A6">
        <w:rPr>
          <w:rFonts w:ascii="Garamond" w:eastAsia="Times New Roman" w:hAnsi="Garamond" w:cstheme="majorBidi"/>
        </w:rPr>
        <w:t>,</w:t>
      </w:r>
      <w:r w:rsidRPr="002128A6">
        <w:rPr>
          <w:rFonts w:ascii="Garamond" w:eastAsia="Times New Roman" w:hAnsi="Garamond" w:cstheme="majorBidi"/>
        </w:rPr>
        <w:t xml:space="preserve"> duke parashikuar ndërhyrje dhe veprime që ndikojnë te këto grupe, veçanërisht te të rinjtë, por edhe duke integruar perspektivën gjinore që udhëheq përdorimin e të dhënave të </w:t>
      </w:r>
      <w:r w:rsidR="00FD3B99" w:rsidRPr="002128A6">
        <w:rPr>
          <w:rFonts w:ascii="Garamond" w:eastAsia="Times New Roman" w:hAnsi="Garamond" w:cstheme="majorBidi"/>
        </w:rPr>
        <w:t>ndara</w:t>
      </w:r>
      <w:r w:rsidRPr="002128A6">
        <w:rPr>
          <w:rFonts w:ascii="Garamond" w:eastAsia="Times New Roman" w:hAnsi="Garamond" w:cstheme="majorBidi"/>
        </w:rPr>
        <w:t xml:space="preserve"> sipas gjinisë, politikave gjinore dhe analizave gjinore në luftën kundër krimit të organizuar dhe krimeve të rënda, duke synuar të harmonizohet me konceptin e Bashkimit E</w:t>
      </w:r>
      <w:r w:rsidR="00A66D46" w:rsidRPr="002128A6">
        <w:rPr>
          <w:rFonts w:ascii="Garamond" w:eastAsia="Times New Roman" w:hAnsi="Garamond" w:cstheme="majorBidi"/>
        </w:rPr>
        <w:t>vropian</w:t>
      </w:r>
      <w:r w:rsidRPr="002128A6">
        <w:rPr>
          <w:rFonts w:ascii="Garamond" w:eastAsia="Times New Roman" w:hAnsi="Garamond" w:cstheme="majorBidi"/>
        </w:rPr>
        <w:t xml:space="preserve"> në këtë fushë. Strategjia e Shqipërisë në luftën kundër krimit të organizuar do të harmonizohet me parimet dhe praktikat e Bashkimit E</w:t>
      </w:r>
      <w:r w:rsidR="00A66D46" w:rsidRPr="002128A6">
        <w:rPr>
          <w:rFonts w:ascii="Garamond" w:eastAsia="Times New Roman" w:hAnsi="Garamond" w:cstheme="majorBidi"/>
        </w:rPr>
        <w:t>vropian</w:t>
      </w:r>
      <w:r w:rsidRPr="002128A6">
        <w:rPr>
          <w:rFonts w:ascii="Garamond" w:eastAsia="Times New Roman" w:hAnsi="Garamond" w:cstheme="majorBidi"/>
        </w:rPr>
        <w:t xml:space="preserve">, përfshirë integrimin e perspektivës gjinore si një komponent transversal i hartimit dhe zbatimit të politikave. Në përputhje me qasjen e BE-së, e cila kërkon politika të ndjeshme ndaj gjinisë në fushën e sigurisë dhe drejtësisë, </w:t>
      </w:r>
      <w:r w:rsidR="00BA1E9F" w:rsidRPr="002128A6">
        <w:rPr>
          <w:rFonts w:ascii="Garamond" w:eastAsia="Times New Roman" w:hAnsi="Garamond" w:cstheme="majorBidi"/>
        </w:rPr>
        <w:t xml:space="preserve">kjo </w:t>
      </w:r>
      <w:r w:rsidRPr="002128A6">
        <w:rPr>
          <w:rFonts w:ascii="Garamond" w:eastAsia="Times New Roman" w:hAnsi="Garamond" w:cstheme="majorBidi"/>
        </w:rPr>
        <w:t xml:space="preserve">strategji shqiptare synon të përdorë analiza gjinore, të dhëna të </w:t>
      </w:r>
      <w:r w:rsidR="00FD3B99" w:rsidRPr="002128A6">
        <w:rPr>
          <w:rFonts w:ascii="Garamond" w:eastAsia="Times New Roman" w:hAnsi="Garamond" w:cstheme="majorBidi"/>
        </w:rPr>
        <w:t>ndara</w:t>
      </w:r>
      <w:r w:rsidRPr="002128A6">
        <w:rPr>
          <w:rFonts w:ascii="Garamond" w:eastAsia="Times New Roman" w:hAnsi="Garamond" w:cstheme="majorBidi"/>
        </w:rPr>
        <w:t xml:space="preserve"> sipas gjinisë dhe qasje të orientuara drejt nevojave të ndryshme të grave dhe burrave si viktima, përfitues ose aktorë brenda fenomenit të krimit të organizuar. Përfshirja e këtyre elementeve synon të rrisë efektivitetin e ndërhyrjeve, të forcojë institucione </w:t>
      </w:r>
      <w:r w:rsidR="00FD3B99" w:rsidRPr="002128A6">
        <w:rPr>
          <w:rFonts w:ascii="Garamond" w:eastAsia="Times New Roman" w:hAnsi="Garamond" w:cstheme="majorBidi"/>
        </w:rPr>
        <w:t xml:space="preserve">dhe t’i bëjë </w:t>
      </w:r>
      <w:r w:rsidRPr="002128A6">
        <w:rPr>
          <w:rFonts w:ascii="Garamond" w:eastAsia="Times New Roman" w:hAnsi="Garamond" w:cstheme="majorBidi"/>
        </w:rPr>
        <w:t>më gjithëpërfshirëse</w:t>
      </w:r>
      <w:r w:rsidR="00FD3B99" w:rsidRPr="002128A6">
        <w:rPr>
          <w:rFonts w:ascii="Garamond" w:eastAsia="Times New Roman" w:hAnsi="Garamond" w:cstheme="majorBidi"/>
        </w:rPr>
        <w:t>, si</w:t>
      </w:r>
      <w:r w:rsidRPr="002128A6">
        <w:rPr>
          <w:rFonts w:ascii="Garamond" w:eastAsia="Times New Roman" w:hAnsi="Garamond" w:cstheme="majorBidi"/>
        </w:rPr>
        <w:t xml:space="preserve"> dhe të sigurojë një </w:t>
      </w:r>
      <w:r w:rsidR="00FD3B99" w:rsidRPr="002128A6">
        <w:rPr>
          <w:rFonts w:ascii="Garamond" w:eastAsia="Times New Roman" w:hAnsi="Garamond" w:cstheme="majorBidi"/>
        </w:rPr>
        <w:t>linj</w:t>
      </w:r>
      <w:r w:rsidRPr="002128A6">
        <w:rPr>
          <w:rFonts w:ascii="Garamond" w:eastAsia="Times New Roman" w:hAnsi="Garamond" w:cstheme="majorBidi"/>
        </w:rPr>
        <w:t>ë të qartë pajtueshmërie me standardet e</w:t>
      </w:r>
      <w:r w:rsidR="00A66D46" w:rsidRPr="002128A6">
        <w:rPr>
          <w:rFonts w:ascii="Garamond" w:eastAsia="Times New Roman" w:hAnsi="Garamond" w:cstheme="majorBidi"/>
        </w:rPr>
        <w:t>vropian</w:t>
      </w:r>
      <w:r w:rsidRPr="002128A6">
        <w:rPr>
          <w:rFonts w:ascii="Garamond" w:eastAsia="Times New Roman" w:hAnsi="Garamond" w:cstheme="majorBidi"/>
        </w:rPr>
        <w:t>e brenda kornizës së procesit të integrimit të Shqipërisë në BE.</w:t>
      </w:r>
    </w:p>
    <w:p w14:paraId="10649548" w14:textId="0B9559EF" w:rsidR="0036433C" w:rsidRPr="002128A6" w:rsidRDefault="001E0B27"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Zbatimi i Strategjisë Kombëtare kundër Krimit të Organizuar dhe Krimeve të Rënda 2026</w:t>
      </w:r>
      <w:r w:rsidR="001E67EC" w:rsidRPr="002128A6">
        <w:rPr>
          <w:rFonts w:ascii="Garamond" w:eastAsia="Times New Roman" w:hAnsi="Garamond" w:cstheme="majorBidi"/>
        </w:rPr>
        <w:t>–</w:t>
      </w:r>
      <w:r w:rsidRPr="002128A6">
        <w:rPr>
          <w:rFonts w:ascii="Garamond" w:eastAsia="Times New Roman" w:hAnsi="Garamond" w:cstheme="majorBidi"/>
        </w:rPr>
        <w:t>2030 është me rëndësi parësore për të gjithë qytetarët e Republikës së Shqipërisë dhe shënon një hap të rëndësishëm për shtetin shqiptar në procesin e anëtarësimit në Bashkimin E</w:t>
      </w:r>
      <w:r w:rsidR="00A66D46" w:rsidRPr="002128A6">
        <w:rPr>
          <w:rFonts w:ascii="Garamond" w:eastAsia="Times New Roman" w:hAnsi="Garamond" w:cstheme="majorBidi"/>
        </w:rPr>
        <w:t>vropian</w:t>
      </w:r>
      <w:r w:rsidRPr="002128A6">
        <w:rPr>
          <w:rFonts w:ascii="Garamond" w:eastAsia="Times New Roman" w:hAnsi="Garamond" w:cstheme="majorBidi"/>
        </w:rPr>
        <w:t>. Në këtë kontekst, përmes zbatimit të këtij dokumenti strategjik, Republika e Shqipërisë përcakton prioritetet e saj politike në ndërtimin e një sistemi efikas për luftën kundër krimit të organizuar dhe krimeve të rënda, duke specifikuar qëllimet kryesore strategjike, objektivat specifikë dhe përgjegjësitë e autoriteteve përkatëse shtetërore. Për më tepër, dokumenti strategjik krijon themelet e nevojshme që mundësojnë identifikimin e Shqipërisë në sferën rajonale, e</w:t>
      </w:r>
      <w:r w:rsidR="00A66D46" w:rsidRPr="002128A6">
        <w:rPr>
          <w:rFonts w:ascii="Garamond" w:eastAsia="Times New Roman" w:hAnsi="Garamond" w:cstheme="majorBidi"/>
        </w:rPr>
        <w:t>vropian</w:t>
      </w:r>
      <w:r w:rsidRPr="002128A6">
        <w:rPr>
          <w:rFonts w:ascii="Garamond" w:eastAsia="Times New Roman" w:hAnsi="Garamond" w:cstheme="majorBidi"/>
        </w:rPr>
        <w:t>e dhe globale</w:t>
      </w:r>
      <w:r w:rsidR="00FD3B99" w:rsidRPr="002128A6">
        <w:rPr>
          <w:rFonts w:ascii="Garamond" w:eastAsia="Times New Roman" w:hAnsi="Garamond" w:cstheme="majorBidi"/>
        </w:rPr>
        <w:t>,</w:t>
      </w:r>
      <w:r w:rsidRPr="002128A6">
        <w:rPr>
          <w:rFonts w:ascii="Garamond" w:eastAsia="Times New Roman" w:hAnsi="Garamond" w:cstheme="majorBidi"/>
        </w:rPr>
        <w:t xml:space="preserve"> si një aktor i besueshëm në luftën kundër krimit të organizuar dhe krimeve të rënda.</w:t>
      </w:r>
    </w:p>
    <w:p w14:paraId="4A1433ED" w14:textId="2D8EBA8D" w:rsidR="0083248F" w:rsidRPr="002128A6" w:rsidRDefault="0036433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Strategjia është në harmoni të plotë me Programin Kombëtar për Integrim E</w:t>
      </w:r>
      <w:r w:rsidR="00A66D46" w:rsidRPr="002128A6">
        <w:rPr>
          <w:rFonts w:ascii="Garamond" w:eastAsia="Times New Roman" w:hAnsi="Garamond" w:cstheme="majorBidi"/>
        </w:rPr>
        <w:t>vropian</w:t>
      </w:r>
      <w:r w:rsidRPr="002128A6">
        <w:rPr>
          <w:rFonts w:ascii="Garamond" w:eastAsia="Times New Roman" w:hAnsi="Garamond" w:cstheme="majorBidi"/>
        </w:rPr>
        <w:t xml:space="preserve"> 2024</w:t>
      </w:r>
      <w:r w:rsidR="001E67EC" w:rsidRPr="002128A6">
        <w:rPr>
          <w:rFonts w:ascii="Garamond" w:eastAsia="Times New Roman" w:hAnsi="Garamond" w:cstheme="majorBidi"/>
        </w:rPr>
        <w:t>–</w:t>
      </w:r>
      <w:r w:rsidRPr="002128A6">
        <w:rPr>
          <w:rFonts w:ascii="Garamond" w:eastAsia="Times New Roman" w:hAnsi="Garamond" w:cstheme="majorBidi"/>
        </w:rPr>
        <w:t xml:space="preserve">2026, dhe lidhet konceptualisht me dokumente të tjera strategjike të Republikës së Shqipërisë që adresojnë aspekte të luftës kundër korrupsionit, pastrimit të parave, financimit të terrorizmit, trafikimit të armëve dhe qenieve njerëzore, sigurisë komunitare dhe menaxhimit të integruar të kufijve. </w:t>
      </w:r>
    </w:p>
    <w:p w14:paraId="3C3F41EB" w14:textId="0AB873A9" w:rsidR="00DF4A7E" w:rsidRPr="002128A6" w:rsidRDefault="00DF4A7E" w:rsidP="0025426C">
      <w:pPr>
        <w:spacing w:after="0" w:line="240" w:lineRule="auto"/>
        <w:ind w:firstLine="284"/>
        <w:jc w:val="both"/>
        <w:rPr>
          <w:rFonts w:ascii="Garamond" w:hAnsi="Garamond" w:cstheme="majorBidi"/>
        </w:rPr>
      </w:pPr>
      <w:r w:rsidRPr="002128A6">
        <w:rPr>
          <w:rFonts w:ascii="Garamond" w:hAnsi="Garamond" w:cstheme="majorBidi"/>
        </w:rPr>
        <w:t xml:space="preserve">Kjo kornizë e re strategjike siguron pajtueshmëri të plotë me angazhimet e ndërmarra nga institucionet shqiptare në </w:t>
      </w:r>
      <w:r w:rsidR="00E874B1" w:rsidRPr="002128A6">
        <w:rPr>
          <w:rFonts w:ascii="Garamond" w:hAnsi="Garamond" w:cstheme="majorBidi"/>
        </w:rPr>
        <w:t>Udhërrëfyesi</w:t>
      </w:r>
      <w:r w:rsidR="00FD76B2" w:rsidRPr="002128A6">
        <w:rPr>
          <w:rFonts w:ascii="Garamond" w:hAnsi="Garamond" w:cstheme="majorBidi"/>
        </w:rPr>
        <w:t>n</w:t>
      </w:r>
      <w:r w:rsidR="00E874B1" w:rsidRPr="002128A6">
        <w:rPr>
          <w:rFonts w:ascii="Garamond" w:hAnsi="Garamond" w:cstheme="majorBidi"/>
        </w:rPr>
        <w:t xml:space="preserve"> </w:t>
      </w:r>
      <w:r w:rsidR="00FD76B2" w:rsidRPr="002128A6">
        <w:rPr>
          <w:rFonts w:ascii="Garamond" w:hAnsi="Garamond" w:cstheme="majorBidi"/>
        </w:rPr>
        <w:t>e</w:t>
      </w:r>
      <w:r w:rsidR="00E874B1" w:rsidRPr="002128A6">
        <w:rPr>
          <w:rFonts w:ascii="Garamond" w:hAnsi="Garamond" w:cstheme="majorBidi"/>
        </w:rPr>
        <w:t xml:space="preserve"> Shtetit të së Drejtës </w:t>
      </w:r>
      <w:r w:rsidR="001E67EC" w:rsidRPr="002128A6">
        <w:rPr>
          <w:rFonts w:ascii="Garamond" w:hAnsi="Garamond" w:cstheme="majorBidi"/>
        </w:rPr>
        <w:t>–</w:t>
      </w:r>
      <w:r w:rsidRPr="002128A6">
        <w:rPr>
          <w:rFonts w:ascii="Garamond" w:hAnsi="Garamond" w:cstheme="majorBidi"/>
        </w:rPr>
        <w:t xml:space="preserve"> </w:t>
      </w:r>
      <w:r w:rsidR="001E67EC" w:rsidRPr="002128A6">
        <w:rPr>
          <w:rFonts w:ascii="Garamond" w:hAnsi="Garamond" w:cstheme="majorBidi"/>
        </w:rPr>
        <w:t xml:space="preserve">kapitulli </w:t>
      </w:r>
      <w:r w:rsidRPr="002128A6">
        <w:rPr>
          <w:rFonts w:ascii="Garamond" w:hAnsi="Garamond" w:cstheme="majorBidi"/>
        </w:rPr>
        <w:t xml:space="preserve">24 “Drejtësia, Liria dhe Siguria” dhe </w:t>
      </w:r>
      <w:r w:rsidR="006871B3" w:rsidRPr="002128A6">
        <w:rPr>
          <w:rFonts w:ascii="Garamond" w:hAnsi="Garamond" w:cstheme="majorBidi"/>
        </w:rPr>
        <w:t>trajt</w:t>
      </w:r>
      <w:r w:rsidRPr="002128A6">
        <w:rPr>
          <w:rFonts w:ascii="Garamond" w:hAnsi="Garamond" w:cstheme="majorBidi"/>
        </w:rPr>
        <w:t>on në mënyrë koherente konstatimet e Komisionit E</w:t>
      </w:r>
      <w:r w:rsidR="00A66D46" w:rsidRPr="002128A6">
        <w:rPr>
          <w:rFonts w:ascii="Garamond" w:hAnsi="Garamond" w:cstheme="majorBidi"/>
        </w:rPr>
        <w:t>vropian</w:t>
      </w:r>
      <w:r w:rsidRPr="002128A6">
        <w:rPr>
          <w:rFonts w:ascii="Garamond" w:hAnsi="Garamond" w:cstheme="majorBidi"/>
        </w:rPr>
        <w:t xml:space="preserve"> për </w:t>
      </w:r>
      <w:r w:rsidR="0065363A" w:rsidRPr="002128A6">
        <w:rPr>
          <w:rFonts w:ascii="Garamond" w:hAnsi="Garamond" w:cstheme="majorBidi"/>
        </w:rPr>
        <w:t>grupkapitullin e parë</w:t>
      </w:r>
      <w:r w:rsidRPr="002128A6">
        <w:rPr>
          <w:rFonts w:ascii="Garamond" w:hAnsi="Garamond" w:cstheme="majorBidi"/>
        </w:rPr>
        <w:t xml:space="preserve"> “Themel</w:t>
      </w:r>
      <w:r w:rsidR="006871B3" w:rsidRPr="002128A6">
        <w:rPr>
          <w:rFonts w:ascii="Garamond" w:hAnsi="Garamond" w:cstheme="majorBidi"/>
        </w:rPr>
        <w:t>or</w:t>
      </w:r>
      <w:r w:rsidR="00D226C7" w:rsidRPr="002128A6">
        <w:rPr>
          <w:rFonts w:ascii="Garamond" w:hAnsi="Garamond" w:cstheme="majorBidi"/>
        </w:rPr>
        <w:t>ë</w:t>
      </w:r>
      <w:r w:rsidRPr="002128A6">
        <w:rPr>
          <w:rFonts w:ascii="Garamond" w:hAnsi="Garamond" w:cstheme="majorBidi"/>
        </w:rPr>
        <w:t>t” mbi hapat e nevojshëm për të përmirësuar performancën e Shqipërisë në luftën kundër krimit të organizuar dhe krimeve të rënda.</w:t>
      </w:r>
    </w:p>
    <w:p w14:paraId="623292C1" w14:textId="41242D1C" w:rsidR="00892826" w:rsidRPr="002128A6" w:rsidRDefault="00FD76B2" w:rsidP="0025426C">
      <w:pPr>
        <w:spacing w:after="0" w:line="240" w:lineRule="auto"/>
        <w:ind w:firstLine="284"/>
        <w:jc w:val="both"/>
        <w:rPr>
          <w:rFonts w:ascii="Garamond" w:eastAsia="MingLiU-ExtB" w:hAnsi="Garamond" w:cs="Times New Roman"/>
        </w:rPr>
      </w:pPr>
      <w:r w:rsidRPr="002128A6">
        <w:rPr>
          <w:rFonts w:ascii="Garamond" w:hAnsi="Garamond" w:cstheme="majorBidi"/>
        </w:rPr>
        <w:t xml:space="preserve">Po ashtu, në qëndrimin e përbashkët të Bashkimit Evropian për </w:t>
      </w:r>
      <w:r w:rsidR="0065363A" w:rsidRPr="002128A6">
        <w:rPr>
          <w:rFonts w:ascii="Garamond" w:hAnsi="Garamond" w:cstheme="majorBidi"/>
        </w:rPr>
        <w:t xml:space="preserve">grupkapitullin </w:t>
      </w:r>
      <w:r w:rsidRPr="002128A6">
        <w:rPr>
          <w:rFonts w:ascii="Garamond" w:hAnsi="Garamond" w:cstheme="majorBidi"/>
        </w:rPr>
        <w:t>I “Themelorët”, u vu theksi te hartimi i strategjisë së re kundër krimit të organizuar dhe krimeve të rënda</w:t>
      </w:r>
      <w:r w:rsidRPr="002128A6">
        <w:rPr>
          <w:rFonts w:ascii="Garamond" w:eastAsia="MingLiU-ExtB" w:hAnsi="Garamond" w:cs="Times New Roman"/>
        </w:rPr>
        <w:t xml:space="preserve"> </w:t>
      </w:r>
      <w:r w:rsidR="00BC46F1" w:rsidRPr="002128A6">
        <w:rPr>
          <w:rFonts w:ascii="Garamond" w:eastAsia="Times New Roman" w:hAnsi="Garamond" w:cstheme="majorBidi"/>
        </w:rPr>
        <w:t xml:space="preserve">si udhëzues i nevojshëm për vazhdimin e reformave të nisura tashmë, si dhe për përcaktimin e objektivave të rinj </w:t>
      </w:r>
      <w:r w:rsidR="00BC46F1" w:rsidRPr="002128A6">
        <w:rPr>
          <w:rFonts w:ascii="Garamond" w:eastAsia="Times New Roman" w:hAnsi="Garamond" w:cstheme="majorBidi"/>
        </w:rPr>
        <w:lastRenderedPageBreak/>
        <w:t>për periudhën e ardhshme</w:t>
      </w:r>
      <w:r w:rsidRPr="002128A6">
        <w:rPr>
          <w:rFonts w:ascii="Garamond" w:eastAsia="Times New Roman" w:hAnsi="Garamond" w:cstheme="majorBidi"/>
        </w:rPr>
        <w:t>.</w:t>
      </w:r>
      <w:r w:rsidR="00BC46F1" w:rsidRPr="002128A6">
        <w:rPr>
          <w:rFonts w:ascii="Garamond" w:eastAsia="Times New Roman" w:hAnsi="Garamond" w:cstheme="majorBidi"/>
        </w:rPr>
        <w:t xml:space="preserve"> Për më tepër, hartimi i kësaj strategjie është rezultat i një procesi konsultimi gjithëpërfshirës dhe transparent ndërmjet institucioneve publike, agjencive </w:t>
      </w:r>
      <w:r w:rsidR="006871B3" w:rsidRPr="002128A6">
        <w:rPr>
          <w:rFonts w:ascii="Garamond" w:eastAsia="Times New Roman" w:hAnsi="Garamond" w:cstheme="majorBidi"/>
        </w:rPr>
        <w:t>ligjzbatuese</w:t>
      </w:r>
      <w:r w:rsidR="00BC46F1" w:rsidRPr="002128A6">
        <w:rPr>
          <w:rFonts w:ascii="Garamond" w:eastAsia="Times New Roman" w:hAnsi="Garamond" w:cstheme="majorBidi"/>
        </w:rPr>
        <w:t>, sistemit të drejtësisë, aktorëve të shoqërisë civile</w:t>
      </w:r>
      <w:r w:rsidR="00C17F8D" w:rsidRPr="002128A6">
        <w:rPr>
          <w:rFonts w:ascii="Garamond" w:eastAsia="Times New Roman" w:hAnsi="Garamond" w:cstheme="majorBidi"/>
        </w:rPr>
        <w:t>, akademisë</w:t>
      </w:r>
      <w:r w:rsidR="00BC46F1" w:rsidRPr="002128A6">
        <w:rPr>
          <w:rFonts w:ascii="Garamond" w:eastAsia="Times New Roman" w:hAnsi="Garamond" w:cstheme="majorBidi"/>
        </w:rPr>
        <w:t xml:space="preserve"> dhe partnerëve ndërkombëtarë. </w:t>
      </w:r>
    </w:p>
    <w:p w14:paraId="43276288" w14:textId="3CFD34B8" w:rsidR="00244051" w:rsidRPr="002128A6" w:rsidRDefault="00DF4A7E"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Në vitet e fundit, Shqipëria ka bërë progres të rëndësishëm në luftën kundër krimit të organizuar, duke intensifikuar operacionet policore, duke përmirësuar kapacitetet hetimore dhe duke rritur bashkëpunimin me partnerët ndërkombëtarë. Arrestimi i elementeve kryesore kriminale, goditja e grupeve kriminale dhe sekuestrimi e konfiskimi i pasurive të tyre kriminale</w:t>
      </w:r>
      <w:r w:rsidR="00E81838" w:rsidRPr="002128A6">
        <w:rPr>
          <w:rFonts w:ascii="Garamond" w:eastAsia="Times New Roman" w:hAnsi="Garamond" w:cstheme="majorBidi"/>
        </w:rPr>
        <w:t>,</w:t>
      </w:r>
      <w:r w:rsidRPr="002128A6">
        <w:rPr>
          <w:rFonts w:ascii="Garamond" w:eastAsia="Times New Roman" w:hAnsi="Garamond" w:cstheme="majorBidi"/>
        </w:rPr>
        <w:t xml:space="preserve"> përbëjnë dëshmi konkrete të këtij progresi. Strategjia e re synon të konsolidojë këto arritje dhe të krijojë një bazë të fortë për një qasje të qëndrueshme dhe të koordinuar në luftën kundër krimit të organizuar.</w:t>
      </w:r>
    </w:p>
    <w:p w14:paraId="57C30F4D" w14:textId="2682769D" w:rsidR="00744AF4" w:rsidRPr="002128A6" w:rsidRDefault="00906599"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Kj</w:t>
      </w:r>
      <w:r w:rsidR="00E81838" w:rsidRPr="002128A6">
        <w:rPr>
          <w:rFonts w:ascii="Garamond" w:eastAsia="Times New Roman" w:hAnsi="Garamond" w:cstheme="majorBidi"/>
        </w:rPr>
        <w:t xml:space="preserve">o </w:t>
      </w:r>
      <w:r w:rsidRPr="002128A6">
        <w:rPr>
          <w:rFonts w:ascii="Garamond" w:eastAsia="Times New Roman" w:hAnsi="Garamond" w:cstheme="majorBidi"/>
          <w:b/>
          <w:bCs/>
        </w:rPr>
        <w:t>Strategji Kombëtare për Parandalimin dhe Luftën kundër Krimit të Organizuar dhe Krimeve të Rënda 2026-2030</w:t>
      </w:r>
      <w:r w:rsidRPr="002128A6">
        <w:rPr>
          <w:rFonts w:ascii="Garamond" w:eastAsia="Times New Roman" w:hAnsi="Garamond" w:cstheme="majorBidi"/>
        </w:rPr>
        <w:t xml:space="preserve"> </w:t>
      </w:r>
      <w:r w:rsidR="00C17F8D" w:rsidRPr="002128A6">
        <w:rPr>
          <w:rFonts w:ascii="Garamond" w:eastAsia="Times New Roman" w:hAnsi="Garamond" w:cstheme="majorBidi"/>
        </w:rPr>
        <w:t xml:space="preserve">përfaqëson angazhimin e palëkundur të Republikës së Shqipërisë për të adresuar në mënyrë gjithëpërfshirëse një nga sfidat më komplekse dhe më të rëndësishme për sigurinë, zhvillimin ekonomik dhe kohezionin shoqëror të vendit. </w:t>
      </w:r>
      <w:r w:rsidRPr="002128A6">
        <w:rPr>
          <w:rFonts w:ascii="Garamond" w:eastAsia="Times New Roman" w:hAnsi="Garamond" w:cstheme="majorBidi"/>
        </w:rPr>
        <w:t>Duke ushqyer një kulturë parandalimi, duke promovuar standardet më të larta të integritetit institucional dhe duke thelluar bashkëpunimin me partnerët e</w:t>
      </w:r>
      <w:r w:rsidR="00A66D46" w:rsidRPr="002128A6">
        <w:rPr>
          <w:rFonts w:ascii="Garamond" w:eastAsia="Times New Roman" w:hAnsi="Garamond" w:cstheme="majorBidi"/>
        </w:rPr>
        <w:t>vropian</w:t>
      </w:r>
      <w:r w:rsidRPr="002128A6">
        <w:rPr>
          <w:rFonts w:ascii="Garamond" w:eastAsia="Times New Roman" w:hAnsi="Garamond" w:cstheme="majorBidi"/>
        </w:rPr>
        <w:t>ë dhe ndërkombëtarë, Shqipëria pozicionohet si një aktor i besueshëm dhe proaktiv brenda arkitekturës më të gjerë të sigurisë e</w:t>
      </w:r>
      <w:r w:rsidR="00A66D46" w:rsidRPr="002128A6">
        <w:rPr>
          <w:rFonts w:ascii="Garamond" w:eastAsia="Times New Roman" w:hAnsi="Garamond" w:cstheme="majorBidi"/>
        </w:rPr>
        <w:t>vropian</w:t>
      </w:r>
      <w:r w:rsidRPr="002128A6">
        <w:rPr>
          <w:rFonts w:ascii="Garamond" w:eastAsia="Times New Roman" w:hAnsi="Garamond" w:cstheme="majorBidi"/>
        </w:rPr>
        <w:t>e. Përmes kësaj strategjie, Shqipëria hedh themelet për një të ardhme më të sigurt, më të qëndrueshme dhe më të begatë për të gjithë qytetarët e saj</w:t>
      </w:r>
      <w:r w:rsidR="00E81838" w:rsidRPr="002128A6">
        <w:rPr>
          <w:rFonts w:ascii="Garamond" w:eastAsia="Times New Roman" w:hAnsi="Garamond" w:cstheme="majorBidi"/>
        </w:rPr>
        <w:t xml:space="preserve">, si dhe kontribuon në përpjekjet </w:t>
      </w:r>
      <w:r w:rsidRPr="002128A6">
        <w:rPr>
          <w:rFonts w:ascii="Garamond" w:eastAsia="Times New Roman" w:hAnsi="Garamond" w:cstheme="majorBidi"/>
        </w:rPr>
        <w:t xml:space="preserve">më të gjera të BE-së </w:t>
      </w:r>
      <w:r w:rsidR="00E81838" w:rsidRPr="002128A6">
        <w:rPr>
          <w:rFonts w:ascii="Garamond" w:eastAsia="Times New Roman" w:hAnsi="Garamond" w:cstheme="majorBidi"/>
        </w:rPr>
        <w:t>n</w:t>
      </w:r>
      <w:r w:rsidRPr="002128A6">
        <w:rPr>
          <w:rFonts w:ascii="Garamond" w:eastAsia="Times New Roman" w:hAnsi="Garamond" w:cstheme="majorBidi"/>
        </w:rPr>
        <w:t>ë</w:t>
      </w:r>
      <w:r w:rsidR="00E81838" w:rsidRPr="002128A6">
        <w:rPr>
          <w:rFonts w:ascii="Garamond" w:eastAsia="Times New Roman" w:hAnsi="Garamond" w:cstheme="majorBidi"/>
        </w:rPr>
        <w:t xml:space="preserve"> luftën kund</w:t>
      </w:r>
      <w:r w:rsidRPr="002128A6">
        <w:rPr>
          <w:rFonts w:ascii="Garamond" w:eastAsia="Times New Roman" w:hAnsi="Garamond" w:cstheme="majorBidi"/>
        </w:rPr>
        <w:t>ë</w:t>
      </w:r>
      <w:r w:rsidR="00E81838" w:rsidRPr="002128A6">
        <w:rPr>
          <w:rFonts w:ascii="Garamond" w:eastAsia="Times New Roman" w:hAnsi="Garamond" w:cstheme="majorBidi"/>
        </w:rPr>
        <w:t>r</w:t>
      </w:r>
      <w:r w:rsidRPr="002128A6">
        <w:rPr>
          <w:rFonts w:ascii="Garamond" w:eastAsia="Times New Roman" w:hAnsi="Garamond" w:cstheme="majorBidi"/>
        </w:rPr>
        <w:t xml:space="preserve"> krimi</w:t>
      </w:r>
      <w:r w:rsidR="00E81838" w:rsidRPr="002128A6">
        <w:rPr>
          <w:rFonts w:ascii="Garamond" w:eastAsia="Times New Roman" w:hAnsi="Garamond" w:cstheme="majorBidi"/>
        </w:rPr>
        <w:t>t</w:t>
      </w:r>
      <w:r w:rsidRPr="002128A6">
        <w:rPr>
          <w:rFonts w:ascii="Garamond" w:eastAsia="Times New Roman" w:hAnsi="Garamond" w:cstheme="majorBidi"/>
        </w:rPr>
        <w:t xml:space="preserve"> </w:t>
      </w:r>
      <w:r w:rsidR="00E81838" w:rsidRPr="002128A6">
        <w:rPr>
          <w:rFonts w:ascii="Garamond" w:eastAsia="Times New Roman" w:hAnsi="Garamond" w:cstheme="majorBidi"/>
        </w:rPr>
        <w:t>të</w:t>
      </w:r>
      <w:r w:rsidRPr="002128A6">
        <w:rPr>
          <w:rFonts w:ascii="Garamond" w:eastAsia="Times New Roman" w:hAnsi="Garamond" w:cstheme="majorBidi"/>
        </w:rPr>
        <w:t xml:space="preserve"> organizuar. </w:t>
      </w:r>
    </w:p>
    <w:p w14:paraId="7B4D11FE" w14:textId="1FB4B01D" w:rsidR="00130354" w:rsidRPr="002128A6" w:rsidRDefault="00130354" w:rsidP="0025426C">
      <w:pPr>
        <w:keepNext/>
        <w:keepLines/>
        <w:spacing w:after="0" w:line="240" w:lineRule="auto"/>
        <w:ind w:firstLine="284"/>
        <w:jc w:val="both"/>
        <w:outlineLvl w:val="3"/>
        <w:rPr>
          <w:rFonts w:ascii="Garamond" w:eastAsia="Times New Roman" w:hAnsi="Garamond" w:cstheme="majorBidi"/>
          <w:b/>
          <w:bCs/>
        </w:rPr>
      </w:pPr>
      <w:r w:rsidRPr="002128A6">
        <w:rPr>
          <w:rFonts w:ascii="Garamond" w:eastAsia="Times New Roman" w:hAnsi="Garamond" w:cstheme="majorBidi"/>
          <w:b/>
          <w:bCs/>
        </w:rPr>
        <w:t xml:space="preserve">Arritjet e </w:t>
      </w:r>
      <w:r w:rsidR="00FC54C2" w:rsidRPr="002128A6">
        <w:rPr>
          <w:rFonts w:ascii="Garamond" w:eastAsia="Times New Roman" w:hAnsi="Garamond" w:cstheme="majorBidi"/>
          <w:b/>
          <w:bCs/>
        </w:rPr>
        <w:t>S</w:t>
      </w:r>
      <w:r w:rsidRPr="002128A6">
        <w:rPr>
          <w:rFonts w:ascii="Garamond" w:eastAsia="Times New Roman" w:hAnsi="Garamond" w:cstheme="majorBidi"/>
          <w:b/>
          <w:bCs/>
        </w:rPr>
        <w:t>trategjisë 2021</w:t>
      </w:r>
      <w:r w:rsidR="00F54824" w:rsidRPr="002128A6">
        <w:rPr>
          <w:rFonts w:ascii="Garamond" w:eastAsia="Times New Roman" w:hAnsi="Garamond" w:cstheme="majorBidi"/>
          <w:b/>
          <w:bCs/>
        </w:rPr>
        <w:t>–</w:t>
      </w:r>
      <w:r w:rsidRPr="002128A6">
        <w:rPr>
          <w:rFonts w:ascii="Garamond" w:eastAsia="Times New Roman" w:hAnsi="Garamond" w:cstheme="majorBidi"/>
          <w:b/>
          <w:bCs/>
        </w:rPr>
        <w:t>2025</w:t>
      </w:r>
    </w:p>
    <w:p w14:paraId="56B82BDE" w14:textId="4A542465" w:rsidR="00130354" w:rsidRPr="002128A6" w:rsidRDefault="00130354" w:rsidP="0025426C">
      <w:pPr>
        <w:spacing w:after="0" w:line="240" w:lineRule="auto"/>
        <w:ind w:firstLine="284"/>
        <w:jc w:val="both"/>
        <w:rPr>
          <w:rFonts w:ascii="Garamond" w:hAnsi="Garamond" w:cstheme="majorBidi"/>
        </w:rPr>
      </w:pPr>
      <w:r w:rsidRPr="002128A6">
        <w:rPr>
          <w:rFonts w:ascii="Garamond" w:eastAsia="Arial" w:hAnsi="Garamond" w:cstheme="majorBidi"/>
        </w:rPr>
        <w:t>Strategjia 2021</w:t>
      </w:r>
      <w:r w:rsidR="00F54824" w:rsidRPr="002128A6">
        <w:rPr>
          <w:rFonts w:ascii="Garamond" w:eastAsia="Arial" w:hAnsi="Garamond" w:cstheme="majorBidi"/>
        </w:rPr>
        <w:t>–</w:t>
      </w:r>
      <w:r w:rsidRPr="002128A6">
        <w:rPr>
          <w:rFonts w:ascii="Garamond" w:eastAsia="Arial" w:hAnsi="Garamond" w:cstheme="majorBidi"/>
        </w:rPr>
        <w:t xml:space="preserve">2025 </w:t>
      </w:r>
      <w:r w:rsidR="00FC54C2" w:rsidRPr="002128A6">
        <w:rPr>
          <w:rFonts w:ascii="Garamond" w:eastAsia="Arial" w:hAnsi="Garamond" w:cstheme="majorBidi"/>
        </w:rPr>
        <w:t xml:space="preserve">shënoi disa </w:t>
      </w:r>
      <w:r w:rsidRPr="002128A6">
        <w:rPr>
          <w:rFonts w:ascii="Garamond" w:eastAsia="Arial" w:hAnsi="Garamond" w:cstheme="majorBidi"/>
        </w:rPr>
        <w:t xml:space="preserve">arritje strukturore dhe operacionale mbi të cilat </w:t>
      </w:r>
      <w:r w:rsidR="00FC54C2" w:rsidRPr="002128A6">
        <w:rPr>
          <w:rFonts w:ascii="Garamond" w:eastAsia="Arial" w:hAnsi="Garamond" w:cstheme="majorBidi"/>
        </w:rPr>
        <w:t xml:space="preserve">bazohet </w:t>
      </w:r>
      <w:r w:rsidRPr="002128A6">
        <w:rPr>
          <w:rFonts w:ascii="Garamond" w:eastAsia="Arial" w:hAnsi="Garamond" w:cstheme="majorBidi"/>
        </w:rPr>
        <w:t>kjo Strategji:</w:t>
      </w:r>
    </w:p>
    <w:p w14:paraId="1670D79F" w14:textId="52A98313"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Ngritja dhe konsolidimi operacional i Prokurorisë së Posaçme kundër Korrupsionit dhe Krimit të Organizuar (SPAK) dhe i Gjykatës së Posaçme për Korrupsionin dhe Krimin e Organizuar, me një histori të qëndrueshme padi penale të ngritura dhe dënimesh ndaj figurave të nivelit të lartë të krimit të organizuar.</w:t>
      </w:r>
    </w:p>
    <w:p w14:paraId="020CA6AA" w14:textId="7F71C4DC"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Forcimi i kapaciteteve institucionale dhe operacionale të Byrosë Kombëtare të Hetimit (BKH). Gjatë vitit 2025 u shënua një progres i rëndësishëm në konsolidimin dhe zgjerimin e kapaciteteve institucionale të Byrosë Kombëtare të Hetimit, me fokus në rritjen e aftësive hetimore, analitike dhe të inteligjencës kriminale në mbështetje të hetimeve të Prokurorisë së Posaçme kundër Korrupsionit dhe Krimit të Organizuar (SPAK). Në kuadër të këtij procesi, struktura e BKH-së u zgjerua me 40 pozicione të reja për hetues. Struktura e miratuar përfshin 100 hetues, 50 oficerë të shërbimeve të policisë gjyqësore, 27 punonjës administrativë dhe 1 pozicion drejtori, duke reflektuar një rritje të konsiderueshme të kapaciteteve operacionale dhe mbështetëse të institucionit. Njëkohësisht, gjatë muajit tetor 2025 u përfundua me sukses procesi i rekrutimit të 10 Oficerëve të Shërbimeve të Policisë Gjyqësore, të përzgjedhur nga agjencitë ligjzbatuese në vend, duke kontribuar në forcimin e mëtejshëm të ekspertizës profesionale dhe kapaciteteve të inteligjencës kriminale. Këto zhvillime përfaqësojnë një arritje të rëndësishme në drejtim të rritjes së efektivitetit të hetimeve komplekse kundër korrupsionit, krimit të organizuar dhe pasurive me origjinë kriminale, si dhe të forcimit të përgjithshëm të mekanizmave të specializuar të zbatimit të ligjit në Shqipëri.</w:t>
      </w:r>
    </w:p>
    <w:p w14:paraId="3A626834" w14:textId="192E0745"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Agjencia e Inteligjencës Financiare ka shënuar progres të konsiderueshëm në forcimin e rolit të saj si institucion kyç në parandalimin dhe goditjen e pastrimit të parave, financimit të terrorizmit dhe krimeve financiare. Gjatë periudhës 2019–2025, AIF ka referuar pranë organeve ligjzbatuese, përfshirë Policinë e Shtetit, Prokurorinë dhe Drejtorinë e Përgjithshme të Tatimeve, gjithsej 1,911 raste të dyshuara për veprimtari të paligjshme financiare. Ky progres është mbështetur nga një proces i vazhdueshëm forcimi institucional, përfshirë riorganizimin strukturor të ndërmarrë gjatë vitit 2024, zhvillimin e kapaciteteve profesionale të personelit përmes programeve të specializuara të trajnimit dhe zgjerimin e aksesit në databaza dhe burime të avancuara informacioni. </w:t>
      </w:r>
    </w:p>
    <w:p w14:paraId="6C445F51" w14:textId="580B5E81"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lastRenderedPageBreak/>
        <w:t>- Rritja operacionale e Agjencisë për Administrimin e Pasurive të Sekuestruara dhe të Konfiskuara (AAPSK), me një portofol asetesh në zgjerim dhe gjeneratën e parë të marrëveshjeve për ripërdorim social me njësitë e qeverisjes vendore.</w:t>
      </w:r>
    </w:p>
    <w:p w14:paraId="1609A1C3" w14:textId="05B09A08"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Miratimi i ligjit të ri për Policinë e Shtetit (</w:t>
      </w:r>
      <w:r w:rsidR="00F54824" w:rsidRPr="002128A6">
        <w:rPr>
          <w:rFonts w:ascii="Garamond" w:hAnsi="Garamond" w:cs="Garamond"/>
        </w:rPr>
        <w:t xml:space="preserve">ligji nr. </w:t>
      </w:r>
      <w:r w:rsidRPr="002128A6">
        <w:rPr>
          <w:rFonts w:ascii="Garamond" w:hAnsi="Garamond" w:cs="Garamond"/>
        </w:rPr>
        <w:t>82/2024) që kornizon modernizimin e Policisë Kriminale, pozicionet e shërbimit të policisë gjyqësore dhe rrugëve të specializimit solli rritjen dhe përmirësimin e kompetencave hetimore të Departamentit të Policisë Kriminale, duke mundësuar profilizimin e tyre me qëllim rritjen e efikasitetit hetimor dhe goditjen e grupeve kriminale.</w:t>
      </w:r>
    </w:p>
    <w:p w14:paraId="0A8F68B8" w14:textId="57D1943B"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Forcimi i bashkëpunimit ndërkombëtar dhe ndërkufitar, i reflektuar në rezultate të qëndrueshme operacionale, përfshirë sekuestrime të konsiderueshme të kokainës dhe heroinës, goditjen e rrjeteve të trafikimit ndërkombëtar, arrestimin e personave në kërkim ndërkombëtar përmes mekanizmave të INTERPOL-it dhe partnerëve të BE-së, si dhe pjesëmarrjen aktive në operacionet e përbashkëta të zhvilluara në kuadër të prioriteteve të EMPACT</w:t>
      </w:r>
      <w:r w:rsidR="006815D8">
        <w:rPr>
          <w:rFonts w:ascii="Garamond" w:hAnsi="Garamond" w:cs="Garamond"/>
        </w:rPr>
        <w:t>-it</w:t>
      </w:r>
      <w:r w:rsidRPr="002128A6">
        <w:rPr>
          <w:rFonts w:ascii="Garamond" w:hAnsi="Garamond" w:cs="Garamond"/>
        </w:rPr>
        <w:t xml:space="preserve">. Përmirësim i infrastrukturës së provave dhe menaxhimit të çështjeve: progres në vendosjen e </w:t>
      </w:r>
      <w:r w:rsidRPr="006815D8">
        <w:rPr>
          <w:rFonts w:ascii="Garamond" w:hAnsi="Garamond" w:cs="Garamond"/>
          <w:i/>
          <w:iCs/>
        </w:rPr>
        <w:t>e-Presto</w:t>
      </w:r>
      <w:r w:rsidRPr="002128A6">
        <w:rPr>
          <w:rFonts w:ascii="Garamond" w:hAnsi="Garamond" w:cs="Garamond"/>
        </w:rPr>
        <w:t xml:space="preserve"> në shërbimin e prokurorisë dhe Sistemeve të Menaxhimit të Çështjeve në Prokurorinë e Përgjithshme dhe SPAK.</w:t>
      </w:r>
    </w:p>
    <w:p w14:paraId="3AB11B22" w14:textId="778998A7"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Njohje pozitive e progresit të reformës së drejtësisë në raportet e njëpasnjëshme të progresit të Komisionit Evropian dhe konfirmim i angazhimit operacional nga partnerët ndërkombëtarë (Shtetet Anëtare të BE-së, Shtetet e Bashkuara të Amerikës, Këshilli i Evropës dhe UNODC).</w:t>
      </w:r>
    </w:p>
    <w:p w14:paraId="376ABB59" w14:textId="346A484B"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Njohje e progresit</w:t>
      </w:r>
      <w:r w:rsidR="00F54824" w:rsidRPr="002128A6">
        <w:rPr>
          <w:rFonts w:ascii="Garamond" w:hAnsi="Garamond" w:cs="Garamond"/>
        </w:rPr>
        <w:t xml:space="preserve"> </w:t>
      </w:r>
      <w:r w:rsidRPr="002128A6">
        <w:rPr>
          <w:rFonts w:ascii="Garamond" w:hAnsi="Garamond" w:cs="Garamond"/>
        </w:rPr>
        <w:t xml:space="preserve">në Raportin e Komisionit Evropian 2025 për Shqipërinë, ku vlerësohet rritja e nivelit të përgatitjes në kuadër të </w:t>
      </w:r>
      <w:r w:rsidR="00386FF6" w:rsidRPr="002128A6">
        <w:rPr>
          <w:rFonts w:ascii="Garamond" w:hAnsi="Garamond" w:cs="Garamond"/>
        </w:rPr>
        <w:t xml:space="preserve">grupapitullit </w:t>
      </w:r>
      <w:r w:rsidRPr="002128A6">
        <w:rPr>
          <w:rFonts w:ascii="Garamond" w:hAnsi="Garamond" w:cs="Garamond"/>
        </w:rPr>
        <w:t>1 (Themelor</w:t>
      </w:r>
      <w:r w:rsidR="00386FF6" w:rsidRPr="002128A6">
        <w:rPr>
          <w:rFonts w:ascii="Garamond" w:hAnsi="Garamond" w:cs="Garamond"/>
        </w:rPr>
        <w:t>ë</w:t>
      </w:r>
      <w:r w:rsidRPr="002128A6">
        <w:rPr>
          <w:rFonts w:ascii="Garamond" w:hAnsi="Garamond" w:cs="Garamond"/>
        </w:rPr>
        <w:t>t), veçanërisht në fushën e luftës kundër krimit të organizuar, nga 8.0 në 8.5. Po ashtu, evidentohet përmirësim i mëtejshëm (+0.5) në luftën kundër pastrimit të parave dhe rikuperimit të aseteve, si dhe progres i ndjeshëm (+1.0) në fushën e luftës kundër drogës dhe bashkëpunimit gjyqësor në çështjet penale. Raporti konfirmon gjithashtu se zbatimi i Strategjisë 2021–2025 ka hyrë në fazat e fundit të realizimit.</w:t>
      </w:r>
    </w:p>
    <w:p w14:paraId="14A21090" w14:textId="22355E62" w:rsidR="00407F50" w:rsidRPr="002128A6" w:rsidRDefault="00407F50" w:rsidP="0025426C">
      <w:pPr>
        <w:pStyle w:val="ListParagraph"/>
        <w:spacing w:after="0" w:line="240" w:lineRule="auto"/>
        <w:ind w:left="0" w:firstLine="284"/>
        <w:jc w:val="both"/>
        <w:rPr>
          <w:rFonts w:ascii="Garamond" w:hAnsi="Garamond" w:cs="Garamond"/>
          <w:strike/>
        </w:rPr>
      </w:pPr>
      <w:r w:rsidRPr="002128A6">
        <w:rPr>
          <w:rFonts w:ascii="Garamond" w:hAnsi="Garamond" w:cs="Garamond"/>
        </w:rPr>
        <w:t>- Miratimi i ligjit për Zyrën e Rikuperimit të Aseteve në qershor 2025 dhe forcimi i Agjencisë për Administrimin e Pasurive të Sekuestruara dhe të Konfiskuara (AAPSK), pozicionet e autorizuara të së cilës u zgjeruan nga 14 në 36 në shtator 2025. Deri më dhjetor 2025, AAPSK administroi 1.679 prona të sekuestruara dhe 546 prona të konfiskuara, me një vlerë të përbashkët prej afërsisht 51,6 milion</w:t>
      </w:r>
      <w:r w:rsidR="004C3450" w:rsidRPr="002128A6">
        <w:rPr>
          <w:rFonts w:ascii="Garamond" w:hAnsi="Garamond" w:cs="Garamond"/>
        </w:rPr>
        <w:t>ë</w:t>
      </w:r>
      <w:r w:rsidRPr="002128A6">
        <w:rPr>
          <w:rFonts w:ascii="Garamond" w:hAnsi="Garamond" w:cs="Garamond"/>
        </w:rPr>
        <w:t xml:space="preserve"> euro</w:t>
      </w:r>
      <w:r w:rsidR="004C3450" w:rsidRPr="002128A6">
        <w:rPr>
          <w:rFonts w:ascii="Garamond" w:hAnsi="Garamond" w:cs="Garamond"/>
        </w:rPr>
        <w:t>sh</w:t>
      </w:r>
      <w:r w:rsidRPr="002128A6">
        <w:rPr>
          <w:rFonts w:ascii="Garamond" w:hAnsi="Garamond" w:cs="Garamond"/>
        </w:rPr>
        <w:t xml:space="preserve">; </w:t>
      </w:r>
    </w:p>
    <w:p w14:paraId="286225E0" w14:textId="43BC77B9"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Përqendrim i ndjekjeve penale me ndikim të lartë në SPAK: 871 procedime penale në hetim në vitin 2025 (rritje 4,9% krahasuar me 2024), 220 çështje korrupsioni të regjistruara (rritje 17,7%), 10 zyrtarë të nivelit të lartë të dënuar me vendim të formës së prerë dhe një normë dënimi e Gjykatës së Posaçme prej rreth 87%. Në të gjitha dosjet e SPAK-ut, sekuestrimet dhe konfiskimet totale arritën vlerën rreth 45,4 milion</w:t>
      </w:r>
      <w:r w:rsidR="004C3450" w:rsidRPr="002128A6">
        <w:rPr>
          <w:rFonts w:ascii="Garamond" w:hAnsi="Garamond" w:cs="Garamond"/>
        </w:rPr>
        <w:t>ë</w:t>
      </w:r>
      <w:r w:rsidRPr="002128A6">
        <w:rPr>
          <w:rFonts w:ascii="Garamond" w:hAnsi="Garamond" w:cs="Garamond"/>
        </w:rPr>
        <w:t xml:space="preserve"> euro (përfshirë 12,4 milion</w:t>
      </w:r>
      <w:r w:rsidR="004C3450" w:rsidRPr="002128A6">
        <w:rPr>
          <w:rFonts w:ascii="Garamond" w:hAnsi="Garamond" w:cs="Garamond"/>
        </w:rPr>
        <w:t>ë</w:t>
      </w:r>
      <w:r w:rsidRPr="002128A6">
        <w:rPr>
          <w:rFonts w:ascii="Garamond" w:hAnsi="Garamond" w:cs="Garamond"/>
        </w:rPr>
        <w:t xml:space="preserve"> euro në kriptovalutë), me 42,4 milion</w:t>
      </w:r>
      <w:r w:rsidR="004C3450" w:rsidRPr="002128A6">
        <w:rPr>
          <w:rFonts w:ascii="Garamond" w:hAnsi="Garamond" w:cs="Garamond"/>
        </w:rPr>
        <w:t>ë</w:t>
      </w:r>
      <w:r w:rsidRPr="002128A6">
        <w:rPr>
          <w:rFonts w:ascii="Garamond" w:hAnsi="Garamond" w:cs="Garamond"/>
        </w:rPr>
        <w:t xml:space="preserve"> euro të lidhura me veprat e krimit të organizuar. SPAK-u u plotësua me personelin sipas ligjit, prej 20 </w:t>
      </w:r>
      <w:r w:rsidR="00043DE4" w:rsidRPr="002128A6">
        <w:rPr>
          <w:rFonts w:ascii="Garamond" w:hAnsi="Garamond" w:cs="Garamond"/>
        </w:rPr>
        <w:t>prokurorësh të posaçëm</w:t>
      </w:r>
      <w:r w:rsidRPr="002128A6">
        <w:rPr>
          <w:rFonts w:ascii="Garamond" w:hAnsi="Garamond" w:cs="Garamond"/>
        </w:rPr>
        <w:t>, në vitin 2024 dhe operoi me 124 punonjës në vitin 2025, përfshirë 12 hetues financiarë të dedikuar.</w:t>
      </w:r>
    </w:p>
    <w:p w14:paraId="5853D9BD" w14:textId="315D91E6"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Miratimi i Strategjisë Kombëtare për Parandalimin e Pastrimit të Parave dhe Financimit të Terrorizmit 2024-2030 (korrik 2024) dhe dalja nga lista gri e FATF-it në tetor 2023. Ky progres shoqërohet me përmirësim të ndjeshëm të përputhshmërisë me 40 Rekomandimet e FATF-it, ku vendi aktualisht vlerësohet me 6 fusha plotësisht në pajtim, 31 kryesisht në pajtim dhe 2 pjesërisht në pajtim, pa asnjë vlerësim mospajtueshmërie të mbetur. Ky zhvillim përfaqëson një përmirësim substancial krahasuar me bazën e vlerësimit të MONEYVAL-it të vitit 2018.</w:t>
      </w:r>
    </w:p>
    <w:p w14:paraId="23D51FEC" w14:textId="444350C5"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Thellim operacional i bashkëpunimit ndërkombëtar: Byroja Kombëtarë e Hetimit përgjatë periudhës 2022</w:t>
      </w:r>
      <w:r w:rsidR="00901BBA" w:rsidRPr="002128A6">
        <w:rPr>
          <w:rFonts w:ascii="Garamond" w:hAnsi="Garamond" w:cs="Garamond"/>
        </w:rPr>
        <w:t>–</w:t>
      </w:r>
      <w:r w:rsidRPr="002128A6">
        <w:rPr>
          <w:rFonts w:ascii="Garamond" w:hAnsi="Garamond" w:cs="Garamond"/>
        </w:rPr>
        <w:t xml:space="preserve">2025 ka shkëmbyer 329 informacione policore me partnerët dhe agjencitë e huaja, përfshirë SIENA Europol. Agjencia e Inteligjencës Financiare fitoi akses në platformën SIENA të Europolit, me mesazhet SIENA në rritje me 6,2% në vitin 2024; Shqipëria mori pjesë në 152 çështje të Eurojust ndërmjet marsit 2024 dhe korrikut 2025, kontribuoi në 25 Skuadra të Përbashkëta Hetimore (16 prej të cilave për narkotikët) dhe regjistroi një rritje 25% të operacioneve të përbashkëta </w:t>
      </w:r>
      <w:r w:rsidRPr="002128A6">
        <w:rPr>
          <w:rFonts w:ascii="Garamond" w:hAnsi="Garamond" w:cs="Garamond"/>
        </w:rPr>
        <w:lastRenderedPageBreak/>
        <w:t>përmes INTERPOL-it 24/7 në krahasim me</w:t>
      </w:r>
      <w:r w:rsidR="00F54824" w:rsidRPr="002128A6">
        <w:rPr>
          <w:rFonts w:ascii="Garamond" w:hAnsi="Garamond" w:cs="Garamond"/>
        </w:rPr>
        <w:t xml:space="preserve"> </w:t>
      </w:r>
      <w:r w:rsidRPr="002128A6">
        <w:rPr>
          <w:rFonts w:ascii="Garamond" w:hAnsi="Garamond" w:cs="Garamond"/>
        </w:rPr>
        <w:t>vitin 2023. Kërkesat për ndihmë të ndërsjellë juridike të marra nga jashtë u rritën 35,7% në vitin 2025 në 95 kërkesa, me 66,3% të ekzekutuara brenda vitit.</w:t>
      </w:r>
    </w:p>
    <w:p w14:paraId="423668AA" w14:textId="717DDF12"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Ngritja e Observatorit Kombëtar të Drogave brenda strukturës së Ministrisë së Shëndetësisë dhe Mbrojtjes Sociale në korrik 2025, si dhe vazhdimi i funksionimit të sistemit të paralajmërimit të hershëm për substancat e reja psikoaktive brenda Policisë së Shtetit, përbëjnë hapa të rëndësishëm në forcimin e mekanizmave kombëtarë të monitorimit, analizës dhe reagimit ndaj fenomenit të drogës në përputhje me standardet e BE-së. Në të njëjtën kohë, shkatërrimi në rritje të konsiderueshme i kanabisit të paligjshëm i regjistruar në vitin 2024, pasqyron pjekurinë operacionale të masave të zbulimit ajror të zhvilluara me asistencën italiane.</w:t>
      </w:r>
    </w:p>
    <w:p w14:paraId="3C5A29FC" w14:textId="434A3456" w:rsidR="00407F50" w:rsidRPr="002128A6" w:rsidRDefault="00407F50" w:rsidP="0025426C">
      <w:pPr>
        <w:pStyle w:val="ListParagraph"/>
        <w:spacing w:after="0" w:line="240" w:lineRule="auto"/>
        <w:ind w:left="0" w:firstLine="284"/>
        <w:jc w:val="both"/>
        <w:rPr>
          <w:rFonts w:ascii="Garamond" w:hAnsi="Garamond"/>
        </w:rPr>
      </w:pPr>
      <w:r w:rsidRPr="002128A6">
        <w:rPr>
          <w:rFonts w:ascii="Garamond" w:hAnsi="Garamond" w:cs="Garamond"/>
        </w:rPr>
        <w:t>- Në kuadër të forcimit të luftës kundër narkotikëve dhe përafrimit me standardet ndërkombëtare dhe ato të BE-së, kuadri ligjor për lëndët narkotike dhe substancat psikotrope është përditësuar në mënyrë të vazhdueshme përmes ndryshimeve në ligjin nr. 7975, datë 26.7.1995, të ndryshuar, përfshirë amendimet e miratuara gjatë viteve 2023, 2024 dhe së fundmi në vitin 2026. Paralelisht, ndryshimet e vitit 2023 të këtij ligji kanë rregulluar në mënyrë të posaçme kontrollin e kultivimit dhe përpunimit të bimës së kanabisit për qëllime mjekësore dhe industriale, duke parashikuar gjithashtu përparësinë e këtij kuadri mbi dispozitat që bien në kundërshtim me ligjin bazë.</w:t>
      </w:r>
    </w:p>
    <w:p w14:paraId="6A09756C" w14:textId="3957FAC5"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 xml:space="preserve">- Ngritja dhe funksionimi i regjistrave që mbështesin gjurmueshmërinë dhe transparencën, si: regjistri qendror i llogarive bankare, regjistri i pronarit përfitues, sistemi noterial NISA, si dhe shënohet progres i ndjeshëm në </w:t>
      </w:r>
      <w:r w:rsidR="00F54824" w:rsidRPr="002128A6">
        <w:rPr>
          <w:rFonts w:ascii="Garamond" w:hAnsi="Garamond" w:cs="Garamond"/>
        </w:rPr>
        <w:t>digjital</w:t>
      </w:r>
      <w:r w:rsidRPr="002128A6">
        <w:rPr>
          <w:rFonts w:ascii="Garamond" w:hAnsi="Garamond" w:cs="Garamond"/>
        </w:rPr>
        <w:t>izimin e të dhënave për pronat në vend.</w:t>
      </w:r>
    </w:p>
    <w:p w14:paraId="07EA9804" w14:textId="77777777" w:rsidR="00407F50" w:rsidRPr="002128A6" w:rsidRDefault="00407F50" w:rsidP="0025426C">
      <w:pPr>
        <w:keepNext/>
        <w:keepLines/>
        <w:spacing w:after="0" w:line="240" w:lineRule="auto"/>
        <w:ind w:firstLine="284"/>
        <w:jc w:val="both"/>
        <w:rPr>
          <w:rFonts w:ascii="Garamond" w:hAnsi="Garamond" w:cs="Garamond"/>
          <w:b/>
          <w:bCs/>
        </w:rPr>
      </w:pPr>
      <w:r w:rsidRPr="002128A6">
        <w:rPr>
          <w:rFonts w:ascii="Garamond" w:hAnsi="Garamond" w:cs="Garamond"/>
          <w:b/>
          <w:bCs/>
        </w:rPr>
        <w:t>Mësimet e nxjerra dhe zgjedhja konceptuale e Strategjisë</w:t>
      </w:r>
      <w:r w:rsidRPr="002128A6">
        <w:rPr>
          <w:rFonts w:ascii="Garamond" w:hAnsi="Garamond" w:cs="Garamond"/>
        </w:rPr>
        <w:t xml:space="preserve"> </w:t>
      </w:r>
    </w:p>
    <w:p w14:paraId="4DD67485"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 xml:space="preserve">Cikli i mëparshëm ka nxjerrë një sërë mësimesh të rëndësishme, të cilat kanë informuar hartimin e kësaj Strategjie. Mësimet kryesore janë paraqitur më poshtë dhe secila prej tyre reflektohet në qasjet dhe orientimet konceptuale të Strategjisë. </w:t>
      </w:r>
    </w:p>
    <w:p w14:paraId="3740EC75" w14:textId="02F84F4A"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Koordinimi ndërinstitucional është përmirësuar por mbetet i fragmentuar në praktikë: bashkëpunimi </w:t>
      </w:r>
      <w:r w:rsidRPr="002128A6">
        <w:rPr>
          <w:rFonts w:ascii="Garamond" w:hAnsi="Garamond" w:cs="Garamond"/>
          <w:i/>
          <w:iCs/>
        </w:rPr>
        <w:t>ad-hoc</w:t>
      </w:r>
      <w:r w:rsidRPr="002128A6">
        <w:rPr>
          <w:rFonts w:ascii="Garamond" w:hAnsi="Garamond" w:cs="Garamond"/>
        </w:rPr>
        <w:t>, aksesi i kufizuar në të dhënat operacionale dhe mungesa e protokolleve plotësisht të sistemuara të ndarjes së të dhënave vazhdojnë të ngadalësojnë hetimet e çështjeve komplekse.</w:t>
      </w:r>
    </w:p>
    <w:p w14:paraId="50BC0BAF" w14:textId="373E499D"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Sistemet e informacionit nuk janë të unifikuara dhe janë vetëm pjesërisht të ndërveprueshme. Për sistemet </w:t>
      </w:r>
      <w:r w:rsidRPr="006815D8">
        <w:rPr>
          <w:rFonts w:ascii="Garamond" w:hAnsi="Garamond" w:cs="Garamond"/>
          <w:i/>
          <w:iCs/>
        </w:rPr>
        <w:t>e-Presto,</w:t>
      </w:r>
      <w:r w:rsidRPr="002128A6">
        <w:rPr>
          <w:rFonts w:ascii="Garamond" w:hAnsi="Garamond" w:cs="Garamond"/>
        </w:rPr>
        <w:t xml:space="preserve"> Sistemet e Menaxhimit të Çështjeve dhe bazat e të dhënave operacionale, është e nevojshme të përfundohet zhvillimi i moduleve të papërfunduara dhe të sigurohet ndërveprueshmëria e plotë e sistemeve nga fillimi deri në fund të proceseve përpara se të mund të mbështesin operacionet rutinore të udhëhequra nga inteligjenca. Procesi i rikuperimit të aseteve ka pa</w:t>
      </w:r>
      <w:r w:rsidR="00235937" w:rsidRPr="002128A6">
        <w:rPr>
          <w:rFonts w:ascii="Garamond" w:hAnsi="Garamond" w:cs="Garamond"/>
        </w:rPr>
        <w:t>s</w:t>
      </w:r>
      <w:r w:rsidRPr="002128A6">
        <w:rPr>
          <w:rFonts w:ascii="Garamond" w:hAnsi="Garamond" w:cs="Garamond"/>
        </w:rPr>
        <w:t>ur zhvillime pozitive në bashkëpunim ndërinstitucional, ndërmjet strukturave përgjegjëse, ndërkohë që mbetet i nevojshëm forcimi i mëtejshëm i koordinimit operacional, kapaciteteve analitike dhe standardizimit të praktikave të referimit dhe reagimit.</w:t>
      </w:r>
    </w:p>
    <w:p w14:paraId="591927D7" w14:textId="43A302FF"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Megjithëse janë forcuar kapacitetet parandaluese në disa fusha, mbetet sfidë rritja e efektivitetit të ndjekjes penale dhe finalizimit nëpërmjet vendimeve gjyqësore. Ndërsa cikli i mëparshëm fokusohej drejt ndjekjes penale; kjo Strategji zgjeron shtyllën parandaluese në gjashtë objektiva specifikë, përfshirë qëndrueshmërinë komunitare dhe parandalimin administrativ.</w:t>
      </w:r>
    </w:p>
    <w:p w14:paraId="351A5932" w14:textId="7734EBB5"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Kërcënimet kriminale evoluojnë më shpejt se përgjigjja strategjike: krimi kibernetik, krimi i mundësuar nga kriptovalutat, krimi mjedisor dhe mashtrimi në internet janë zgjeruar përtej asaj që strategjia e mëparshme parashikonte, duke justifikuar </w:t>
      </w:r>
      <w:r w:rsidR="00B76863" w:rsidRPr="002128A6">
        <w:rPr>
          <w:rFonts w:ascii="Garamond" w:hAnsi="Garamond" w:cs="Garamond"/>
        </w:rPr>
        <w:t xml:space="preserve">objektiva specifikë </w:t>
      </w:r>
      <w:r w:rsidRPr="002128A6">
        <w:rPr>
          <w:rFonts w:ascii="Garamond" w:hAnsi="Garamond" w:cs="Garamond"/>
        </w:rPr>
        <w:t>të dedikuar në këtë Strategji dhe një mekanizëm rishikimi në mes të periudhës së zbatimit të saj.</w:t>
      </w:r>
    </w:p>
    <w:p w14:paraId="4EDC90D4" w14:textId="2A0D88E4"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Bashkëpunimi ndërkombëtar është thelbësor, por procedurialisht i ngadaltë: afatet kohore të ekstradimit dhe vonesat e ndihmës së ndërsjellë juridike (letër-porositë), e zvogëlojnë vlerën operacionale të bashkëpunimit të operacioneve të udhëhequra nga inteligjenca. Kjo Strategji prioritizon praninë e oficerëve të ndërlidhjes, protokollet e Skuadrave të Përbashkëta Hetimore (SPH) dhe koordinimin me Eurojust.</w:t>
      </w:r>
    </w:p>
    <w:p w14:paraId="7EAD01A8" w14:textId="6CAA5285"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lastRenderedPageBreak/>
        <w:t>- Dimensioni gjinor i krimit të organizuar, qoftë si faktor cenueshmërie, ashtu edhe si kënd analitik, nuk ishte i zhvilluar mjaftueshëm në strategjinë e mëparshme. Kjo Strategji integron analizën e përgjegjshme gjinore dhe të dhënat e ndara sipas gjinisë në Qëllimet e Politikave I dhe II.</w:t>
      </w:r>
    </w:p>
    <w:p w14:paraId="13629875" w14:textId="77777777" w:rsidR="00407F50" w:rsidRPr="002128A6" w:rsidRDefault="00407F50" w:rsidP="0025426C">
      <w:pPr>
        <w:pStyle w:val="Heading3"/>
        <w:spacing w:before="0" w:after="0" w:line="240" w:lineRule="auto"/>
        <w:ind w:firstLine="284"/>
        <w:jc w:val="both"/>
        <w:rPr>
          <w:rFonts w:ascii="Garamond" w:hAnsi="Garamond" w:cs="Garamond"/>
          <w:color w:val="auto"/>
          <w:sz w:val="24"/>
          <w:szCs w:val="24"/>
        </w:rPr>
      </w:pPr>
      <w:r w:rsidRPr="002128A6">
        <w:rPr>
          <w:rFonts w:ascii="Garamond" w:hAnsi="Garamond" w:cs="Garamond"/>
          <w:color w:val="auto"/>
          <w:sz w:val="24"/>
          <w:szCs w:val="24"/>
        </w:rPr>
        <w:t>1.2 VIZIONI DHE PARIMET UDHËHEQËSE TË STRATEGJISË</w:t>
      </w:r>
    </w:p>
    <w:p w14:paraId="487F80A4"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Strategjia kundër Krimit të Organizuar dhe Krimeve të Rënda do të shërbejë si udhëzues për mobilizimin e të gjitha strukturave për t’iu përgjigjur grupeve dhe individëve kriminalë, duke harmonizuar ndërveprimin ndërmjet qeverisë, sektorit privat, organizatave jofitimprurëse, shoqërisë civile, komunitetit dhe qytetarëve. Vizioni i saj është si vijon:</w:t>
      </w:r>
    </w:p>
    <w:p w14:paraId="5E76FFFF"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i/>
          <w:iCs/>
        </w:rPr>
        <w:t>“Garantimi i një mjedisi të sigurt për zhvillimin e vendit dhe shoqërisë nga kërcënimet e krimit të organizuar dhe krimeve të rënda, duke siguruar të drejtat individuale, sipërmarrjen e lirë dhe respektimin e ligjshmërisë në tërësinë e saj”.</w:t>
      </w:r>
    </w:p>
    <w:p w14:paraId="1647D379" w14:textId="2F160952" w:rsidR="00407F50" w:rsidRPr="002128A6" w:rsidRDefault="00407F50" w:rsidP="0025426C">
      <w:pPr>
        <w:spacing w:after="0" w:line="240" w:lineRule="auto"/>
        <w:ind w:firstLine="284"/>
        <w:jc w:val="both"/>
        <w:rPr>
          <w:rFonts w:ascii="Garamond" w:hAnsi="Garamond" w:cs="Garamond"/>
          <w:i/>
          <w:iCs/>
        </w:rPr>
      </w:pPr>
      <w:r w:rsidRPr="002128A6">
        <w:rPr>
          <w:rFonts w:ascii="Garamond" w:hAnsi="Garamond" w:cs="Garamond"/>
        </w:rPr>
        <w:t>Ky vizion është në përputhje dhe në harmoni të plotë me Strategjinë Kombëtare për Zhvillim dhe Integrim Evropian (SKZHIE 2030), ku lufta kundër krimit të organizuar lidhet specifikisht me shtyllën e parë të saj “</w:t>
      </w:r>
      <w:r w:rsidRPr="002128A6">
        <w:rPr>
          <w:rFonts w:ascii="Garamond" w:hAnsi="Garamond" w:cs="Garamond"/>
          <w:i/>
          <w:iCs/>
        </w:rPr>
        <w:t>Demokracia dhe forcimi i institucioneve dhe qeverisja e mirë</w:t>
      </w:r>
      <w:r w:rsidRPr="002128A6">
        <w:rPr>
          <w:rFonts w:ascii="Garamond" w:hAnsi="Garamond" w:cs="Garamond"/>
        </w:rPr>
        <w:t>” , në të cilën nevoja për forcim të mëtejshëm të institucioneve efikase të vendit përshkruhet si bazë që siguron demokracinë, konkurrencën dhe zhvillimin ekonomik të vendit duke e përgatitur atë për anëtarësim në “familjen e madhe” të Bashkimit Evropian. Sfidat e parashikuara nga kjo strategji lidhen gjithashtu me sfidat e paraqitura në SKZHIE 2030</w:t>
      </w:r>
      <w:r w:rsidR="00F54824" w:rsidRPr="002128A6">
        <w:rPr>
          <w:rFonts w:ascii="Garamond" w:hAnsi="Garamond" w:cs="Garamond"/>
        </w:rPr>
        <w:t xml:space="preserve"> </w:t>
      </w:r>
      <w:r w:rsidRPr="002128A6">
        <w:rPr>
          <w:rFonts w:ascii="Garamond" w:hAnsi="Garamond" w:cs="Garamond"/>
          <w:i/>
          <w:iCs/>
        </w:rPr>
        <w:t xml:space="preserve">“Garantimi i një mjedisi të sigurt për zhvillimin e vendit dhe shoqërisë nga kërcënimet e krimit të organizuar dhe krimeve të rënda, duke siguruar jetën e individit, sipërmarrjen e lirë dhe respektimin e ligjshmërisë në tërësinë e saj”. </w:t>
      </w:r>
    </w:p>
    <w:p w14:paraId="5C8889C5"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Shqipëria aspiron të jetë një shoqëri ku krimi i organizuar parandalohet sistematikisht, ndiqet penalisht me shpejtësi dhe goditet në mënyrë efektive; ku të ardhurat e krimit gjurmohen, konfiskohen dhe ripërdoren në mënyrë të besueshme për të mirën publike; dhe ku institucionet kombëtare bashkëpunojnë në mënyrë të papërcaktuar me homologët e tyre evropianë dhe ndërkombëtarë në mbrojtjen e sundimit të ligjit dhe sigurisë së qytetarëve. Strategjia është ndërtuar mbi parimet e mëposhtme udhëheqëse:</w:t>
      </w:r>
    </w:p>
    <w:p w14:paraId="7D1A28F9" w14:textId="14C9F96F"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Sundimi i ligjit dhe të drejtat e njeriut: çdo masë është në përputhje me Kushtetutën, Konventën Evropiane për të Drejtat e Njeriut dhe Kartën e BE-së për të Drejtat Themelore, dhe respekton prezumimin e pafajësisë, procesin e rregullt ligjor dhe mbrojtjen gjyqësore efektive.</w:t>
      </w:r>
    </w:p>
    <w:p w14:paraId="6FA2D390" w14:textId="053153C7"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Veprim i udhëhequr nga inteligjenca: parandalimi dhe zbatimi udhëhiqen nga vlerësimi i strukturuar i kërcënimit, hetimi paralel financiar dhe modelimi i ndërprerjes, dhe jo vetëm nga praktika reaguese rast pas rasti.</w:t>
      </w:r>
    </w:p>
    <w:p w14:paraId="549B25EF" w14:textId="363BDDA4"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Koordinimi ndërinstitucional: zbatimi realizohet përmes protokolleve të formalizuara të ndarjes së informacionit, sistemeve të standardizuara të të dhënave dhe strukturave të përbashkëta operacionale, kurrë përmes bashkëpunimit </w:t>
      </w:r>
      <w:r w:rsidRPr="002128A6">
        <w:rPr>
          <w:rFonts w:ascii="Garamond" w:hAnsi="Garamond" w:cs="Garamond"/>
          <w:i/>
          <w:iCs/>
        </w:rPr>
        <w:t>ad-hoc</w:t>
      </w:r>
      <w:r w:rsidRPr="002128A6">
        <w:rPr>
          <w:rFonts w:ascii="Garamond" w:hAnsi="Garamond"/>
        </w:rPr>
        <w:t>.</w:t>
      </w:r>
    </w:p>
    <w:p w14:paraId="5F0B2DF2" w14:textId="3054D550"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Konceptim i përgjegjshëm ndaj gjinisë: masat e parandalimit, mbrojtjes dhe riintegrimit dizajnohen dhe monitorohen me të dhëna të ndara sipas gjinisë; dimensioni gjinor i krimit të organizuar trajtohet si faktor cenueshmërie, ashtu edhe si lente analitike.</w:t>
      </w:r>
    </w:p>
    <w:p w14:paraId="4AEE7AE0" w14:textId="322C4CE3"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Harmonizimi me </w:t>
      </w:r>
      <w:r w:rsidR="00A00935" w:rsidRPr="002128A6">
        <w:rPr>
          <w:rFonts w:ascii="Garamond" w:hAnsi="Garamond" w:cs="Garamond"/>
          <w:i/>
          <w:iCs/>
        </w:rPr>
        <w:t>Acquis</w:t>
      </w:r>
      <w:r w:rsidR="00A00935" w:rsidRPr="002128A6">
        <w:rPr>
          <w:rFonts w:ascii="Garamond" w:hAnsi="Garamond" w:cs="Garamond"/>
        </w:rPr>
        <w:t xml:space="preserve"> </w:t>
      </w:r>
      <w:r w:rsidRPr="002128A6">
        <w:rPr>
          <w:rFonts w:ascii="Garamond" w:hAnsi="Garamond" w:cs="Garamond"/>
        </w:rPr>
        <w:t xml:space="preserve">të BE-së: çdo Objektiv Specifik është i harmonizuar në </w:t>
      </w:r>
      <w:r w:rsidR="00A00935" w:rsidRPr="002128A6">
        <w:rPr>
          <w:rFonts w:ascii="Garamond" w:hAnsi="Garamond" w:cs="Garamond"/>
          <w:i/>
          <w:iCs/>
        </w:rPr>
        <w:t>Acquis</w:t>
      </w:r>
      <w:r w:rsidR="00A00935" w:rsidRPr="002128A6">
        <w:rPr>
          <w:rFonts w:ascii="Garamond" w:hAnsi="Garamond" w:cs="Garamond"/>
        </w:rPr>
        <w:t xml:space="preserve"> </w:t>
      </w:r>
      <w:r w:rsidRPr="002128A6">
        <w:rPr>
          <w:rFonts w:ascii="Garamond" w:hAnsi="Garamond" w:cs="Garamond"/>
        </w:rPr>
        <w:t>përkatëse të Kapitullit 24 dhe kornizat operacionale të BE-së (Europol, Eurojust, EMPACT, ENFAST).</w:t>
      </w:r>
    </w:p>
    <w:p w14:paraId="39ECB4AC" w14:textId="577BF2B9"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Bashkëpunimi ndërkombëtar si praktikë rutinë: bashkëpunimi dypalësh dhe shumëpalësh integrohet në operacionet kombëtare si praktikë standarde dhe jo si shtesë e jashtëzakonshme.</w:t>
      </w:r>
    </w:p>
    <w:p w14:paraId="48DC0765" w14:textId="7F2A6317"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Monitorimi i bazuar në të dhëna: progresi matet kundrejt treguesve me vlera bazë të vendosura dhe synime për vitin 2030, dhe rishikohet në mënyrë të pavarur në mes të periudhës së zbatimit në vitin 2027.</w:t>
      </w:r>
    </w:p>
    <w:p w14:paraId="3C149086" w14:textId="0900E6D0" w:rsidR="00407F50" w:rsidRPr="002128A6" w:rsidRDefault="00407F50" w:rsidP="0025426C">
      <w:pPr>
        <w:pStyle w:val="ListParagraph"/>
        <w:spacing w:after="0" w:line="240" w:lineRule="auto"/>
        <w:ind w:left="0" w:firstLine="284"/>
        <w:jc w:val="both"/>
        <w:rPr>
          <w:rFonts w:ascii="Garamond" w:hAnsi="Garamond" w:cs="Garamond"/>
        </w:rPr>
      </w:pPr>
      <w:r w:rsidRPr="002128A6">
        <w:rPr>
          <w:rFonts w:ascii="Garamond" w:hAnsi="Garamond" w:cs="Garamond"/>
        </w:rPr>
        <w:t>- Transparenca dhe llogaridhënia: raportet monitoruese dhe vlerësuese të zbatimit janë publike dhe angazhimi me shoqërinë civile dhe akademikët është i strukturuar dhe jo i rastësishëm.</w:t>
      </w:r>
    </w:p>
    <w:p w14:paraId="217C0189" w14:textId="77777777" w:rsidR="00407F50" w:rsidRPr="002128A6" w:rsidRDefault="00407F50" w:rsidP="0025426C">
      <w:pPr>
        <w:pStyle w:val="Heading3"/>
        <w:spacing w:before="0" w:after="0" w:line="240" w:lineRule="auto"/>
        <w:ind w:firstLine="284"/>
        <w:jc w:val="both"/>
        <w:rPr>
          <w:rFonts w:ascii="Garamond" w:hAnsi="Garamond" w:cs="Garamond"/>
          <w:color w:val="auto"/>
          <w:sz w:val="24"/>
          <w:szCs w:val="24"/>
        </w:rPr>
      </w:pPr>
      <w:r w:rsidRPr="002128A6">
        <w:rPr>
          <w:rFonts w:ascii="Garamond" w:hAnsi="Garamond" w:cs="Garamond"/>
          <w:color w:val="auto"/>
          <w:sz w:val="24"/>
          <w:szCs w:val="24"/>
        </w:rPr>
        <w:lastRenderedPageBreak/>
        <w:t>1.3 METODOLOGJIA</w:t>
      </w:r>
    </w:p>
    <w:p w14:paraId="2D53B9AA"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 xml:space="preserve">Strategjia Kombëtare për Parandalimin dhe Luftën kundër Krimit të Organizuar dhe Krimeve të Rënda 2026-2030 bazohet mbi një metodologji të fortë, të integruar dhe të bazuar në të dhëna. Kjo qasje integron analizën e kërcënimit, vlerësimin institucional, arkitekturën operacionale, zhvillimin e kapaciteteve, ndërprerjen financiare të krimit dhe bashkëpunimin ndërinstitucional si shtyllat themelore të zbatimit, si dhe konsultim të gjerë për të siguruar si koherencën ashtu edhe efektivitetin. </w:t>
      </w:r>
    </w:p>
    <w:p w14:paraId="000680E2" w14:textId="231FD204"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Rishikimi tërësor i peizazhit institucional të Shqipërisë nxjerr në pah pikat e forta, boshllëqet dhe nevojat për kapacitete në të gjithë organet ligjzbatuese, të drejtësisë, rregullatore dhe të mbikëqyrjes. Ky vlerësim përcakton ku duhet të zhvillohen kapacitetet, në mënyrë që institucionet të jenë të përgatitur për t’u përgjigjur. Krimi financiar dhe ekonomik trajtohet si prioritet ndërsektorial në të gjithë qëllimet politike. Përveç pastrimit të parave, kjo përfshin krimet tatimore, keqpërdorimin e bizneseve, skemat mashtruese, flukset e paligjshme financiare dhe mekanizmat e fshehjes së aseteve. Të gjitha hetimet kryesore shoqërohen dhe mbështeten në hetime paralele financiare, me qëllim sigurimin e</w:t>
      </w:r>
      <w:r w:rsidR="00F54824" w:rsidRPr="002128A6">
        <w:rPr>
          <w:rFonts w:ascii="Garamond" w:hAnsi="Garamond" w:cs="Garamond"/>
        </w:rPr>
        <w:t xml:space="preserve"> </w:t>
      </w:r>
      <w:r w:rsidRPr="002128A6">
        <w:rPr>
          <w:rFonts w:ascii="Garamond" w:hAnsi="Garamond" w:cs="Garamond"/>
        </w:rPr>
        <w:t xml:space="preserve">ndërprerjes sistematike të përfitimeve kriminale si qasje qendrore për goditjen e krimit të organizuar. </w:t>
      </w:r>
    </w:p>
    <w:p w14:paraId="148B1494" w14:textId="1C9C8EC3"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Procesi i hartimit të kësaj strategjie është kryer mbi bazën e një metodologjie të integruar brenda kornizës së Planit Kombëtar për Integrim Evropian (PKIE) 2024</w:t>
      </w:r>
      <w:r w:rsidR="00F54824" w:rsidRPr="002128A6">
        <w:rPr>
          <w:rFonts w:ascii="Garamond" w:hAnsi="Garamond" w:cs="Garamond"/>
        </w:rPr>
        <w:t>–</w:t>
      </w:r>
      <w:r w:rsidRPr="002128A6">
        <w:rPr>
          <w:rFonts w:ascii="Garamond" w:hAnsi="Garamond" w:cs="Garamond"/>
        </w:rPr>
        <w:t xml:space="preserve">2026, si dhe angazhimeve përkatëse brenda kornizës së Procesit të Berlinit dhe mekanizmave të monitorimit të BE-së dhe OKB-së. Duke përdorur metodologjinë e </w:t>
      </w:r>
      <w:r w:rsidR="00956886" w:rsidRPr="002128A6">
        <w:rPr>
          <w:rFonts w:ascii="Garamond" w:hAnsi="Garamond" w:cs="Garamond"/>
        </w:rPr>
        <w:t xml:space="preserve">Europolit, </w:t>
      </w:r>
      <w:r w:rsidRPr="002128A6">
        <w:rPr>
          <w:rFonts w:ascii="Garamond" w:hAnsi="Garamond" w:cs="Garamond"/>
        </w:rPr>
        <w:t>Vlerësimi i Kërcënimit të Krimit të Organizuar dhe të Rëndë (SOCTA), strategjia operacionalizon në mënyrë të qartë zinxhirin e rezultateve:</w:t>
      </w:r>
      <w:r w:rsidR="0044191B" w:rsidRPr="002128A6">
        <w:rPr>
          <w:rFonts w:ascii="Garamond" w:hAnsi="Garamond" w:cs="Garamond"/>
        </w:rPr>
        <w:t xml:space="preserve"> → </w:t>
      </w:r>
      <w:r w:rsidRPr="002128A6">
        <w:rPr>
          <w:rFonts w:ascii="Garamond" w:hAnsi="Garamond" w:cs="Garamond"/>
        </w:rPr>
        <w:t>Kërcënim</w:t>
      </w:r>
      <w:r w:rsidR="0044191B" w:rsidRPr="002128A6">
        <w:rPr>
          <w:rFonts w:ascii="Garamond" w:hAnsi="Garamond" w:cs="Garamond"/>
        </w:rPr>
        <w:t xml:space="preserve"> → </w:t>
      </w:r>
      <w:r w:rsidRPr="002128A6">
        <w:rPr>
          <w:rFonts w:ascii="Garamond" w:hAnsi="Garamond" w:cs="Garamond"/>
        </w:rPr>
        <w:t>Prioritet</w:t>
      </w:r>
      <w:r w:rsidR="0044191B" w:rsidRPr="002128A6">
        <w:rPr>
          <w:rFonts w:ascii="Garamond" w:hAnsi="Garamond" w:cs="Garamond"/>
        </w:rPr>
        <w:t xml:space="preserve"> → </w:t>
      </w:r>
      <w:r w:rsidRPr="002128A6">
        <w:rPr>
          <w:rFonts w:ascii="Garamond" w:hAnsi="Garamond" w:cs="Garamond"/>
        </w:rPr>
        <w:t>Objektiv</w:t>
      </w:r>
      <w:r w:rsidR="0044191B" w:rsidRPr="002128A6">
        <w:rPr>
          <w:rFonts w:ascii="Garamond" w:hAnsi="Garamond" w:cs="Garamond"/>
        </w:rPr>
        <w:t xml:space="preserve"> → </w:t>
      </w:r>
      <w:r w:rsidRPr="002128A6">
        <w:rPr>
          <w:rFonts w:ascii="Garamond" w:hAnsi="Garamond" w:cs="Garamond"/>
        </w:rPr>
        <w:t>Veprim</w:t>
      </w:r>
      <w:r w:rsidR="0044191B" w:rsidRPr="002128A6">
        <w:rPr>
          <w:rFonts w:ascii="Garamond" w:hAnsi="Garamond" w:cs="Garamond"/>
        </w:rPr>
        <w:t xml:space="preserve"> → </w:t>
      </w:r>
      <w:r w:rsidRPr="002128A6">
        <w:rPr>
          <w:rFonts w:ascii="Garamond" w:hAnsi="Garamond" w:cs="Garamond"/>
        </w:rPr>
        <w:t>Rezultat</w:t>
      </w:r>
      <w:r w:rsidR="0044191B" w:rsidRPr="002128A6">
        <w:rPr>
          <w:rFonts w:ascii="Garamond" w:hAnsi="Garamond" w:cs="Garamond"/>
        </w:rPr>
        <w:t xml:space="preserve"> → </w:t>
      </w:r>
      <w:r w:rsidRPr="002128A6">
        <w:rPr>
          <w:rFonts w:ascii="Garamond" w:hAnsi="Garamond" w:cs="Garamond"/>
        </w:rPr>
        <w:t xml:space="preserve">Ndikim, duke siguruar gjurmueshmëri të plotë midis rreziqeve të identifikuara dhe ndërhyrjeve strategjike. </w:t>
      </w:r>
    </w:p>
    <w:p w14:paraId="36A12744"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Bashkëpunimi ndërinstitucional dhe ndërkombëtar përbën një shtyllë thelbësore mundësuese të strategjisë. Efektiviteti i policimit të udhëhequr nga inteligjenca, hetimet financiare, ndërprerja administrative dhe masat e parandalimit varen nga shkëmbimi i informacionit në kohë reale, sistemet e ndërvepruara dhe strukturat operacionale të koordinuara. Strategjia për këtë arsye prioritizon njësitë e përbashkëta analitike, bazat e të dhënave të integruara dhe protokollet e formalizuara të bashkëpunimit në të gjitha institucionet.</w:t>
      </w:r>
    </w:p>
    <w:p w14:paraId="5F6C375C" w14:textId="299AAB64"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Dokumenti është hartuar përmes një procesi konsultimi gjithëpërfshirës, të koordinuar në të gjitha fazat e tij nga Ministria e Punëve të Brendshme, si institucioni përgjegjës për ruajtjen e rendit dhe sigurisë publike, duke filluar nga analiza e rrezikut deri tek miratimi përfundimtar.</w:t>
      </w:r>
      <w:r w:rsidR="00F54824" w:rsidRPr="002128A6">
        <w:rPr>
          <w:rFonts w:ascii="Garamond" w:hAnsi="Garamond" w:cs="Garamond"/>
        </w:rPr>
        <w:t xml:space="preserve"> </w:t>
      </w:r>
    </w:p>
    <w:p w14:paraId="55949C03" w14:textId="2CEF0C32"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Ky proces është kryer në bashkëpunim me institucione të tjera përkatëse, si strukturat e varësisë së Ministrisë së Punëve të Brendshme (Policia e Shtetit, AAPSK), Ministria e Drejtësisë, Ministria e Financave, Ministria e Infrastrukturës dhe Energjisë, Ministria e Mbrojtjes, Ministria për Evropën dhe Punët e Jashtme, Ministria e Shëndetësisë dhe Mirëqenies Sociale, Ministria e Turizmit, Kulturës dhe Sportit, Ministria e Mjedisit, Ministria e Arsimit, Ministria e Bujqësisë dhe Zhvillimit Rural, Ministër i Shtetit për Administratën Publike dhe Antikorrupsionin, (Drejtoria e Përgjithshme e Antikorrupsionit, Shërbimi Informativ i Shtetit, Byroja Kombëtare e Hetimit, Banka e Shqipërisë, Prokuroria e Përgjithshme, Agjencia e Inteligjencës Financiare, Prokuroria e Posaçme kundër Korrupsionit dhe Krimit të Organizuar, Shoqëria Civile, OJF-të, Organet Ndërkombëtare (ICITAP, Këshilli i Evropës, Delegacioni i Bashkimit Evropian në Shqipëri) dhe media.</w:t>
      </w:r>
      <w:r w:rsidR="00F54824" w:rsidRPr="002128A6">
        <w:rPr>
          <w:rFonts w:ascii="Garamond" w:hAnsi="Garamond" w:cs="Garamond"/>
        </w:rPr>
        <w:t xml:space="preserve"> </w:t>
      </w:r>
    </w:p>
    <w:p w14:paraId="413205E4" w14:textId="7C8E4943" w:rsidR="00407F50" w:rsidRPr="002128A6" w:rsidRDefault="00407F50" w:rsidP="0025426C">
      <w:pPr>
        <w:spacing w:after="0" w:line="240" w:lineRule="auto"/>
        <w:ind w:firstLine="284"/>
        <w:jc w:val="both"/>
        <w:rPr>
          <w:rFonts w:ascii="Garamond" w:hAnsi="Garamond" w:cs="Garamond"/>
          <w:strike/>
        </w:rPr>
      </w:pPr>
      <w:r w:rsidRPr="002128A6">
        <w:rPr>
          <w:rFonts w:ascii="Garamond" w:hAnsi="Garamond" w:cs="Garamond"/>
        </w:rPr>
        <w:t>Gjatë hartimit të strategjisë, përkrah infrastrukturës ligjore dhe programeve të ndryshme shtetërore, analiza për vlerësimin e situatës aktuale dhe identifikimin e prioriteteve dhe objektivave të ardhshëm ka marrë në konsideratë gjithashtu praktikat më të mira të Shteteve Anëtare të Bashkimit Evropian dhe partnerëve të tjerë ndërkombëtarë, rekomandimet dhe konstatimet e raporteve të progresit të Komisionit Evropian dhe mekanizmat e monitorimit të kapitullit 24 (Drejtësia, Liria dhe Siguria), Komiteti i Stabilizim-Asociimit, GRETA, Task</w:t>
      </w:r>
      <w:r w:rsidR="005C084B" w:rsidRPr="002128A6">
        <w:rPr>
          <w:rFonts w:ascii="Garamond" w:hAnsi="Garamond" w:cs="Garamond"/>
        </w:rPr>
        <w:t>-</w:t>
      </w:r>
      <w:r w:rsidRPr="002128A6">
        <w:rPr>
          <w:rFonts w:ascii="Garamond" w:hAnsi="Garamond" w:cs="Garamond"/>
        </w:rPr>
        <w:t xml:space="preserve">Forca për Veprimin Financiar (FATF), Grupi i Punës për Masat kundër Pastrimit të Parave dhe Financimit të Terrorizmit (ICRG), dhe Departamenti i </w:t>
      </w:r>
      <w:r w:rsidRPr="002128A6">
        <w:rPr>
          <w:rFonts w:ascii="Garamond" w:hAnsi="Garamond" w:cs="Garamond"/>
        </w:rPr>
        <w:lastRenderedPageBreak/>
        <w:t>Shtetit i Shteteve të Bashkuara (DASH), Vlerësimi i Kërcënimit të Krimit të Organizuar dhe të Rëndë (SOCTA 2026)</w:t>
      </w:r>
      <w:r w:rsidR="00F54824" w:rsidRPr="002128A6">
        <w:rPr>
          <w:rFonts w:ascii="Garamond" w:hAnsi="Garamond" w:cs="Garamond"/>
        </w:rPr>
        <w:t xml:space="preserve"> </w:t>
      </w:r>
      <w:r w:rsidRPr="002128A6">
        <w:rPr>
          <w:rFonts w:ascii="Garamond" w:hAnsi="Garamond" w:cs="Garamond"/>
        </w:rPr>
        <w:t>si dhe Vlerësimin Kombëtar të Rrezikut për Parandalimin e Pastrimit të Parave dhe Financimit të Terrorizmit (NRA), duke i siguruar kështu dokumentit një bazë të gjerë për zbatimin e tij më efektiv.</w:t>
      </w:r>
    </w:p>
    <w:p w14:paraId="3718DDC3"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Vëmendje e veçantë i është kushtuar procesit të koordinimit dhe bashkëpunimit ndërinstitucional, me qëllim sigurimin e një qasjeje të harmonizuar gjatë hartimit të masave të përfshira në këtë dokument strategjik. Kjo qasje ka synuar të shmangë mbivendosjen, përsëritjen ose fragmentimin e masave me dokumente të tjera strategjike në fuqi, veçanërisht në fushat e pastrimit të parave, luftës kundër financimit të terrorizmit, parandalimit të ekstremizmit të dhunshëm, ose kontrollit dhe menaxhimit të armëve të vogla dhe të lehta.</w:t>
      </w:r>
    </w:p>
    <w:p w14:paraId="500044D3"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Ky proces siguroi që masat e propozuara të jenë plotësuese dhe në përputhshmëri me prioritetet kombëtare, duke mundësuar koordinim më të mirë midis institucioneve zbatuese dhe duke rritur efektivitetin e përgjithshëm të politikave të sigurisë.</w:t>
      </w:r>
    </w:p>
    <w:p w14:paraId="355D3B54" w14:textId="4BDA8D11" w:rsidR="00407F50" w:rsidRPr="002128A6" w:rsidRDefault="00407F50" w:rsidP="0025426C">
      <w:pPr>
        <w:pStyle w:val="Heading3"/>
        <w:spacing w:before="0" w:after="0" w:line="240" w:lineRule="auto"/>
        <w:ind w:firstLine="284"/>
        <w:jc w:val="both"/>
        <w:rPr>
          <w:rFonts w:ascii="Garamond" w:hAnsi="Garamond" w:cs="Garamond"/>
          <w:color w:val="auto"/>
          <w:sz w:val="24"/>
          <w:szCs w:val="24"/>
        </w:rPr>
      </w:pPr>
      <w:r w:rsidRPr="002128A6">
        <w:rPr>
          <w:rFonts w:ascii="Garamond" w:hAnsi="Garamond" w:cs="Garamond"/>
          <w:color w:val="auto"/>
          <w:sz w:val="24"/>
          <w:szCs w:val="24"/>
        </w:rPr>
        <w:t>1.4 ANALIZA E RREZIQEVE, ARRITJET DHE MËSIMET E NXJERRA</w:t>
      </w:r>
    </w:p>
    <w:p w14:paraId="54B9D5D6" w14:textId="3C254DE1" w:rsidR="00407F50" w:rsidRPr="002128A6" w:rsidRDefault="00407F50" w:rsidP="0025426C">
      <w:pPr>
        <w:tabs>
          <w:tab w:val="left" w:pos="0"/>
        </w:tabs>
        <w:spacing w:after="0" w:line="240" w:lineRule="auto"/>
        <w:ind w:firstLine="284"/>
        <w:jc w:val="both"/>
        <w:rPr>
          <w:rFonts w:ascii="Garamond" w:hAnsi="Garamond" w:cs="Garamond"/>
        </w:rPr>
      </w:pPr>
      <w:r w:rsidRPr="002128A6">
        <w:rPr>
          <w:rFonts w:ascii="Garamond" w:hAnsi="Garamond" w:cs="Garamond"/>
        </w:rPr>
        <w:t xml:space="preserve">Strategjia është hartuar mbi një analizë gjithëpërfshirëse </w:t>
      </w:r>
      <w:r w:rsidRPr="002128A6">
        <w:rPr>
          <w:rFonts w:ascii="Garamond" w:hAnsi="Garamond" w:cs="Garamond"/>
          <w:b/>
          <w:bCs/>
        </w:rPr>
        <w:t>të kërcënimeve</w:t>
      </w:r>
      <w:r w:rsidRPr="002128A6">
        <w:rPr>
          <w:rFonts w:ascii="Garamond" w:hAnsi="Garamond" w:cs="Garamond"/>
        </w:rPr>
        <w:t xml:space="preserve">, një </w:t>
      </w:r>
      <w:r w:rsidRPr="002128A6">
        <w:rPr>
          <w:rFonts w:ascii="Garamond" w:hAnsi="Garamond" w:cs="Garamond"/>
          <w:b/>
          <w:bCs/>
        </w:rPr>
        <w:t>sintezë të arritjeve strategjike</w:t>
      </w:r>
      <w:r w:rsidRPr="002128A6">
        <w:rPr>
          <w:rFonts w:ascii="Garamond" w:hAnsi="Garamond" w:cs="Garamond"/>
        </w:rPr>
        <w:t xml:space="preserve">, dhe një </w:t>
      </w:r>
      <w:r w:rsidRPr="002128A6">
        <w:rPr>
          <w:rFonts w:ascii="Garamond" w:hAnsi="Garamond" w:cs="Garamond"/>
          <w:b/>
          <w:bCs/>
        </w:rPr>
        <w:t>rishikim kritik të mësimeve të nxjerra</w:t>
      </w:r>
      <w:r w:rsidRPr="002128A6">
        <w:rPr>
          <w:rFonts w:ascii="Garamond" w:hAnsi="Garamond" w:cs="Garamond"/>
        </w:rPr>
        <w:t xml:space="preserve"> në luftën e Shqipërisë kundër krimit të organizuar nga viti 2021 në vitin 2025. Për identifikimin dhe analizimin e kërcënimeve që burojnë nga krimi i organizuar dhe i rëndë është marrë në referencë dokumenti “Vlerësimi i Kërcënimit të Krimit të Organizuar dhe të Rëndë” (SOCTA), i cili përbën produktin kryesor analitik strategjik në këtë fushë. Ky dokument identifikon, analizon dhe vlerëson kërcënimet kriminale nëpërmjet përdorimit të informacionit të përditësuar dhe metodologjive bashkëkohore të analizës së inteligjencës. Referuar metodologjisë së përdorur, </w:t>
      </w:r>
      <w:r w:rsidRPr="002128A6">
        <w:rPr>
          <w:rFonts w:ascii="Garamond" w:hAnsi="Garamond" w:cs="Garamond"/>
          <w:b/>
          <w:bCs/>
        </w:rPr>
        <w:t xml:space="preserve">fushat e krimit të organizuar dhe të rëndë </w:t>
      </w:r>
      <w:r w:rsidRPr="002128A6">
        <w:rPr>
          <w:rFonts w:ascii="Garamond" w:hAnsi="Garamond" w:cs="Garamond"/>
        </w:rPr>
        <w:t>(aktivitetet kriminale),</w:t>
      </w:r>
      <w:r w:rsidRPr="002128A6">
        <w:rPr>
          <w:rFonts w:ascii="Garamond" w:hAnsi="Garamond" w:cs="Garamond"/>
          <w:b/>
          <w:bCs/>
        </w:rPr>
        <w:t xml:space="preserve"> grupet kriminale </w:t>
      </w:r>
      <w:r w:rsidRPr="002128A6">
        <w:rPr>
          <w:rFonts w:ascii="Garamond" w:hAnsi="Garamond" w:cs="Garamond"/>
        </w:rPr>
        <w:t>dhe</w:t>
      </w:r>
      <w:r w:rsidRPr="002128A6">
        <w:rPr>
          <w:rFonts w:ascii="Garamond" w:hAnsi="Garamond" w:cs="Garamond"/>
          <w:b/>
          <w:bCs/>
        </w:rPr>
        <w:t xml:space="preserve"> mjedisi rrethues</w:t>
      </w:r>
      <w:r w:rsidRPr="002128A6">
        <w:rPr>
          <w:rFonts w:ascii="Garamond" w:hAnsi="Garamond" w:cs="Garamond"/>
        </w:rPr>
        <w:t xml:space="preserve"> janë tr</w:t>
      </w:r>
      <w:r w:rsidR="009F2103" w:rsidRPr="002128A6">
        <w:rPr>
          <w:rFonts w:ascii="Garamond" w:hAnsi="Garamond" w:cs="Garamond"/>
        </w:rPr>
        <w:t>i</w:t>
      </w:r>
      <w:r w:rsidRPr="002128A6">
        <w:rPr>
          <w:rFonts w:ascii="Garamond" w:hAnsi="Garamond" w:cs="Garamond"/>
        </w:rPr>
        <w:t xml:space="preserve"> çështjet kryesore te të cilat fokusohet analiza për vlerësimin e kërcënimit të krimit të organizuar dhe të rëndë. </w:t>
      </w:r>
    </w:p>
    <w:p w14:paraId="6D72E6C6" w14:textId="0AEAE69F"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 xml:space="preserve">Në kërcënimet kryesore të identifikuara në këtë raport, përfshihen: </w:t>
      </w:r>
      <w:r w:rsidRPr="002128A6">
        <w:rPr>
          <w:rFonts w:ascii="Garamond" w:hAnsi="Garamond" w:cs="Garamond"/>
          <w:b/>
          <w:bCs/>
        </w:rPr>
        <w:t>grupet kriminale</w:t>
      </w:r>
      <w:r w:rsidRPr="002128A6">
        <w:rPr>
          <w:rFonts w:ascii="Garamond" w:hAnsi="Garamond" w:cs="Garamond"/>
        </w:rPr>
        <w:t>, të cilët përfaqësojnë aktorin kryesor që gjeneron dhe zhvillon aktivitetet e krimit të organizuar;</w:t>
      </w:r>
      <w:r w:rsidR="00F54824" w:rsidRPr="002128A6">
        <w:rPr>
          <w:rFonts w:ascii="Garamond" w:hAnsi="Garamond" w:cs="Garamond"/>
        </w:rPr>
        <w:t xml:space="preserve"> </w:t>
      </w:r>
      <w:r w:rsidRPr="002128A6">
        <w:rPr>
          <w:rFonts w:ascii="Garamond" w:hAnsi="Garamond" w:cs="Garamond"/>
        </w:rPr>
        <w:t xml:space="preserve">fushat më tradicionale të krimit si aktivitetet në fushën e narkotikëve, aktiviteti i dhënies ndihmë për kalim të paligjshëm ndërkufitar; fushat e krimit të cilat zhvillohen kryesisht në sferën </w:t>
      </w:r>
      <w:r w:rsidR="00F54824" w:rsidRPr="002128A6">
        <w:rPr>
          <w:rFonts w:ascii="Garamond" w:hAnsi="Garamond" w:cs="Garamond"/>
        </w:rPr>
        <w:t>digjital</w:t>
      </w:r>
      <w:r w:rsidRPr="002128A6">
        <w:rPr>
          <w:rFonts w:ascii="Garamond" w:hAnsi="Garamond" w:cs="Garamond"/>
        </w:rPr>
        <w:t xml:space="preserve">e dhe </w:t>
      </w:r>
      <w:r w:rsidR="008F549F" w:rsidRPr="002128A6">
        <w:rPr>
          <w:rFonts w:ascii="Garamond" w:hAnsi="Garamond" w:cs="Garamond"/>
          <w:i/>
          <w:iCs/>
        </w:rPr>
        <w:t>online</w:t>
      </w:r>
      <w:r w:rsidRPr="002128A6">
        <w:rPr>
          <w:rFonts w:ascii="Garamond" w:hAnsi="Garamond" w:cs="Garamond"/>
        </w:rPr>
        <w:t xml:space="preserve">; fusha krimi që funksionojnë si “infrastrukturë mbështetëse” e krimit të organizuar, siç janë korrupsioni dhe pastrimi i parasë, të cilat nuk përbëjnë vetëm aktivitete kriminale më vete, por funksionojnë si faktorë katalizatorë që përforcojnë dhe përshpejtojnë zhvillimin e fenomeneve të tjera kriminale. </w:t>
      </w:r>
    </w:p>
    <w:p w14:paraId="6C0C2CDE" w14:textId="706B02D0"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b/>
          <w:bCs/>
        </w:rPr>
        <w:t>Krimet tradicionale</w:t>
      </w:r>
      <w:r w:rsidRPr="002128A6">
        <w:rPr>
          <w:rFonts w:ascii="Garamond" w:hAnsi="Garamond" w:cs="Garamond"/>
        </w:rPr>
        <w:t xml:space="preserve">, si prodhimi dhe trafikimi i lëndëve narkotike, korrupsioni, pastrimi parasë, ndihma për kalim të paligjshëm të kufirit, vijojnë të ndikojnë në panoramën e kriminalitetit për shkak të përhapjes së gjerë, ndikimit ekonomik dhe lidhjes së tyre të drejtpërdrejtë me grupet e organizuara kriminale. Megjithatë, paralelisht me këto fenomene, krimet kibernetike po marrin një rol gjithnjë e më të rëndësishëm në mjedisin e sigurisë, jo domosdoshmërisht për nga numri i rasteve, por për shkak të ndikimit të lartë që mund të sjellin. Zhvillimi teknologjik dhe </w:t>
      </w:r>
      <w:r w:rsidR="00F54824" w:rsidRPr="002128A6">
        <w:rPr>
          <w:rFonts w:ascii="Garamond" w:hAnsi="Garamond" w:cs="Garamond"/>
        </w:rPr>
        <w:t>digjital</w:t>
      </w:r>
      <w:r w:rsidRPr="002128A6">
        <w:rPr>
          <w:rFonts w:ascii="Garamond" w:hAnsi="Garamond" w:cs="Garamond"/>
        </w:rPr>
        <w:t xml:space="preserve">izimi i shërbimeve kanë rritur ekspozimin ndaj kërcënimeve kibernetike, ndërsa grupet kriminale dhe aktorët të tjerë po përdorin gjithnjë e më shumë hapësirën kibernetike për mashtrime, vjedhje të dhënash, ndërhyrje në sisteme dhe mbështetje të aktiviteteve tradicionale kriminale. </w:t>
      </w:r>
    </w:p>
    <w:p w14:paraId="2A223311"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Në këtë kontekst, edhe pse krimet tradicionale mbeten dominuese, rëndësia strategjike dhe ndikimi potencial i krimeve kibernetike pritet të rritet në mënyrë progresive.</w:t>
      </w:r>
    </w:p>
    <w:p w14:paraId="7D0DD4BC" w14:textId="182F3E26"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Ndërsa krimet mjedisore, për herë të parë janë objekt i analizës së SOCTA</w:t>
      </w:r>
      <w:r w:rsidR="008F549F" w:rsidRPr="002128A6">
        <w:rPr>
          <w:rFonts w:ascii="Garamond" w:hAnsi="Garamond" w:cs="Garamond"/>
        </w:rPr>
        <w:t>-s</w:t>
      </w:r>
      <w:r w:rsidRPr="002128A6">
        <w:rPr>
          <w:rFonts w:ascii="Garamond" w:hAnsi="Garamond" w:cs="Garamond"/>
        </w:rPr>
        <w:t xml:space="preserve">. Ato vlerësohen si </w:t>
      </w:r>
      <w:r w:rsidRPr="002128A6">
        <w:rPr>
          <w:rFonts w:ascii="Garamond" w:hAnsi="Garamond" w:cs="Garamond"/>
          <w:b/>
          <w:bCs/>
        </w:rPr>
        <w:t>kërcënim në zhvillim</w:t>
      </w:r>
      <w:r w:rsidRPr="002128A6">
        <w:rPr>
          <w:rFonts w:ascii="Garamond" w:hAnsi="Garamond" w:cs="Garamond"/>
        </w:rPr>
        <w:t xml:space="preserve"> që kërkon monitorim dhe vlerësim të vazhdueshëm. Edhe pse aktualisht ato mund të mos paraqiten me të njëjtin nivel përhapjeje si format tradicionale të kriminalitetit, natyra dhe pasojat e tyre afatgjata i bëjnë këto veprimtari një rrezik në rritje për sigurinë, ekonominë dhe zhvillimin e qëndrueshëm. </w:t>
      </w:r>
    </w:p>
    <w:p w14:paraId="16A72E08"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lastRenderedPageBreak/>
        <w:t>Bazuar në rezultatin e një analizë gjithëpërfshirëse të aktiviteteve kriminale, të grupeve kriminale dhe faktorëve të jashtëm që nxisin, mundësojnë dhe lehtësojnë zhvillimin dhe realizimin e aktiviteteve kriminale</w:t>
      </w:r>
      <w:r w:rsidRPr="002128A6">
        <w:rPr>
          <w:rFonts w:ascii="Garamond" w:hAnsi="Garamond" w:cs="Garamond"/>
          <w:b/>
          <w:bCs/>
        </w:rPr>
        <w:t xml:space="preserve"> </w:t>
      </w:r>
      <w:r w:rsidRPr="002128A6">
        <w:rPr>
          <w:rFonts w:ascii="Garamond" w:hAnsi="Garamond" w:cs="Garamond"/>
        </w:rPr>
        <w:t>në fushën e narkotikëve (trafikimi kokainës dhe kultivimi, prodhim trafikim kanabis), korrupsioni, pastrimi i parasë, krimet kibernetike si dhe dhënia e ndihmës për kalime të paligjshme të kufirit.</w:t>
      </w:r>
    </w:p>
    <w:p w14:paraId="269D9497" w14:textId="7DC2CA4A"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 xml:space="preserve">Grupet e krimit të organizuar përbëjnë një </w:t>
      </w:r>
      <w:r w:rsidRPr="002128A6">
        <w:rPr>
          <w:rFonts w:ascii="Garamond" w:hAnsi="Garamond" w:cs="Garamond"/>
          <w:b/>
          <w:bCs/>
        </w:rPr>
        <w:t>kërcënim</w:t>
      </w:r>
      <w:r w:rsidRPr="002128A6">
        <w:rPr>
          <w:rFonts w:ascii="Garamond" w:hAnsi="Garamond" w:cs="Garamond"/>
        </w:rPr>
        <w:t xml:space="preserve"> të vazhdueshëm dhe kompleks, për shkak të kapacitetit të tyre për të gjeneruar fitime të konsiderueshme, për të operuar në disa fusha kriminale me shtrirje transnacionale, për të depërtuar në ekonomi dhe për të përdorur korrupsionin dhe dhunën me qëllim ruajtjen e kontrollit. </w:t>
      </w:r>
      <w:r w:rsidRPr="002128A6">
        <w:rPr>
          <w:rFonts w:ascii="Garamond" w:hAnsi="Garamond" w:cs="Garamond"/>
          <w:b/>
          <w:bCs/>
        </w:rPr>
        <w:t xml:space="preserve">Evoluimi </w:t>
      </w:r>
      <w:r w:rsidRPr="002128A6">
        <w:rPr>
          <w:rFonts w:ascii="Garamond" w:hAnsi="Garamond" w:cs="Garamond"/>
        </w:rPr>
        <w:t>i tyre karakterizohet nga një përshtatshmëri e lartë ndaj presionit të zbatimit të ligjit, duke përfshirë zhvendosje të rrugëve dhe përdorimin e mënyrave të reja të veprimit, zhvendosjen drejt strukturave më fleksible dhe më pak të dukshme dhe përdorimin e teknologjisë (përdorimi i komunikimeve të enkriptuara, transfertat e parave kalojnë edhe nëpërmjet portofolave di</w:t>
      </w:r>
      <w:r w:rsidR="008F549F" w:rsidRPr="002128A6">
        <w:rPr>
          <w:rFonts w:ascii="Garamond" w:hAnsi="Garamond" w:cs="Garamond"/>
        </w:rPr>
        <w:t>gji</w:t>
      </w:r>
      <w:r w:rsidRPr="002128A6">
        <w:rPr>
          <w:rFonts w:ascii="Garamond" w:hAnsi="Garamond" w:cs="Garamond"/>
        </w:rPr>
        <w:t>tal). Konstatohet tendenca për zhvillimin e aktiviteteve dytësore krahas atyre kryesore, konkretisht është konstatuar një rritje e veprimtarisë kriminale të pastrimit të produkteve të veprës penale si dhe fshehje e të ardhurave, si aktivitet dytësor i grupeve. Shumica e aktiviteteve të rënda kriminale të këtyre grupeve kriminale (kryesisht në fushën e narkotikëve) zhvillohen jashtë territorit të Republikës së Shqipërisë, ndërsa Shqipëria përdoret kryesisht për pastrimin e produkteve të veprës penale, si vend tranziti dhe së fundmi edhe si qendër koordinimi e aktiviteteve kriminale.</w:t>
      </w:r>
    </w:p>
    <w:p w14:paraId="065A3ABA" w14:textId="0C486516" w:rsidR="00407F50" w:rsidRPr="002128A6" w:rsidRDefault="00407F50" w:rsidP="0025426C">
      <w:pPr>
        <w:pStyle w:val="Heading3"/>
        <w:spacing w:before="0" w:after="0" w:line="240" w:lineRule="auto"/>
        <w:ind w:firstLine="284"/>
        <w:jc w:val="both"/>
        <w:rPr>
          <w:rFonts w:ascii="Garamond" w:hAnsi="Garamond" w:cs="Garamond"/>
          <w:color w:val="auto"/>
          <w:sz w:val="24"/>
          <w:szCs w:val="24"/>
        </w:rPr>
      </w:pPr>
      <w:r w:rsidRPr="002128A6">
        <w:rPr>
          <w:rFonts w:ascii="Garamond" w:hAnsi="Garamond" w:cs="Garamond"/>
          <w:color w:val="auto"/>
          <w:sz w:val="24"/>
          <w:szCs w:val="24"/>
        </w:rPr>
        <w:t>Krimet në fushën e narkotikëve</w:t>
      </w:r>
      <w:r w:rsidR="00F54824" w:rsidRPr="002128A6">
        <w:rPr>
          <w:rFonts w:ascii="Garamond" w:hAnsi="Garamond" w:cs="Garamond"/>
          <w:color w:val="auto"/>
          <w:sz w:val="24"/>
          <w:szCs w:val="24"/>
        </w:rPr>
        <w:t xml:space="preserve"> </w:t>
      </w:r>
    </w:p>
    <w:p w14:paraId="4E8BAB31"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 xml:space="preserve">Prodhimi dhe trafikimi i narkotikëve është aktivitet dinamik, dominues mbi aktivitetet e tjera kriminale dhe është njëkohësisht edhe më fitimprurësi. Në zhvillimin e aktivitetit të narkotikëve në periudhën 2-vjeçare 2024-2025 janë përfshirë një numër i konsiderueshëm i grupeve të krimit të organizuar, rreth 58% e grupeve kriminale që kanë vepruar në shkallë vendi. </w:t>
      </w:r>
    </w:p>
    <w:p w14:paraId="5F33446D" w14:textId="34D770FE"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 xml:space="preserve">Që nga viti 2020 aktiviteti i kokainës në Shqipëri shfaqet mjaft dinamik, herë me tendenca zgjerimi dhe herë të tjera me zvogëlim të fushës së aktivitetit në varësi të tregut të blerjes dhe shitjes, si dhe të grupeve kriminale të përfshira në zhvillimin e këtij aktivitetit. Në vitin 2025 aktiviteti kriminal i tregtimit të kokainës është rritur ndjeshëm shprehur me rritjen e numrit të rasteve të evidencuara me gati 27.6%. Megjithatë, pavarësisht rritjes së rasteve të identifikuara, sasitë e sekuestruara kanë shënuar ulje, çka mund të tregojë një ndryshim të mënyrës së operimit të rrjeteve kriminale. Kjo situatë vlerësohet të jetë e lidhur si me presionin e shtuar nga strukturat ligjzbatuese, ashtu edhe me sofistikimin e modus operandi të grupeve kriminale, të cilat po adaptohen përmes metodave më të fshehta të trafikimit dhe përpunimit të lëndës narkotike. </w:t>
      </w:r>
    </w:p>
    <w:p w14:paraId="4CD4EA54" w14:textId="77777777" w:rsidR="00407F50" w:rsidRPr="002128A6" w:rsidRDefault="00407F50" w:rsidP="0025426C">
      <w:pPr>
        <w:spacing w:after="0" w:line="240" w:lineRule="auto"/>
        <w:ind w:firstLine="284"/>
        <w:jc w:val="both"/>
        <w:rPr>
          <w:rFonts w:ascii="Garamond" w:hAnsi="Garamond" w:cs="Garamond"/>
        </w:rPr>
      </w:pPr>
      <w:r w:rsidRPr="002128A6">
        <w:rPr>
          <w:rFonts w:ascii="Garamond" w:hAnsi="Garamond" w:cs="Garamond"/>
        </w:rPr>
        <w:t xml:space="preserve">Trafikimi i kokainës përbën një nga </w:t>
      </w:r>
      <w:r w:rsidRPr="002128A6">
        <w:rPr>
          <w:rFonts w:ascii="Garamond" w:hAnsi="Garamond" w:cs="Garamond"/>
          <w:b/>
          <w:bCs/>
        </w:rPr>
        <w:t>kërcënimet</w:t>
      </w:r>
      <w:r w:rsidRPr="002128A6">
        <w:rPr>
          <w:rFonts w:ascii="Garamond" w:hAnsi="Garamond" w:cs="Garamond"/>
        </w:rPr>
        <w:t xml:space="preserve"> më të rëndësishme të krimit të organizuar, për shkak të fitimeve të larta dhe lidhjeve të forta me rrjete kriminale transnacionale, është burimi kryesor i financimit për krimin e organizuar. Ndryshimi i vazhdueshëm në modus operandi dhe rrugë të përdorura për trafikim rrit më tej kërcënimin për shkak të paparashikueshmërisë së këtij aktiviteti. Gjithashtu një tjetër kërcënim është dhuna e përdorur nga grupet e trafikimit të kokainës për shkak të konflikteve që vijnë nga aktiviteti kriminal. </w:t>
      </w:r>
    </w:p>
    <w:p w14:paraId="1F2E8577" w14:textId="4816A0B5" w:rsidR="00407F50" w:rsidRPr="002128A6" w:rsidRDefault="00407F50"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b/>
          <w:bCs/>
        </w:rPr>
        <w:t>Ndikimi</w:t>
      </w:r>
      <w:r w:rsidRPr="002128A6">
        <w:rPr>
          <w:rFonts w:ascii="Garamond" w:hAnsi="Garamond" w:cs="Garamond"/>
        </w:rPr>
        <w:t xml:space="preserve"> i trafikimit të kokainës shtrihet në disa dimensione, duke përfshirë rritjen e fuqisë së grupeve kriminale; përhapjen e korrupsionit dhe pastrimit të parave në ndërtim turizëm etj</w:t>
      </w:r>
      <w:r w:rsidR="008F549F" w:rsidRPr="002128A6">
        <w:rPr>
          <w:rFonts w:ascii="Garamond" w:hAnsi="Garamond" w:cs="Garamond"/>
        </w:rPr>
        <w:t>.</w:t>
      </w:r>
      <w:r w:rsidRPr="002128A6">
        <w:rPr>
          <w:rFonts w:ascii="Garamond" w:hAnsi="Garamond" w:cs="Garamond"/>
        </w:rPr>
        <w:t>; Riinvestimi i sasive të larta të të ardhurave të paligjshme dhe injektimi i tyre në sektorë të ndryshëm të shoqërisë, rritjen e rreziqeve për sigurinë publike për shkak të dhunës që përdorin grupet e përfshira në këtë aktivitet</w:t>
      </w:r>
      <w:r w:rsidR="00F54824" w:rsidRPr="002128A6">
        <w:rPr>
          <w:rFonts w:ascii="Garamond" w:hAnsi="Garamond" w:cs="Garamond"/>
        </w:rPr>
        <w:t xml:space="preserve"> </w:t>
      </w:r>
      <w:r w:rsidRPr="002128A6">
        <w:rPr>
          <w:rFonts w:ascii="Garamond" w:hAnsi="Garamond" w:cs="Garamond"/>
        </w:rPr>
        <w:t>me përdorim edhe të armëve dhe së fundi përfshirjen e të rinjve në shpërndarje dhe tregtim të kokainës në doza konsumi.</w:t>
      </w:r>
      <w:r w:rsidR="00F54824" w:rsidRPr="002128A6">
        <w:rPr>
          <w:rFonts w:ascii="Garamond" w:hAnsi="Garamond" w:cs="Garamond"/>
        </w:rPr>
        <w:t xml:space="preserve"> </w:t>
      </w:r>
    </w:p>
    <w:p w14:paraId="56C2DDC0" w14:textId="6058CF15" w:rsidR="00407F50" w:rsidRPr="002128A6" w:rsidRDefault="00407F50" w:rsidP="0025426C">
      <w:pPr>
        <w:pStyle w:val="ListParagraph"/>
        <w:spacing w:after="0" w:line="240" w:lineRule="auto"/>
        <w:ind w:left="0" w:firstLine="284"/>
        <w:jc w:val="both"/>
        <w:rPr>
          <w:rFonts w:ascii="Garamond" w:hAnsi="Garamond" w:cs="Garamond"/>
          <w:b/>
          <w:bCs/>
        </w:rPr>
      </w:pPr>
      <w:r w:rsidRPr="002128A6">
        <w:rPr>
          <w:rFonts w:ascii="Garamond" w:hAnsi="Garamond" w:cs="Book Antiqua"/>
        </w:rPr>
        <w:t xml:space="preserve">- </w:t>
      </w:r>
      <w:r w:rsidRPr="002128A6">
        <w:rPr>
          <w:rFonts w:ascii="Garamond" w:hAnsi="Garamond" w:cs="Garamond"/>
          <w:b/>
          <w:bCs/>
        </w:rPr>
        <w:t>Kanabis</w:t>
      </w:r>
    </w:p>
    <w:p w14:paraId="2F52C9CF" w14:textId="78B9B126" w:rsidR="00696399" w:rsidRPr="002128A6" w:rsidRDefault="00696399" w:rsidP="0025426C">
      <w:pPr>
        <w:spacing w:after="0" w:line="240" w:lineRule="auto"/>
        <w:ind w:firstLine="284"/>
        <w:jc w:val="both"/>
        <w:rPr>
          <w:rFonts w:ascii="Garamond" w:eastAsia="Times New Roman" w:hAnsi="Garamond" w:cs="Times New Roman"/>
        </w:rPr>
      </w:pPr>
      <w:r w:rsidRPr="002128A6">
        <w:rPr>
          <w:rFonts w:ascii="Garamond" w:eastAsia="Times New Roman" w:hAnsi="Garamond" w:cs="Times New Roman"/>
        </w:rPr>
        <w:t xml:space="preserve">Analizat e Zyrës së Kombeve të Bashkuara për Drogën dhe Krimin (UNODC) e rendisin Shqipërinë ndër vendet më të përmendura për origjinën, nisjen dhe tranzitin e </w:t>
      </w:r>
      <w:r w:rsidR="00596001" w:rsidRPr="002128A6">
        <w:rPr>
          <w:rFonts w:ascii="Garamond" w:eastAsia="Times New Roman" w:hAnsi="Garamond" w:cs="Times New Roman"/>
        </w:rPr>
        <w:t>k</w:t>
      </w:r>
      <w:r w:rsidRPr="002128A6">
        <w:rPr>
          <w:rFonts w:ascii="Garamond" w:eastAsia="Times New Roman" w:hAnsi="Garamond" w:cs="Times New Roman"/>
        </w:rPr>
        <w:t xml:space="preserve">anabisit në shkallë </w:t>
      </w:r>
      <w:r w:rsidRPr="002128A6">
        <w:rPr>
          <w:rFonts w:ascii="Garamond" w:eastAsia="Times New Roman" w:hAnsi="Garamond" w:cs="Times New Roman"/>
        </w:rPr>
        <w:lastRenderedPageBreak/>
        <w:t>globale gjatë dekadës së fundit, duke e pozicionuar atë në nivele të larta krahasuese në raport me vendet e tjera evropiane</w:t>
      </w:r>
      <w:r w:rsidRPr="002128A6">
        <w:rPr>
          <w:rStyle w:val="FootnoteReference"/>
          <w:rFonts w:ascii="Garamond" w:eastAsia="Times New Roman" w:hAnsi="Garamond" w:cs="Times New Roman"/>
          <w:b/>
          <w:bCs/>
        </w:rPr>
        <w:footnoteReference w:id="3"/>
      </w:r>
      <w:r w:rsidRPr="002128A6">
        <w:rPr>
          <w:rFonts w:ascii="Garamond" w:eastAsia="Times New Roman" w:hAnsi="Garamond" w:cs="Times New Roman"/>
        </w:rPr>
        <w:t xml:space="preserve">. </w:t>
      </w:r>
    </w:p>
    <w:p w14:paraId="7624FF68" w14:textId="4F7D3158" w:rsidR="00696399" w:rsidRPr="002128A6" w:rsidRDefault="00696399" w:rsidP="0025426C">
      <w:pPr>
        <w:spacing w:after="0" w:line="240" w:lineRule="auto"/>
        <w:ind w:firstLine="284"/>
        <w:jc w:val="both"/>
        <w:rPr>
          <w:rFonts w:ascii="Garamond" w:hAnsi="Garamond" w:cs="Times New Roman"/>
        </w:rPr>
      </w:pPr>
      <w:r w:rsidRPr="002128A6">
        <w:rPr>
          <w:rFonts w:ascii="Garamond" w:hAnsi="Garamond" w:cs="Times New Roman"/>
        </w:rPr>
        <w:t xml:space="preserve">Në nivel kombëtar, i ndikuar nga një kombinim faktorësh ekonomikë, gjeografikë dhe social, </w:t>
      </w:r>
      <w:r w:rsidR="00596001" w:rsidRPr="002128A6">
        <w:rPr>
          <w:rFonts w:ascii="Garamond" w:hAnsi="Garamond" w:cs="Times New Roman"/>
        </w:rPr>
        <w:t>k</w:t>
      </w:r>
      <w:r w:rsidRPr="002128A6">
        <w:rPr>
          <w:rFonts w:ascii="Garamond" w:hAnsi="Garamond" w:cs="Times New Roman"/>
        </w:rPr>
        <w:t xml:space="preserve">anabisi mbetet lënda narkotike më e përhapur dhe më e përdorur në vend. Kultivimi i tij është evidentuar prej vitesh në zona të ndryshme të vendit, duke krijuar jo vetëm një traditë të konsoliduar të kultivimit, por edhe njohuri dhe përvojë të vazhdueshme tek individë dhe grupe të përfshira në këtë aktivitet. Kërkesa e vazhdueshme në tregun vendas dhe të huaj e kanë bërë </w:t>
      </w:r>
      <w:r w:rsidR="00596001" w:rsidRPr="002128A6">
        <w:rPr>
          <w:rFonts w:ascii="Garamond" w:hAnsi="Garamond" w:cs="Times New Roman"/>
        </w:rPr>
        <w:t>k</w:t>
      </w:r>
      <w:r w:rsidRPr="002128A6">
        <w:rPr>
          <w:rFonts w:ascii="Garamond" w:hAnsi="Garamond" w:cs="Times New Roman"/>
        </w:rPr>
        <w:t xml:space="preserve">anabisin një nga aktivitetet kriminale shumë tërheqës për grupet kriminale. </w:t>
      </w:r>
    </w:p>
    <w:p w14:paraId="04672847" w14:textId="7E2996CA" w:rsidR="00696399" w:rsidRPr="002128A6" w:rsidRDefault="00696399" w:rsidP="0025426C">
      <w:pPr>
        <w:spacing w:after="0" w:line="240" w:lineRule="auto"/>
        <w:ind w:firstLine="284"/>
        <w:jc w:val="both"/>
        <w:rPr>
          <w:rFonts w:ascii="Garamond" w:hAnsi="Garamond" w:cs="Times New Roman"/>
        </w:rPr>
      </w:pPr>
      <w:r w:rsidRPr="002128A6">
        <w:rPr>
          <w:rFonts w:ascii="Garamond" w:hAnsi="Garamond" w:cs="Times New Roman"/>
        </w:rPr>
        <w:t xml:space="preserve">Disponueshmëria e lartë në tregun vendas, çmimi më i ulët krahasuar me drogat e tjera dhe perceptimi i ulët i rrezikshmërisë te përdoruesit kanë ndikuar që kanabisi të mbetet droga më e përdorur në vend. </w:t>
      </w:r>
    </w:p>
    <w:p w14:paraId="2C0CF66A" w14:textId="36502200" w:rsidR="00696399" w:rsidRPr="002128A6" w:rsidRDefault="00696399" w:rsidP="0025426C">
      <w:pPr>
        <w:pStyle w:val="Heading3"/>
        <w:spacing w:before="0" w:after="0" w:line="240" w:lineRule="auto"/>
        <w:ind w:firstLine="284"/>
        <w:jc w:val="both"/>
        <w:rPr>
          <w:rFonts w:ascii="Garamond" w:hAnsi="Garamond" w:cs="Times New Roman"/>
          <w:b/>
          <w:color w:val="auto"/>
          <w:sz w:val="24"/>
          <w:szCs w:val="24"/>
        </w:rPr>
      </w:pPr>
      <w:bookmarkStart w:id="9" w:name="_Toc233371571"/>
      <w:bookmarkStart w:id="10" w:name="_Toc229735996"/>
      <w:bookmarkStart w:id="11" w:name="_Toc229736083"/>
      <w:r w:rsidRPr="002128A6">
        <w:rPr>
          <w:rFonts w:ascii="Garamond" w:hAnsi="Garamond" w:cs="Times New Roman"/>
          <w:color w:val="auto"/>
          <w:sz w:val="24"/>
          <w:szCs w:val="24"/>
        </w:rPr>
        <w:t>Pavarësisht rënies së prodhimit të brendshëm të kanabisit si rezultat i presionit të ushtruar nga agjencitë e zbatimit të ligjit dhe intensifikimit të masave monitoruese, fenomeni vijon të mbetet një kërcënim me potencial riaktivizimi.</w:t>
      </w:r>
      <w:bookmarkEnd w:id="9"/>
      <w:r w:rsidRPr="002128A6">
        <w:rPr>
          <w:rFonts w:ascii="Garamond" w:hAnsi="Garamond" w:cs="Times New Roman"/>
          <w:color w:val="auto"/>
          <w:sz w:val="24"/>
          <w:szCs w:val="24"/>
        </w:rPr>
        <w:t xml:space="preserve"> </w:t>
      </w:r>
      <w:bookmarkStart w:id="12" w:name="_Toc229735997"/>
      <w:bookmarkStart w:id="13" w:name="_Toc229736084"/>
      <w:bookmarkEnd w:id="10"/>
      <w:bookmarkEnd w:id="11"/>
    </w:p>
    <w:p w14:paraId="1383C284" w14:textId="14325D06" w:rsidR="00367CD0" w:rsidRPr="002128A6" w:rsidRDefault="00696399" w:rsidP="0025426C">
      <w:pPr>
        <w:pStyle w:val="NormalWeb"/>
        <w:spacing w:before="0" w:beforeAutospacing="0" w:after="0" w:afterAutospacing="0"/>
        <w:ind w:firstLine="284"/>
        <w:jc w:val="both"/>
        <w:rPr>
          <w:rFonts w:ascii="Garamond" w:hAnsi="Garamond"/>
        </w:rPr>
      </w:pPr>
      <w:bookmarkStart w:id="14" w:name="_Toc229735998"/>
      <w:bookmarkStart w:id="15" w:name="_Toc229736085"/>
      <w:bookmarkEnd w:id="12"/>
      <w:bookmarkEnd w:id="13"/>
      <w:r w:rsidRPr="002128A6">
        <w:rPr>
          <w:rFonts w:ascii="Garamond" w:hAnsi="Garamond"/>
        </w:rPr>
        <w:t>Duke marrë në konsideratë kërkesën e vazhdueshme të tregut e</w:t>
      </w:r>
      <w:r w:rsidR="008F549F" w:rsidRPr="002128A6">
        <w:rPr>
          <w:rFonts w:ascii="Garamond" w:hAnsi="Garamond"/>
        </w:rPr>
        <w:t>v</w:t>
      </w:r>
      <w:r w:rsidRPr="002128A6">
        <w:rPr>
          <w:rFonts w:ascii="Garamond" w:hAnsi="Garamond"/>
        </w:rPr>
        <w:t xml:space="preserve">ropian për këtë </w:t>
      </w:r>
      <w:r w:rsidR="00596001" w:rsidRPr="002128A6">
        <w:rPr>
          <w:rFonts w:ascii="Garamond" w:hAnsi="Garamond"/>
        </w:rPr>
        <w:t xml:space="preserve">lloj </w:t>
      </w:r>
      <w:r w:rsidRPr="002128A6">
        <w:rPr>
          <w:rFonts w:ascii="Garamond" w:hAnsi="Garamond"/>
        </w:rPr>
        <w:t>drog</w:t>
      </w:r>
      <w:r w:rsidR="00596001" w:rsidRPr="002128A6">
        <w:rPr>
          <w:rFonts w:ascii="Garamond" w:hAnsi="Garamond"/>
        </w:rPr>
        <w:t>e</w:t>
      </w:r>
      <w:r w:rsidRPr="002128A6">
        <w:rPr>
          <w:rFonts w:ascii="Garamond" w:hAnsi="Garamond"/>
        </w:rPr>
        <w:t>, si edhe përfitimet e larta ekonomike që gjeneron kjo veprimtari, ekziston mundësia që grupet kriminale të tentojnë zgjerimin e aktivitetit në forma më të sofistikuara dhe më të vështira për t’u identifikuar.</w:t>
      </w:r>
      <w:bookmarkEnd w:id="14"/>
      <w:bookmarkEnd w:id="15"/>
      <w:r w:rsidR="001B11E2" w:rsidRPr="002128A6">
        <w:rPr>
          <w:rFonts w:ascii="Garamond" w:hAnsi="Garamond"/>
        </w:rPr>
        <w:t xml:space="preserve"> </w:t>
      </w:r>
    </w:p>
    <w:p w14:paraId="720F4DC3" w14:textId="7D7D14F7" w:rsidR="00696399" w:rsidRPr="002128A6" w:rsidRDefault="001B11E2"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Fusha e politikave të drogës do të trajtohet përmes një procesi të dedikuar strategjik, i cili synon krijimin e një kuadri të unifikuar dhe gjithëpërfshirës në nivel kombëtar. Në këtë kuadër, ka iniciuar procesi për hartimin e Strategjisë Kombëtare të Drogave 2030 dhe Planit të saj shoqërues të Veprimit, aktualisht në zhvillim, në zbatim të urdhrit </w:t>
      </w:r>
      <w:r w:rsidR="003960AC" w:rsidRPr="002128A6">
        <w:rPr>
          <w:rFonts w:ascii="Garamond" w:hAnsi="Garamond"/>
        </w:rPr>
        <w:t xml:space="preserve">të </w:t>
      </w:r>
      <w:r w:rsidR="00037B08" w:rsidRPr="002128A6">
        <w:rPr>
          <w:rFonts w:ascii="Garamond" w:hAnsi="Garamond"/>
        </w:rPr>
        <w:t xml:space="preserve">ministrit </w:t>
      </w:r>
      <w:r w:rsidR="003960AC" w:rsidRPr="002128A6">
        <w:rPr>
          <w:rFonts w:ascii="Garamond" w:hAnsi="Garamond"/>
        </w:rPr>
        <w:t>të Shëndetësisë dhe Mirëq</w:t>
      </w:r>
      <w:r w:rsidR="00037B08" w:rsidRPr="002128A6">
        <w:rPr>
          <w:rFonts w:ascii="Garamond" w:hAnsi="Garamond"/>
        </w:rPr>
        <w:t>e</w:t>
      </w:r>
      <w:r w:rsidR="003960AC" w:rsidRPr="002128A6">
        <w:rPr>
          <w:rFonts w:ascii="Garamond" w:hAnsi="Garamond"/>
        </w:rPr>
        <w:t xml:space="preserve">nies Sociale </w:t>
      </w:r>
      <w:r w:rsidRPr="002128A6">
        <w:rPr>
          <w:rFonts w:ascii="Garamond" w:hAnsi="Garamond"/>
        </w:rPr>
        <w:t>nr. 42, datë 22.01.2026</w:t>
      </w:r>
      <w:r w:rsidR="003960AC" w:rsidRPr="002128A6">
        <w:rPr>
          <w:rFonts w:ascii="Garamond" w:hAnsi="Garamond"/>
        </w:rPr>
        <w:t xml:space="preserve"> “P</w:t>
      </w:r>
      <w:r w:rsidRPr="002128A6">
        <w:rPr>
          <w:rFonts w:ascii="Garamond" w:hAnsi="Garamond"/>
        </w:rPr>
        <w:t xml:space="preserve">ër ngritjen e grupit ndërsektorial </w:t>
      </w:r>
      <w:r w:rsidR="003960AC" w:rsidRPr="002128A6">
        <w:rPr>
          <w:rFonts w:ascii="Garamond" w:hAnsi="Garamond"/>
        </w:rPr>
        <w:t>të</w:t>
      </w:r>
      <w:r w:rsidRPr="002128A6">
        <w:rPr>
          <w:rFonts w:ascii="Garamond" w:hAnsi="Garamond"/>
        </w:rPr>
        <w:t xml:space="preserve"> punës përgjegjës për hartimin e këtij dokumenti strategjik</w:t>
      </w:r>
      <w:r w:rsidR="003960AC" w:rsidRPr="002128A6">
        <w:rPr>
          <w:rFonts w:ascii="Garamond" w:hAnsi="Garamond"/>
        </w:rPr>
        <w:t>”</w:t>
      </w:r>
      <w:r w:rsidRPr="002128A6">
        <w:rPr>
          <w:rFonts w:ascii="Garamond" w:hAnsi="Garamond"/>
        </w:rPr>
        <w:t>. Brenda kësaj kornize, strategjia synon të konsolidojë në një qasje të vetme dhe të integruar shtyllat e reduktimit të ofertës, reduktimit të kërkesës dhe reduktimit të dëmit, duke siguruar koordinim efektiv ndërinstitucional, mekanizma të fuqizuar monitorimi dhe përafrim të plotë me kuadrin strategjik të përditësuar të Bashkimit Evropian në fushën e drogës.</w:t>
      </w:r>
    </w:p>
    <w:p w14:paraId="50271A97" w14:textId="77777777" w:rsidR="00696399" w:rsidRPr="002128A6" w:rsidRDefault="00696399" w:rsidP="008F549F">
      <w:pPr>
        <w:pStyle w:val="Heading3"/>
        <w:spacing w:before="0" w:after="0" w:line="240" w:lineRule="auto"/>
        <w:ind w:firstLine="284"/>
        <w:jc w:val="both"/>
        <w:rPr>
          <w:rFonts w:ascii="Garamond" w:hAnsi="Garamond" w:cs="Times New Roman"/>
          <w:b/>
          <w:bCs/>
          <w:color w:val="auto"/>
          <w:sz w:val="24"/>
          <w:szCs w:val="24"/>
        </w:rPr>
      </w:pPr>
      <w:bookmarkStart w:id="16" w:name="_Toc229735999"/>
      <w:bookmarkStart w:id="17" w:name="_Toc229736086"/>
      <w:bookmarkStart w:id="18" w:name="_Toc233371572"/>
      <w:r w:rsidRPr="002128A6">
        <w:rPr>
          <w:rFonts w:ascii="Garamond" w:hAnsi="Garamond" w:cs="Times New Roman"/>
          <w:b/>
          <w:bCs/>
          <w:color w:val="auto"/>
          <w:sz w:val="24"/>
          <w:szCs w:val="24"/>
        </w:rPr>
        <w:t>Korrupsioni</w:t>
      </w:r>
      <w:bookmarkEnd w:id="16"/>
      <w:bookmarkEnd w:id="17"/>
      <w:bookmarkEnd w:id="18"/>
      <w:r w:rsidRPr="002128A6">
        <w:rPr>
          <w:rFonts w:ascii="Garamond" w:hAnsi="Garamond" w:cs="Times New Roman"/>
          <w:b/>
          <w:bCs/>
          <w:color w:val="auto"/>
          <w:sz w:val="24"/>
          <w:szCs w:val="24"/>
        </w:rPr>
        <w:t xml:space="preserve"> </w:t>
      </w:r>
    </w:p>
    <w:p w14:paraId="311C1E15" w14:textId="4E64D668" w:rsidR="00696399" w:rsidRPr="002128A6" w:rsidRDefault="00696399" w:rsidP="0025426C">
      <w:pPr>
        <w:pStyle w:val="ListParagraph"/>
        <w:spacing w:after="0" w:line="240" w:lineRule="auto"/>
        <w:ind w:left="0" w:firstLine="284"/>
        <w:jc w:val="both"/>
        <w:rPr>
          <w:rFonts w:ascii="Garamond" w:hAnsi="Garamond" w:cs="Times New Roman"/>
        </w:rPr>
      </w:pPr>
      <w:r w:rsidRPr="002128A6">
        <w:rPr>
          <w:rFonts w:ascii="Garamond" w:hAnsi="Garamond" w:cs="Times New Roman"/>
        </w:rPr>
        <w:t xml:space="preserve">Korrupsioni përbën </w:t>
      </w:r>
      <w:r w:rsidRPr="002128A6">
        <w:rPr>
          <w:rFonts w:ascii="Garamond" w:hAnsi="Garamond" w:cs="Times New Roman"/>
          <w:b/>
        </w:rPr>
        <w:t>një nga kërcënimet më të rëndësishme</w:t>
      </w:r>
      <w:r w:rsidRPr="002128A6">
        <w:rPr>
          <w:rFonts w:ascii="Garamond" w:hAnsi="Garamond" w:cs="Times New Roman"/>
        </w:rPr>
        <w:t xml:space="preserve">, </w:t>
      </w:r>
      <w:r w:rsidR="00E63214" w:rsidRPr="002128A6">
        <w:rPr>
          <w:rFonts w:ascii="Garamond" w:hAnsi="Garamond" w:cs="Times New Roman"/>
        </w:rPr>
        <w:t xml:space="preserve">i cili </w:t>
      </w:r>
      <w:r w:rsidRPr="002128A6">
        <w:rPr>
          <w:rFonts w:ascii="Garamond" w:hAnsi="Garamond" w:cs="Times New Roman"/>
        </w:rPr>
        <w:t xml:space="preserve">ka evoluar drejt formave më të sofistikuara dhe të fshehta, duke prodhuar ndikime të ndjeshme në institucionet, ekonominë dhe sigurinë publike dhe duke shërbyer si një mekanizëm kyç që mundëson zgjerimin e krimit të organizuar. </w:t>
      </w:r>
      <w:r w:rsidRPr="002128A6">
        <w:rPr>
          <w:rFonts w:ascii="Garamond" w:hAnsi="Garamond" w:cs="Times New Roman"/>
          <w:bCs/>
          <w:iCs/>
        </w:rPr>
        <w:t>Ky fenomen përdoret për përfitime personale, manipulim të procedurave ligjore dhe keqpërdorim të fondeve publike, si dhe për pastrimin e të ardhurave të paligjshme.</w:t>
      </w:r>
      <w:r w:rsidR="00E63214" w:rsidRPr="002128A6">
        <w:rPr>
          <w:rFonts w:ascii="Garamond" w:hAnsi="Garamond" w:cs="Times New Roman"/>
          <w:bCs/>
          <w:iCs/>
        </w:rPr>
        <w:t xml:space="preserve"> </w:t>
      </w:r>
      <w:r w:rsidRPr="002128A6">
        <w:rPr>
          <w:rFonts w:ascii="Garamond" w:hAnsi="Garamond" w:cs="Times New Roman"/>
        </w:rPr>
        <w:t>Kalimi nga korrupsioni i drejtpërdrejtë dhe i dukshëm në forma më të sofistikuara, dhe më pak të dukshme, si:</w:t>
      </w:r>
      <w:r w:rsidR="00624A2E" w:rsidRPr="002128A6">
        <w:rPr>
          <w:rFonts w:ascii="Garamond" w:hAnsi="Garamond" w:cs="Times New Roman"/>
        </w:rPr>
        <w:t xml:space="preserve"> </w:t>
      </w:r>
      <w:r w:rsidRPr="002128A6">
        <w:rPr>
          <w:rFonts w:ascii="Garamond" w:hAnsi="Garamond" w:cs="Times New Roman"/>
        </w:rPr>
        <w:t>përdorimi i ndërmjetësve dhe rrjeteve të tërthorta</w:t>
      </w:r>
      <w:r w:rsidR="00CC702B" w:rsidRPr="002128A6">
        <w:rPr>
          <w:rStyle w:val="FootnoteReference"/>
          <w:rFonts w:ascii="Garamond" w:hAnsi="Garamond" w:cs="Times New Roman"/>
          <w:b/>
          <w:bCs/>
        </w:rPr>
        <w:footnoteReference w:id="4"/>
      </w:r>
      <w:r w:rsidRPr="002128A6">
        <w:rPr>
          <w:rFonts w:ascii="Garamond" w:hAnsi="Garamond" w:cs="Times New Roman"/>
        </w:rPr>
        <w:t xml:space="preserve">, struktura financiare më të ndërlikuara </w:t>
      </w:r>
      <w:r w:rsidRPr="002128A6">
        <w:rPr>
          <w:rFonts w:ascii="Garamond" w:hAnsi="Garamond" w:cs="Times New Roman"/>
          <w:i/>
          <w:iCs/>
        </w:rPr>
        <w:t>(offshore,</w:t>
      </w:r>
      <w:r w:rsidRPr="002128A6">
        <w:rPr>
          <w:rFonts w:ascii="Garamond" w:hAnsi="Garamond" w:cs="Times New Roman"/>
        </w:rPr>
        <w:t xml:space="preserve"> kompani fiktive), ndërthurja me krimin ekonomik dhe konfliktet e interesit.</w:t>
      </w:r>
    </w:p>
    <w:p w14:paraId="1EBADAAE" w14:textId="77777777" w:rsidR="00696399" w:rsidRPr="002128A6" w:rsidRDefault="00696399" w:rsidP="008F549F">
      <w:pPr>
        <w:pStyle w:val="Heading3"/>
        <w:spacing w:before="0" w:after="0" w:line="240" w:lineRule="auto"/>
        <w:ind w:firstLine="284"/>
        <w:jc w:val="both"/>
        <w:rPr>
          <w:rFonts w:ascii="Garamond" w:hAnsi="Garamond" w:cs="Times New Roman"/>
          <w:b/>
          <w:bCs/>
          <w:color w:val="auto"/>
          <w:sz w:val="24"/>
          <w:szCs w:val="24"/>
        </w:rPr>
      </w:pPr>
      <w:bookmarkStart w:id="19" w:name="_Toc229736000"/>
      <w:bookmarkStart w:id="20" w:name="_Toc229736087"/>
      <w:bookmarkStart w:id="21" w:name="_Toc233371573"/>
      <w:r w:rsidRPr="002128A6">
        <w:rPr>
          <w:rFonts w:ascii="Garamond" w:hAnsi="Garamond" w:cs="Times New Roman"/>
          <w:b/>
          <w:bCs/>
          <w:color w:val="auto"/>
          <w:sz w:val="24"/>
          <w:szCs w:val="24"/>
        </w:rPr>
        <w:t>Pastrimi i parasë</w:t>
      </w:r>
      <w:bookmarkEnd w:id="19"/>
      <w:bookmarkEnd w:id="20"/>
      <w:bookmarkEnd w:id="21"/>
    </w:p>
    <w:p w14:paraId="016410E5" w14:textId="77777777" w:rsidR="00696399" w:rsidRPr="002128A6" w:rsidRDefault="00696399" w:rsidP="0025426C">
      <w:pPr>
        <w:spacing w:after="0" w:line="240" w:lineRule="auto"/>
        <w:ind w:firstLine="284"/>
        <w:jc w:val="both"/>
        <w:rPr>
          <w:rFonts w:ascii="Garamond" w:hAnsi="Garamond" w:cs="Times New Roman"/>
        </w:rPr>
      </w:pPr>
      <w:r w:rsidRPr="002128A6">
        <w:rPr>
          <w:rFonts w:ascii="Garamond" w:hAnsi="Garamond" w:cs="Times New Roman"/>
        </w:rPr>
        <w:t>Pastrimi i parave është vlerësuar si një nga</w:t>
      </w:r>
      <w:r w:rsidRPr="002128A6">
        <w:rPr>
          <w:rFonts w:ascii="Garamond" w:hAnsi="Garamond" w:cs="Times New Roman"/>
          <w:b/>
        </w:rPr>
        <w:t xml:space="preserve"> kërcënimet kryesore</w:t>
      </w:r>
      <w:r w:rsidRPr="002128A6">
        <w:rPr>
          <w:rFonts w:ascii="Garamond" w:hAnsi="Garamond" w:cs="Times New Roman"/>
        </w:rPr>
        <w:t xml:space="preserve">, </w:t>
      </w:r>
      <w:r w:rsidRPr="002128A6">
        <w:rPr>
          <w:rFonts w:ascii="Garamond" w:hAnsi="Garamond" w:cs="Times New Roman"/>
          <w:b/>
        </w:rPr>
        <w:t>pasi përbën një mekanizëm mundësues thelbësor për krimin e organizuar</w:t>
      </w:r>
      <w:r w:rsidRPr="002128A6">
        <w:rPr>
          <w:rFonts w:ascii="Garamond" w:hAnsi="Garamond" w:cs="Times New Roman"/>
          <w:bCs/>
        </w:rPr>
        <w:t>.</w:t>
      </w:r>
      <w:r w:rsidRPr="002128A6">
        <w:rPr>
          <w:rFonts w:ascii="Garamond" w:hAnsi="Garamond" w:cs="Times New Roman"/>
        </w:rPr>
        <w:t xml:space="preserve"> Ai u lejon kriminelëve të legjitimojnë të ardhurat e aktiviteteve të tyre të paligjshme dhe të integrojnë fondet e paligjshme në ekonominë legjitime duke siguruar një rrjedhë të vazhdueshme fondesh për të financuar operacione të mëtejshme kriminale, për të zgjeruar ndikimin e tyre ose për të shtuar pasurinë e tyre personale.</w:t>
      </w:r>
    </w:p>
    <w:p w14:paraId="76E8BFD6" w14:textId="3CE7911F" w:rsidR="00696399" w:rsidRPr="002128A6" w:rsidRDefault="00696399" w:rsidP="0025426C">
      <w:pPr>
        <w:spacing w:after="0" w:line="240" w:lineRule="auto"/>
        <w:ind w:firstLine="284"/>
        <w:jc w:val="both"/>
        <w:rPr>
          <w:rFonts w:ascii="Garamond" w:hAnsi="Garamond" w:cs="Times New Roman"/>
        </w:rPr>
      </w:pPr>
      <w:r w:rsidRPr="002128A6">
        <w:rPr>
          <w:rFonts w:ascii="Garamond" w:hAnsi="Garamond" w:cs="Times New Roman"/>
          <w:b/>
        </w:rPr>
        <w:t xml:space="preserve">Pastrimi i parasë ka evoluar </w:t>
      </w:r>
      <w:r w:rsidRPr="002128A6">
        <w:rPr>
          <w:rFonts w:ascii="Garamond" w:hAnsi="Garamond" w:cs="Times New Roman"/>
        </w:rPr>
        <w:t xml:space="preserve">nga metoda tradicionale drejt skemave me komplekse me shtirje ndërkombëtare. Gjatë viteve të fundit, evidentohet një model i integruar i pastrimit të parave, i lidhur ngushtë me aktivitete kryesore kriminale nga të cilat kanë burimin këto të ardhura kriminale, si trafiku i narkotikëve, trafiku i armëve, emigrimi i paligjshëm, trafikimi i </w:t>
      </w:r>
      <w:r w:rsidR="008F549F" w:rsidRPr="002128A6">
        <w:rPr>
          <w:rFonts w:ascii="Garamond" w:hAnsi="Garamond" w:cs="Times New Roman"/>
        </w:rPr>
        <w:t>qenieve</w:t>
      </w:r>
      <w:r w:rsidRPr="002128A6">
        <w:rPr>
          <w:rFonts w:ascii="Garamond" w:hAnsi="Garamond" w:cs="Times New Roman"/>
        </w:rPr>
        <w:t xml:space="preserve"> njerëzore dhe skemat </w:t>
      </w:r>
      <w:r w:rsidRPr="002128A6">
        <w:rPr>
          <w:rFonts w:ascii="Garamond" w:hAnsi="Garamond" w:cs="Times New Roman"/>
        </w:rPr>
        <w:lastRenderedPageBreak/>
        <w:t xml:space="preserve">mashtruese financiare. Skemat e pastrimit karakterizohen nga diversifikimi i kanaleve të transferimit dhe maskimit të fondeve, duke përfshirë sisteme informale të transferimit të vlerave </w:t>
      </w:r>
      <w:r w:rsidRPr="002128A6">
        <w:rPr>
          <w:rFonts w:ascii="Garamond" w:hAnsi="Garamond" w:cs="Times New Roman"/>
          <w:i/>
          <w:iCs/>
        </w:rPr>
        <w:t>(Hawala)</w:t>
      </w:r>
      <w:r w:rsidRPr="002128A6">
        <w:rPr>
          <w:rFonts w:ascii="Garamond" w:hAnsi="Garamond" w:cs="Times New Roman"/>
        </w:rPr>
        <w:t xml:space="preserve">, përdorimin e kriptovalutave, qarkullimin intensive të parasë </w:t>
      </w:r>
      <w:r w:rsidRPr="002128A6">
        <w:rPr>
          <w:rFonts w:ascii="Garamond" w:hAnsi="Garamond" w:cs="Times New Roman"/>
          <w:i/>
          <w:iCs/>
        </w:rPr>
        <w:t xml:space="preserve">cash </w:t>
      </w:r>
      <w:r w:rsidRPr="002128A6">
        <w:rPr>
          <w:rFonts w:ascii="Garamond" w:hAnsi="Garamond" w:cs="Times New Roman"/>
        </w:rPr>
        <w:t xml:space="preserve">dhe fragmentimin e transaksioneve për të shmangur raportimin financiar. </w:t>
      </w:r>
    </w:p>
    <w:p w14:paraId="4082ABBD" w14:textId="6D2E3099" w:rsidR="00696399" w:rsidRPr="002128A6" w:rsidRDefault="00696399" w:rsidP="0025426C">
      <w:pPr>
        <w:spacing w:after="0" w:line="240" w:lineRule="auto"/>
        <w:ind w:firstLine="284"/>
        <w:jc w:val="both"/>
        <w:rPr>
          <w:rFonts w:ascii="Garamond" w:hAnsi="Garamond" w:cs="Times New Roman"/>
        </w:rPr>
      </w:pPr>
      <w:r w:rsidRPr="002128A6">
        <w:rPr>
          <w:rFonts w:ascii="Garamond" w:hAnsi="Garamond" w:cs="Times New Roman"/>
        </w:rPr>
        <w:t>(</w:t>
      </w:r>
      <w:r w:rsidRPr="002128A6">
        <w:rPr>
          <w:rFonts w:ascii="Garamond" w:hAnsi="Garamond" w:cs="Times New Roman"/>
          <w:i/>
        </w:rPr>
        <w:t xml:space="preserve">Për ta ilustruar, në vitin 2024 janë vërejtur </w:t>
      </w:r>
      <w:r w:rsidRPr="002128A6">
        <w:rPr>
          <w:rFonts w:ascii="Garamond" w:hAnsi="Garamond" w:cs="Times New Roman"/>
          <w:b/>
          <w:i/>
        </w:rPr>
        <w:t>13</w:t>
      </w:r>
      <w:r w:rsidRPr="002128A6">
        <w:rPr>
          <w:rFonts w:ascii="Garamond" w:hAnsi="Garamond" w:cs="Times New Roman"/>
          <w:i/>
        </w:rPr>
        <w:t xml:space="preserve"> tipologji</w:t>
      </w:r>
      <w:r w:rsidRPr="002128A6">
        <w:rPr>
          <w:rStyle w:val="FootnoteReference"/>
          <w:rFonts w:ascii="Garamond" w:hAnsi="Garamond" w:cs="Times New Roman"/>
          <w:b/>
          <w:bCs/>
          <w:i/>
        </w:rPr>
        <w:footnoteReference w:id="5"/>
      </w:r>
      <w:r w:rsidRPr="002128A6">
        <w:rPr>
          <w:rFonts w:ascii="Garamond" w:hAnsi="Garamond" w:cs="Times New Roman"/>
          <w:i/>
        </w:rPr>
        <w:t xml:space="preserve"> të konsideruara me </w:t>
      </w:r>
      <w:r w:rsidR="003674DD" w:rsidRPr="002128A6">
        <w:rPr>
          <w:rFonts w:ascii="Garamond" w:hAnsi="Garamond" w:cs="Times New Roman"/>
          <w:i/>
        </w:rPr>
        <w:t>rrezik</w:t>
      </w:r>
      <w:r w:rsidRPr="002128A6">
        <w:rPr>
          <w:rFonts w:ascii="Garamond" w:hAnsi="Garamond" w:cs="Times New Roman"/>
          <w:i/>
        </w:rPr>
        <w:t xml:space="preserve"> për pastrim parash dhe të referuara në organet ligj zbatuese për hetime të mëtejshme, kundrejt 7 tipologjive të konstatuara në dy vitet e mëparshme</w:t>
      </w:r>
      <w:r w:rsidR="00A4323F" w:rsidRPr="002128A6">
        <w:rPr>
          <w:rFonts w:ascii="Garamond" w:hAnsi="Garamond" w:cs="Times New Roman"/>
          <w:i/>
        </w:rPr>
        <w:t>.</w:t>
      </w:r>
      <w:r w:rsidRPr="002128A6">
        <w:rPr>
          <w:rFonts w:ascii="Garamond" w:hAnsi="Garamond" w:cs="Times New Roman"/>
          <w:i/>
          <w:iCs/>
        </w:rPr>
        <w:t>)</w:t>
      </w:r>
    </w:p>
    <w:p w14:paraId="70034E92" w14:textId="77777777" w:rsidR="00696399" w:rsidRPr="002128A6" w:rsidRDefault="00696399" w:rsidP="008F549F">
      <w:pPr>
        <w:pStyle w:val="Heading3"/>
        <w:spacing w:before="0" w:after="0" w:line="240" w:lineRule="auto"/>
        <w:ind w:firstLine="284"/>
        <w:jc w:val="both"/>
        <w:rPr>
          <w:rFonts w:ascii="Garamond" w:hAnsi="Garamond" w:cs="Times New Roman"/>
          <w:b/>
          <w:bCs/>
          <w:color w:val="auto"/>
          <w:sz w:val="24"/>
          <w:szCs w:val="24"/>
        </w:rPr>
      </w:pPr>
      <w:bookmarkStart w:id="22" w:name="_Toc229736001"/>
      <w:bookmarkStart w:id="23" w:name="_Toc229736088"/>
      <w:bookmarkStart w:id="24" w:name="_Toc233371574"/>
      <w:r w:rsidRPr="002128A6">
        <w:rPr>
          <w:rFonts w:ascii="Garamond" w:hAnsi="Garamond" w:cs="Times New Roman"/>
          <w:b/>
          <w:bCs/>
          <w:color w:val="auto"/>
          <w:sz w:val="24"/>
          <w:szCs w:val="24"/>
        </w:rPr>
        <w:t>Krimet kibernetike</w:t>
      </w:r>
      <w:bookmarkEnd w:id="22"/>
      <w:bookmarkEnd w:id="23"/>
      <w:bookmarkEnd w:id="24"/>
      <w:r w:rsidRPr="002128A6">
        <w:rPr>
          <w:rFonts w:ascii="Garamond" w:hAnsi="Garamond" w:cs="Times New Roman"/>
          <w:b/>
          <w:bCs/>
          <w:color w:val="auto"/>
          <w:sz w:val="24"/>
          <w:szCs w:val="24"/>
        </w:rPr>
        <w:t xml:space="preserve"> </w:t>
      </w:r>
    </w:p>
    <w:p w14:paraId="49EA19DF" w14:textId="396E4F51" w:rsidR="00696399" w:rsidRPr="002128A6" w:rsidRDefault="00696399" w:rsidP="0025426C">
      <w:pPr>
        <w:spacing w:after="0" w:line="240" w:lineRule="auto"/>
        <w:ind w:firstLine="284"/>
        <w:jc w:val="both"/>
        <w:rPr>
          <w:rFonts w:ascii="Garamond" w:hAnsi="Garamond" w:cs="Times New Roman"/>
        </w:rPr>
      </w:pPr>
      <w:r w:rsidRPr="002128A6">
        <w:rPr>
          <w:rFonts w:ascii="Garamond" w:hAnsi="Garamond" w:cs="Times New Roman"/>
        </w:rPr>
        <w:t>Krimet kibernetike janë rritur me 98%, pothuajse dyfishi i atyre të evidentuara në periudhën 2022</w:t>
      </w:r>
      <w:r w:rsidR="00283DE7" w:rsidRPr="002128A6">
        <w:rPr>
          <w:rFonts w:ascii="Garamond" w:hAnsi="Garamond" w:cs="Times New Roman"/>
        </w:rPr>
        <w:t>–</w:t>
      </w:r>
      <w:r w:rsidRPr="002128A6">
        <w:rPr>
          <w:rFonts w:ascii="Garamond" w:hAnsi="Garamond" w:cs="Times New Roman"/>
        </w:rPr>
        <w:t>2023. Kjo rritje prog</w:t>
      </w:r>
      <w:r w:rsidR="0002338C" w:rsidRPr="002128A6">
        <w:rPr>
          <w:rFonts w:ascii="Garamond" w:hAnsi="Garamond" w:cs="Times New Roman"/>
        </w:rPr>
        <w:t>r</w:t>
      </w:r>
      <w:r w:rsidRPr="002128A6">
        <w:rPr>
          <w:rFonts w:ascii="Garamond" w:hAnsi="Garamond" w:cs="Times New Roman"/>
        </w:rPr>
        <w:t>esive e numrit të rasteve është ndikuar nga ndërthurja e tre faktorëve kryesorë: përhapja e gjerë e teknologjisë, evoluimi i metodave kriminale dhe mungesa relative e ndërgjegjësimit dhe edukimit në fushën e sigurisë së informacionit.</w:t>
      </w:r>
    </w:p>
    <w:p w14:paraId="34EF49F8" w14:textId="77777777" w:rsidR="00696399" w:rsidRPr="002128A6" w:rsidRDefault="00696399" w:rsidP="0025426C">
      <w:pPr>
        <w:spacing w:after="0" w:line="240" w:lineRule="auto"/>
        <w:ind w:firstLine="284"/>
        <w:jc w:val="both"/>
        <w:rPr>
          <w:rFonts w:ascii="Garamond" w:hAnsi="Garamond" w:cs="Times New Roman"/>
          <w:bCs/>
          <w:i/>
          <w:iCs/>
        </w:rPr>
      </w:pPr>
      <w:r w:rsidRPr="002128A6">
        <w:rPr>
          <w:rFonts w:ascii="Garamond" w:hAnsi="Garamond" w:cs="Times New Roman"/>
          <w:bCs/>
          <w:i/>
          <w:iCs/>
        </w:rPr>
        <w:t>Krimet kompjuterike po evoluojnë si në shtrirje, ashtu edhe në kompleksitet dhe ndikim, duke kërkuar qasje gjithnjë e më të avancuara në parandalim dhe hetim.</w:t>
      </w:r>
    </w:p>
    <w:p w14:paraId="5AF56D48" w14:textId="77777777" w:rsidR="00696399" w:rsidRPr="002128A6" w:rsidRDefault="00696399" w:rsidP="0025426C">
      <w:pPr>
        <w:spacing w:after="0" w:line="240" w:lineRule="auto"/>
        <w:ind w:firstLine="284"/>
        <w:jc w:val="both"/>
        <w:rPr>
          <w:rFonts w:ascii="Garamond" w:hAnsi="Garamond" w:cs="Times New Roman"/>
          <w:bCs/>
        </w:rPr>
      </w:pPr>
      <w:r w:rsidRPr="002128A6">
        <w:rPr>
          <w:rFonts w:ascii="Garamond" w:hAnsi="Garamond" w:cs="Times New Roman"/>
          <w:bCs/>
        </w:rPr>
        <w:t>Krimi kibernetik sot është një infrastrukturë mbështetëse për krimin e organizuar tradicional. Ai nuk është vetëm një krim më vete, por një mjet që lehtëson, përshpejton dhe fsheh aktivitete si pastrimi i parave, aktivitete në fushën trafiqeve të paligjshme, migracioni i parregullt etj. Ai e bën pastrimin e parave më të fshehtë, trafikun më global, migracionin e parregullt më të koordinuar etj.</w:t>
      </w:r>
    </w:p>
    <w:p w14:paraId="146E5A38" w14:textId="77777777" w:rsidR="00696399" w:rsidRPr="002128A6" w:rsidRDefault="00696399" w:rsidP="008F549F">
      <w:pPr>
        <w:pStyle w:val="Heading3"/>
        <w:spacing w:before="0" w:after="0" w:line="240" w:lineRule="auto"/>
        <w:ind w:firstLine="284"/>
        <w:jc w:val="both"/>
        <w:rPr>
          <w:rFonts w:ascii="Garamond" w:hAnsi="Garamond" w:cs="Times New Roman"/>
          <w:b/>
          <w:bCs/>
          <w:color w:val="auto"/>
          <w:sz w:val="24"/>
          <w:szCs w:val="24"/>
        </w:rPr>
      </w:pPr>
      <w:bookmarkStart w:id="25" w:name="_Toc229736002"/>
      <w:bookmarkStart w:id="26" w:name="_Toc229736089"/>
      <w:bookmarkStart w:id="27" w:name="_Toc233371575"/>
      <w:r w:rsidRPr="002128A6">
        <w:rPr>
          <w:rFonts w:ascii="Garamond" w:hAnsi="Garamond" w:cs="Times New Roman"/>
          <w:b/>
          <w:bCs/>
          <w:color w:val="auto"/>
          <w:sz w:val="24"/>
          <w:szCs w:val="24"/>
        </w:rPr>
        <w:t>Ndërhyrjet në mënyrë të paligjshme në të dhënat kompjuterike</w:t>
      </w:r>
      <w:bookmarkEnd w:id="25"/>
      <w:bookmarkEnd w:id="26"/>
      <w:bookmarkEnd w:id="27"/>
      <w:r w:rsidRPr="002128A6">
        <w:rPr>
          <w:rFonts w:ascii="Garamond" w:hAnsi="Garamond" w:cs="Times New Roman"/>
          <w:b/>
          <w:bCs/>
          <w:color w:val="auto"/>
          <w:sz w:val="24"/>
          <w:szCs w:val="24"/>
        </w:rPr>
        <w:t xml:space="preserve"> </w:t>
      </w:r>
    </w:p>
    <w:p w14:paraId="6887E1DF" w14:textId="0AF0217B" w:rsidR="00696399" w:rsidRPr="002128A6" w:rsidRDefault="00696399" w:rsidP="0025426C">
      <w:pPr>
        <w:spacing w:after="0" w:line="240" w:lineRule="auto"/>
        <w:ind w:firstLine="284"/>
        <w:jc w:val="both"/>
        <w:rPr>
          <w:rFonts w:ascii="Garamond" w:eastAsia="Times New Roman" w:hAnsi="Garamond" w:cs="Times New Roman"/>
        </w:rPr>
      </w:pPr>
      <w:r w:rsidRPr="002128A6">
        <w:rPr>
          <w:rFonts w:ascii="Garamond" w:eastAsia="Times New Roman" w:hAnsi="Garamond" w:cs="Times New Roman"/>
        </w:rPr>
        <w:t xml:space="preserve">Ndërhyrjet në të dhënat kompjuterike përbëjnë një </w:t>
      </w:r>
      <w:r w:rsidRPr="002128A6">
        <w:rPr>
          <w:rFonts w:ascii="Garamond" w:eastAsia="Times New Roman" w:hAnsi="Garamond" w:cs="Times New Roman"/>
          <w:b/>
        </w:rPr>
        <w:t>kërcënim në rritje</w:t>
      </w:r>
      <w:r w:rsidRPr="002128A6">
        <w:rPr>
          <w:rFonts w:ascii="Garamond" w:eastAsia="Times New Roman" w:hAnsi="Garamond" w:cs="Times New Roman"/>
        </w:rPr>
        <w:t xml:space="preserve"> për sigurinë publike, ekonominë dhe funksionimin e institucioneve shtetërore. Këto veprime përfshijnë aksesin e paautorizuar, manipulimin, fshirjen, dëmtimin ose bllokimin e sistemeve dhe të dhënave kompjuterike, duke </w:t>
      </w:r>
      <w:r w:rsidR="007420DA" w:rsidRPr="002128A6">
        <w:rPr>
          <w:rFonts w:ascii="Garamond" w:eastAsia="Times New Roman" w:hAnsi="Garamond" w:cs="Times New Roman"/>
        </w:rPr>
        <w:t xml:space="preserve">cenuar </w:t>
      </w:r>
      <w:r w:rsidRPr="002128A6">
        <w:rPr>
          <w:rFonts w:ascii="Garamond" w:eastAsia="Times New Roman" w:hAnsi="Garamond" w:cs="Times New Roman"/>
        </w:rPr>
        <w:t xml:space="preserve">integritetin, konfidencialitetin dhe disponueshmërinë e informacionit. Kërcënimi bëhet veçanërisht i rëndësishëm për shkak të varësisë së lartë të institucioneve, bizneseve dhe </w:t>
      </w:r>
      <w:r w:rsidR="007B4B37" w:rsidRPr="002128A6">
        <w:rPr>
          <w:rFonts w:ascii="Garamond" w:eastAsia="Times New Roman" w:hAnsi="Garamond" w:cs="Times New Roman"/>
        </w:rPr>
        <w:t>shërbimeve</w:t>
      </w:r>
      <w:r w:rsidRPr="002128A6">
        <w:rPr>
          <w:rFonts w:ascii="Garamond" w:eastAsia="Times New Roman" w:hAnsi="Garamond" w:cs="Times New Roman"/>
        </w:rPr>
        <w:t xml:space="preserve"> kritike nga teknologjia dhe infrastruktura </w:t>
      </w:r>
      <w:r w:rsidR="00F54824" w:rsidRPr="002128A6">
        <w:rPr>
          <w:rFonts w:ascii="Garamond" w:eastAsia="Times New Roman" w:hAnsi="Garamond" w:cs="Times New Roman"/>
        </w:rPr>
        <w:t>digjital</w:t>
      </w:r>
      <w:r w:rsidRPr="002128A6">
        <w:rPr>
          <w:rFonts w:ascii="Garamond" w:eastAsia="Times New Roman" w:hAnsi="Garamond" w:cs="Times New Roman"/>
        </w:rPr>
        <w:t>e.</w:t>
      </w:r>
    </w:p>
    <w:p w14:paraId="1C6AD3A9" w14:textId="0047D972" w:rsidR="00696399" w:rsidRPr="002128A6" w:rsidRDefault="00696399" w:rsidP="0025426C">
      <w:pPr>
        <w:spacing w:after="0" w:line="240" w:lineRule="auto"/>
        <w:ind w:firstLine="284"/>
        <w:jc w:val="both"/>
        <w:rPr>
          <w:rFonts w:ascii="Garamond" w:eastAsia="Times New Roman" w:hAnsi="Garamond" w:cs="Times New Roman"/>
        </w:rPr>
      </w:pPr>
      <w:r w:rsidRPr="002128A6">
        <w:rPr>
          <w:rFonts w:ascii="Garamond" w:hAnsi="Garamond" w:cs="Times New Roman"/>
          <w:b/>
        </w:rPr>
        <w:t>Sulmet kibernetike</w:t>
      </w:r>
      <w:r w:rsidRPr="002128A6">
        <w:rPr>
          <w:rFonts w:ascii="Garamond" w:hAnsi="Garamond" w:cs="Times New Roman"/>
        </w:rPr>
        <w:t xml:space="preserve">, që përfshihen në këtë vepër penale zënë një vend kyç jo domosdoshmërisht për shkak të frekuencës së tyre, por për shkak të ndikimit të lartë që mund të prodhojnë ndaj institucioneve, infrastrukturave kritike dhe sigurisë kombëtare. Ato përfaqësojnë një </w:t>
      </w:r>
      <w:r w:rsidRPr="002128A6">
        <w:rPr>
          <w:rStyle w:val="Strong"/>
          <w:rFonts w:ascii="Garamond" w:hAnsi="Garamond" w:cs="Times New Roman"/>
        </w:rPr>
        <w:t>kërcënim me intensitet të lartë</w:t>
      </w:r>
      <w:r w:rsidRPr="002128A6">
        <w:rPr>
          <w:rFonts w:ascii="Garamond" w:hAnsi="Garamond" w:cs="Times New Roman"/>
        </w:rPr>
        <w:t xml:space="preserve">, ku raporti </w:t>
      </w:r>
      <w:r w:rsidRPr="002128A6">
        <w:rPr>
          <w:rStyle w:val="Strong"/>
          <w:rFonts w:ascii="Garamond" w:hAnsi="Garamond" w:cs="Times New Roman"/>
        </w:rPr>
        <w:t>“numër i ulët-ndikim i lartë”</w:t>
      </w:r>
      <w:r w:rsidRPr="002128A6">
        <w:rPr>
          <w:rFonts w:ascii="Garamond" w:hAnsi="Garamond" w:cs="Times New Roman"/>
        </w:rPr>
        <w:t xml:space="preserve"> i vendos ato në kategorinë e rreziqeve prioritare</w:t>
      </w:r>
      <w:r w:rsidR="00E63214" w:rsidRPr="002128A6">
        <w:rPr>
          <w:rFonts w:ascii="Garamond" w:hAnsi="Garamond" w:cs="Times New Roman"/>
        </w:rPr>
        <w:t>.</w:t>
      </w:r>
      <w:r w:rsidR="00E63214" w:rsidRPr="002128A6">
        <w:rPr>
          <w:rFonts w:ascii="Garamond" w:eastAsia="Times New Roman" w:hAnsi="Garamond" w:cs="Times New Roman"/>
        </w:rPr>
        <w:t xml:space="preserve"> </w:t>
      </w:r>
      <w:r w:rsidRPr="002128A6">
        <w:rPr>
          <w:rFonts w:ascii="Garamond" w:eastAsia="Times New Roman" w:hAnsi="Garamond" w:cs="Times New Roman"/>
        </w:rPr>
        <w:t xml:space="preserve">Ato kanë kaluar nga forma të thjeshta të dëmtimit ose vjedhjes së të dhënave në operacione komplekse që përfshijnë </w:t>
      </w:r>
      <w:r w:rsidRPr="002128A6">
        <w:rPr>
          <w:rFonts w:ascii="Garamond" w:eastAsia="Times New Roman" w:hAnsi="Garamond" w:cs="Times New Roman"/>
          <w:i/>
          <w:iCs/>
        </w:rPr>
        <w:t>ransomware</w:t>
      </w:r>
      <w:r w:rsidRPr="002128A6">
        <w:rPr>
          <w:rFonts w:ascii="Garamond" w:eastAsia="Times New Roman" w:hAnsi="Garamond" w:cs="Times New Roman"/>
        </w:rPr>
        <w:t xml:space="preserve">, sabotim të sistemeve dhe sulme ndaj infrastrukturave kritike. </w:t>
      </w:r>
    </w:p>
    <w:p w14:paraId="223DE963" w14:textId="7D1D05C2" w:rsidR="00696399" w:rsidRPr="002128A6" w:rsidRDefault="00696399" w:rsidP="008F549F">
      <w:pPr>
        <w:spacing w:after="0" w:line="240" w:lineRule="auto"/>
        <w:ind w:firstLine="284"/>
        <w:rPr>
          <w:rFonts w:ascii="Garamond" w:hAnsi="Garamond" w:cs="Times New Roman"/>
          <w:b/>
          <w:bCs/>
        </w:rPr>
      </w:pPr>
      <w:r w:rsidRPr="002128A6">
        <w:rPr>
          <w:rFonts w:ascii="Garamond" w:hAnsi="Garamond" w:cs="Times New Roman"/>
          <w:b/>
          <w:bCs/>
        </w:rPr>
        <w:t xml:space="preserve">Pornografia </w:t>
      </w:r>
      <w:r w:rsidR="008F549F" w:rsidRPr="002128A6">
        <w:rPr>
          <w:rFonts w:ascii="Garamond" w:hAnsi="Garamond" w:cs="Times New Roman"/>
          <w:b/>
          <w:bCs/>
          <w:i/>
          <w:iCs/>
        </w:rPr>
        <w:t>online</w:t>
      </w:r>
      <w:r w:rsidRPr="002128A6">
        <w:rPr>
          <w:rFonts w:ascii="Garamond" w:hAnsi="Garamond" w:cs="Times New Roman"/>
          <w:b/>
          <w:bCs/>
        </w:rPr>
        <w:t xml:space="preserve"> me të mitur</w:t>
      </w:r>
    </w:p>
    <w:p w14:paraId="3AFA02F1" w14:textId="482E03B0" w:rsidR="00696399" w:rsidRPr="002128A6" w:rsidRDefault="00696399" w:rsidP="0025426C">
      <w:pPr>
        <w:spacing w:after="0" w:line="240" w:lineRule="auto"/>
        <w:ind w:firstLine="284"/>
        <w:jc w:val="both"/>
        <w:rPr>
          <w:rFonts w:ascii="Garamond" w:eastAsia="Times New Roman" w:hAnsi="Garamond" w:cs="Times New Roman"/>
        </w:rPr>
      </w:pPr>
      <w:r w:rsidRPr="002128A6">
        <w:rPr>
          <w:rFonts w:ascii="Garamond" w:hAnsi="Garamond" w:cs="Times New Roman"/>
          <w:shd w:val="clear" w:color="auto" w:fill="FFFFFF"/>
        </w:rPr>
        <w:t xml:space="preserve">Përfshin prodhimin, shpërndarjen, posedimin dhe shkëmbimin e materialeve me përmbajtje seksuale me të mitur </w:t>
      </w:r>
      <w:r w:rsidRPr="002128A6">
        <w:rPr>
          <w:rFonts w:ascii="Garamond" w:eastAsia="Times New Roman" w:hAnsi="Garamond" w:cs="Times New Roman"/>
        </w:rPr>
        <w:t>përmes platformave digjitale dhe rrjeteve sociale.</w:t>
      </w:r>
      <w:r w:rsidRPr="002128A6">
        <w:rPr>
          <w:rFonts w:ascii="Garamond" w:hAnsi="Garamond" w:cs="Times New Roman"/>
          <w:shd w:val="clear" w:color="auto" w:fill="FFFFFF"/>
        </w:rPr>
        <w:t xml:space="preserve"> Viktimat janë kryesisht fëmijë dhe adoleshentë, të ekspozuar ndaj </w:t>
      </w:r>
      <w:r w:rsidRPr="002128A6">
        <w:rPr>
          <w:rFonts w:ascii="Garamond" w:hAnsi="Garamond" w:cs="Times New Roman"/>
          <w:i/>
          <w:iCs/>
          <w:shd w:val="clear" w:color="auto" w:fill="FFFFFF"/>
        </w:rPr>
        <w:t>grooming</w:t>
      </w:r>
      <w:r w:rsidRPr="002128A6">
        <w:rPr>
          <w:rFonts w:ascii="Garamond" w:hAnsi="Garamond" w:cs="Times New Roman"/>
          <w:shd w:val="clear" w:color="auto" w:fill="FFFFFF"/>
        </w:rPr>
        <w:t xml:space="preserve">, shantazhit seksual dhe abuzimit </w:t>
      </w:r>
      <w:r w:rsidR="008F549F" w:rsidRPr="002128A6">
        <w:rPr>
          <w:rFonts w:ascii="Garamond" w:hAnsi="Garamond" w:cs="Times New Roman"/>
          <w:i/>
          <w:iCs/>
          <w:shd w:val="clear" w:color="auto" w:fill="FFFFFF"/>
        </w:rPr>
        <w:t>online</w:t>
      </w:r>
      <w:r w:rsidRPr="002128A6">
        <w:rPr>
          <w:rFonts w:ascii="Garamond" w:hAnsi="Garamond" w:cs="Times New Roman"/>
          <w:shd w:val="clear" w:color="auto" w:fill="FFFFFF"/>
        </w:rPr>
        <w:t>. Fenomeni favorizohet nga anonimiteti i internetit, përdorimi i pakontrolluar i teknologjisë dhe mungesa e edukimit digjital. Karakterizohet nga vështirësi hetimore, për shkak të natyrës transnacionale, enkriptimit dhe serverëve jashtë territorit të Shqipërisë.</w:t>
      </w:r>
      <w:r w:rsidRPr="002128A6">
        <w:rPr>
          <w:rFonts w:ascii="Garamond" w:eastAsia="Times New Roman" w:hAnsi="Garamond" w:cs="Times New Roman"/>
        </w:rPr>
        <w:t xml:space="preserve"> Evoluimi i inteligjencës artificiale dhe teknologjive të manipulimit </w:t>
      </w:r>
      <w:r w:rsidR="00F54824" w:rsidRPr="002128A6">
        <w:rPr>
          <w:rFonts w:ascii="Garamond" w:eastAsia="Times New Roman" w:hAnsi="Garamond" w:cs="Times New Roman"/>
        </w:rPr>
        <w:t>digjital</w:t>
      </w:r>
      <w:r w:rsidRPr="002128A6">
        <w:rPr>
          <w:rFonts w:ascii="Garamond" w:eastAsia="Times New Roman" w:hAnsi="Garamond" w:cs="Times New Roman"/>
        </w:rPr>
        <w:t xml:space="preserve"> shton më tej kompleksitetin e kërcënimit, duke krijuar forma të reja të abuzimit. </w:t>
      </w:r>
    </w:p>
    <w:p w14:paraId="244FAB8C" w14:textId="2AC488A3" w:rsidR="00696399" w:rsidRPr="002128A6" w:rsidRDefault="00696399" w:rsidP="0029788D">
      <w:pPr>
        <w:pStyle w:val="Heading3"/>
        <w:spacing w:before="0" w:after="0" w:line="240" w:lineRule="auto"/>
        <w:ind w:firstLine="284"/>
        <w:jc w:val="both"/>
        <w:rPr>
          <w:rFonts w:ascii="Garamond" w:hAnsi="Garamond" w:cs="Times New Roman"/>
          <w:b/>
          <w:bCs/>
          <w:color w:val="auto"/>
          <w:sz w:val="24"/>
          <w:szCs w:val="24"/>
        </w:rPr>
      </w:pPr>
      <w:bookmarkStart w:id="28" w:name="_Toc229736004"/>
      <w:bookmarkStart w:id="29" w:name="_Toc229736091"/>
      <w:bookmarkStart w:id="30" w:name="_Toc233371576"/>
      <w:r w:rsidRPr="002128A6">
        <w:rPr>
          <w:rFonts w:ascii="Garamond" w:hAnsi="Garamond" w:cs="Times New Roman"/>
          <w:b/>
          <w:bCs/>
          <w:color w:val="auto"/>
          <w:sz w:val="24"/>
          <w:szCs w:val="24"/>
        </w:rPr>
        <w:t xml:space="preserve">Mashtrimet </w:t>
      </w:r>
      <w:r w:rsidR="008F549F" w:rsidRPr="002128A6">
        <w:rPr>
          <w:rFonts w:ascii="Garamond" w:hAnsi="Garamond" w:cs="Times New Roman"/>
          <w:b/>
          <w:bCs/>
          <w:i/>
          <w:iCs/>
          <w:color w:val="auto"/>
          <w:sz w:val="24"/>
          <w:szCs w:val="24"/>
        </w:rPr>
        <w:t>online</w:t>
      </w:r>
      <w:bookmarkEnd w:id="28"/>
      <w:bookmarkEnd w:id="29"/>
      <w:bookmarkEnd w:id="30"/>
    </w:p>
    <w:p w14:paraId="327D62BD" w14:textId="3EFE7B93" w:rsidR="00696399" w:rsidRPr="002128A6" w:rsidRDefault="00696399" w:rsidP="0025426C">
      <w:pPr>
        <w:spacing w:after="0" w:line="240" w:lineRule="auto"/>
        <w:ind w:firstLine="284"/>
        <w:jc w:val="both"/>
        <w:rPr>
          <w:rFonts w:ascii="Garamond" w:hAnsi="Garamond" w:cs="Times New Roman"/>
          <w:b/>
        </w:rPr>
      </w:pPr>
      <w:r w:rsidRPr="002128A6">
        <w:rPr>
          <w:rFonts w:ascii="Garamond" w:hAnsi="Garamond" w:cs="Times New Roman"/>
        </w:rPr>
        <w:t xml:space="preserve">Mashtrimet </w:t>
      </w:r>
      <w:r w:rsidR="008F549F" w:rsidRPr="002128A6">
        <w:rPr>
          <w:rFonts w:ascii="Garamond" w:hAnsi="Garamond" w:cs="Times New Roman"/>
          <w:i/>
          <w:iCs/>
        </w:rPr>
        <w:t>online</w:t>
      </w:r>
      <w:r w:rsidRPr="002128A6">
        <w:rPr>
          <w:rFonts w:ascii="Garamond" w:hAnsi="Garamond" w:cs="Times New Roman"/>
        </w:rPr>
        <w:t xml:space="preserve"> përfshijnë përdorimin e platformave </w:t>
      </w:r>
      <w:r w:rsidR="00F54824" w:rsidRPr="002128A6">
        <w:rPr>
          <w:rFonts w:ascii="Garamond" w:hAnsi="Garamond" w:cs="Times New Roman"/>
        </w:rPr>
        <w:t>digjital</w:t>
      </w:r>
      <w:r w:rsidRPr="002128A6">
        <w:rPr>
          <w:rFonts w:ascii="Garamond" w:hAnsi="Garamond" w:cs="Times New Roman"/>
        </w:rPr>
        <w:t xml:space="preserve">e për përfitime të paligjshme financiare përmes mashtrimeve me pagesa elektronike, </w:t>
      </w:r>
      <w:r w:rsidRPr="002128A6">
        <w:rPr>
          <w:rFonts w:ascii="Garamond" w:hAnsi="Garamond" w:cs="Times New Roman"/>
          <w:i/>
          <w:iCs/>
        </w:rPr>
        <w:t>phishing</w:t>
      </w:r>
      <w:r w:rsidRPr="002128A6">
        <w:rPr>
          <w:rFonts w:ascii="Garamond" w:hAnsi="Garamond" w:cs="Times New Roman"/>
        </w:rPr>
        <w:t xml:space="preserve">-ut, identiteteve të rreme, investimeve fiktive, dhe formave të tjera të manipulimit </w:t>
      </w:r>
      <w:r w:rsidR="008F549F" w:rsidRPr="002128A6">
        <w:rPr>
          <w:rFonts w:ascii="Garamond" w:hAnsi="Garamond" w:cs="Times New Roman"/>
          <w:i/>
          <w:iCs/>
        </w:rPr>
        <w:t>online</w:t>
      </w:r>
      <w:r w:rsidRPr="002128A6">
        <w:rPr>
          <w:rFonts w:ascii="Garamond" w:hAnsi="Garamond" w:cs="Times New Roman"/>
        </w:rPr>
        <w:t>. Kriptomonedha shfaqet si një metodë pagese dhe si një produkt mashtrimi investimi</w:t>
      </w:r>
      <w:r w:rsidRPr="002128A6">
        <w:rPr>
          <w:rFonts w:ascii="Garamond" w:hAnsi="Garamond" w:cs="Times New Roman"/>
          <w:bCs/>
        </w:rPr>
        <w:t>.</w:t>
      </w:r>
      <w:r w:rsidRPr="002128A6">
        <w:rPr>
          <w:rFonts w:ascii="Garamond" w:hAnsi="Garamond" w:cs="Times New Roman"/>
          <w:b/>
        </w:rPr>
        <w:t xml:space="preserve"> </w:t>
      </w:r>
      <w:r w:rsidRPr="002128A6">
        <w:rPr>
          <w:rFonts w:ascii="Garamond" w:hAnsi="Garamond" w:cs="Times New Roman"/>
        </w:rPr>
        <w:t xml:space="preserve">Mashtrimi i investimeve dhe komprometimi i </w:t>
      </w:r>
      <w:r w:rsidRPr="002128A6">
        <w:rPr>
          <w:rFonts w:ascii="Garamond" w:hAnsi="Garamond" w:cs="Times New Roman"/>
          <w:i/>
          <w:iCs/>
        </w:rPr>
        <w:t>email</w:t>
      </w:r>
      <w:r w:rsidRPr="002128A6">
        <w:rPr>
          <w:rFonts w:ascii="Garamond" w:hAnsi="Garamond" w:cs="Times New Roman"/>
        </w:rPr>
        <w:t xml:space="preserve">-eve të biznesit mbeten skemat më të përdorshme të mashtrimit </w:t>
      </w:r>
      <w:r w:rsidR="008F549F" w:rsidRPr="002128A6">
        <w:rPr>
          <w:rFonts w:ascii="Garamond" w:hAnsi="Garamond" w:cs="Times New Roman"/>
          <w:i/>
          <w:iCs/>
        </w:rPr>
        <w:t>online</w:t>
      </w:r>
      <w:r w:rsidRPr="002128A6">
        <w:rPr>
          <w:rFonts w:ascii="Garamond" w:hAnsi="Garamond" w:cs="Times New Roman"/>
        </w:rPr>
        <w:t>.</w:t>
      </w:r>
      <w:r w:rsidRPr="002128A6">
        <w:rPr>
          <w:rFonts w:ascii="Garamond" w:hAnsi="Garamond" w:cs="Times New Roman"/>
          <w:b/>
        </w:rPr>
        <w:t xml:space="preserve"> Evoluimi i ardhshëm</w:t>
      </w:r>
      <w:r w:rsidRPr="002128A6">
        <w:rPr>
          <w:rFonts w:ascii="Garamond" w:hAnsi="Garamond" w:cs="Times New Roman"/>
        </w:rPr>
        <w:t xml:space="preserve"> i këtyre krimeve pritet të lidhet ngushtë me zhvillimet teknologjike dhe </w:t>
      </w:r>
      <w:r w:rsidR="00F54824" w:rsidRPr="002128A6">
        <w:rPr>
          <w:rFonts w:ascii="Garamond" w:hAnsi="Garamond" w:cs="Times New Roman"/>
        </w:rPr>
        <w:t>digjital</w:t>
      </w:r>
      <w:r w:rsidRPr="002128A6">
        <w:rPr>
          <w:rFonts w:ascii="Garamond" w:hAnsi="Garamond" w:cs="Times New Roman"/>
        </w:rPr>
        <w:t xml:space="preserve">izimin në rritje të shërbimeve. Pritet rritje e </w:t>
      </w:r>
      <w:r w:rsidRPr="002128A6">
        <w:rPr>
          <w:rFonts w:ascii="Garamond" w:hAnsi="Garamond" w:cs="Times New Roman"/>
        </w:rPr>
        <w:lastRenderedPageBreak/>
        <w:t xml:space="preserve">përdorimit të </w:t>
      </w:r>
      <w:r w:rsidRPr="002128A6">
        <w:rPr>
          <w:rFonts w:ascii="Garamond" w:hAnsi="Garamond" w:cs="Times New Roman"/>
          <w:i/>
          <w:iCs/>
        </w:rPr>
        <w:t>“deepfake”,</w:t>
      </w:r>
      <w:r w:rsidRPr="002128A6">
        <w:rPr>
          <w:rFonts w:ascii="Garamond" w:hAnsi="Garamond" w:cs="Times New Roman"/>
        </w:rPr>
        <w:t xml:space="preserve"> mesazheve të personalizuara dhe platformave të enkriptuara për realizimin e mashtrimeve më komplekse. Gjithashtu, përdorimi i kriptomonedhave mund të krijojnë hapësira të reja për fshehjen e gjurmëve financiare dhe transferimin e fitimeve të paligjshme. </w:t>
      </w:r>
    </w:p>
    <w:p w14:paraId="505E0EF6" w14:textId="77777777" w:rsidR="00696399" w:rsidRPr="002128A6" w:rsidRDefault="00696399" w:rsidP="0029788D">
      <w:pPr>
        <w:pStyle w:val="Heading3"/>
        <w:spacing w:before="0" w:after="0" w:line="240" w:lineRule="auto"/>
        <w:ind w:firstLine="284"/>
        <w:jc w:val="both"/>
        <w:rPr>
          <w:rFonts w:ascii="Garamond" w:hAnsi="Garamond" w:cs="Times New Roman"/>
          <w:b/>
          <w:bCs/>
          <w:color w:val="auto"/>
          <w:sz w:val="24"/>
          <w:szCs w:val="24"/>
        </w:rPr>
      </w:pPr>
      <w:bookmarkStart w:id="31" w:name="_Toc229736005"/>
      <w:bookmarkStart w:id="32" w:name="_Toc229736092"/>
      <w:bookmarkStart w:id="33" w:name="_Toc233371577"/>
      <w:r w:rsidRPr="002128A6">
        <w:rPr>
          <w:rFonts w:ascii="Garamond" w:hAnsi="Garamond" w:cs="Times New Roman"/>
          <w:b/>
          <w:bCs/>
          <w:color w:val="auto"/>
          <w:sz w:val="24"/>
          <w:szCs w:val="24"/>
        </w:rPr>
        <w:t>Dhënia e ndihmës për kalime të paligjshme të kufirit</w:t>
      </w:r>
      <w:bookmarkEnd w:id="31"/>
      <w:bookmarkEnd w:id="32"/>
      <w:bookmarkEnd w:id="33"/>
    </w:p>
    <w:p w14:paraId="12195C0F" w14:textId="0E687245" w:rsidR="00696399" w:rsidRPr="002128A6" w:rsidRDefault="00696399" w:rsidP="0025426C">
      <w:pPr>
        <w:spacing w:after="0" w:line="240" w:lineRule="auto"/>
        <w:ind w:firstLine="284"/>
        <w:jc w:val="both"/>
        <w:rPr>
          <w:rFonts w:ascii="Garamond" w:hAnsi="Garamond" w:cs="Times New Roman"/>
        </w:rPr>
      </w:pPr>
      <w:r w:rsidRPr="002128A6">
        <w:rPr>
          <w:rFonts w:ascii="Garamond" w:hAnsi="Garamond" w:cs="Times New Roman"/>
        </w:rPr>
        <w:t xml:space="preserve">Dhënia e ndihmës për kalim të paligjshëm të kufirit vazhdon të jetë një aktivitet kriminal tërheqës dhe fitimprurës. Ai i nënshtrohet faktorëve të shumtë globalë të cilët nxisin dhe lehtësojnë këtë aktivitet duke </w:t>
      </w:r>
      <w:r w:rsidR="00F33B6D" w:rsidRPr="002128A6">
        <w:rPr>
          <w:rFonts w:ascii="Garamond" w:hAnsi="Garamond" w:cs="Times New Roman"/>
        </w:rPr>
        <w:t xml:space="preserve">ndikuar </w:t>
      </w:r>
      <w:r w:rsidRPr="002128A6">
        <w:rPr>
          <w:rFonts w:ascii="Garamond" w:hAnsi="Garamond" w:cs="Times New Roman"/>
        </w:rPr>
        <w:t xml:space="preserve">Shqipërinë si pikë hyrjeje, tranziti dhe daljeje. Dhënia e ndihmës për kalim të paligjshëm të kufirit, në thelb është një krim fizik ndërkufitar, por që është e lidhur ngushtë me zhvillimet </w:t>
      </w:r>
      <w:r w:rsidR="00F54824" w:rsidRPr="002128A6">
        <w:rPr>
          <w:rFonts w:ascii="Garamond" w:hAnsi="Garamond" w:cs="Times New Roman"/>
        </w:rPr>
        <w:t>digjital</w:t>
      </w:r>
      <w:r w:rsidRPr="002128A6">
        <w:rPr>
          <w:rFonts w:ascii="Garamond" w:hAnsi="Garamond" w:cs="Times New Roman"/>
        </w:rPr>
        <w:t xml:space="preserve">e dhe teknologjike, siç është mbështetja në platformat </w:t>
      </w:r>
      <w:r w:rsidR="008F549F" w:rsidRPr="002128A6">
        <w:rPr>
          <w:rFonts w:ascii="Garamond" w:hAnsi="Garamond" w:cs="Times New Roman"/>
          <w:i/>
          <w:iCs/>
        </w:rPr>
        <w:t>online</w:t>
      </w:r>
      <w:r w:rsidRPr="002128A6">
        <w:rPr>
          <w:rFonts w:ascii="Garamond" w:hAnsi="Garamond" w:cs="Times New Roman"/>
        </w:rPr>
        <w:t xml:space="preserve"> për marketing, rekrutim, komunikim dhe transferime parash, si edhe keqpërdorimi i aplikacioneve </w:t>
      </w:r>
      <w:r w:rsidR="008F549F" w:rsidRPr="002128A6">
        <w:rPr>
          <w:rFonts w:ascii="Garamond" w:hAnsi="Garamond" w:cs="Times New Roman"/>
          <w:i/>
          <w:iCs/>
        </w:rPr>
        <w:t>online</w:t>
      </w:r>
      <w:r w:rsidRPr="002128A6">
        <w:rPr>
          <w:rFonts w:ascii="Garamond" w:hAnsi="Garamond" w:cs="Times New Roman"/>
        </w:rPr>
        <w:t xml:space="preserve"> si hartimi i rrugëve për të organizuar udhëtime për migrantët e parregullt.</w:t>
      </w:r>
      <w:r w:rsidR="00076A62" w:rsidRPr="002128A6">
        <w:rPr>
          <w:rFonts w:ascii="Garamond" w:hAnsi="Garamond" w:cs="Times New Roman"/>
        </w:rPr>
        <w:t xml:space="preserve"> </w:t>
      </w:r>
      <w:r w:rsidR="00F33B6D" w:rsidRPr="002128A6">
        <w:rPr>
          <w:rFonts w:ascii="Garamond" w:hAnsi="Garamond" w:cs="Times New Roman"/>
        </w:rPr>
        <w:t>Trafikimi</w:t>
      </w:r>
      <w:r w:rsidRPr="002128A6">
        <w:rPr>
          <w:rFonts w:ascii="Garamond" w:hAnsi="Garamond" w:cs="Times New Roman"/>
        </w:rPr>
        <w:t xml:space="preserve"> i njerëzve përbën një </w:t>
      </w:r>
      <w:r w:rsidRPr="002128A6">
        <w:rPr>
          <w:rFonts w:ascii="Garamond" w:hAnsi="Garamond" w:cs="Times New Roman"/>
          <w:b/>
        </w:rPr>
        <w:t>kërcënim të vazhdueshëm</w:t>
      </w:r>
      <w:r w:rsidRPr="002128A6">
        <w:rPr>
          <w:rFonts w:ascii="Garamond" w:hAnsi="Garamond" w:cs="Times New Roman"/>
        </w:rPr>
        <w:t xml:space="preserve"> për sigurinë kufitare, rendin publik dhe mbrojtjen e të drejtave të njeriut, duke u zhvilluar kryesisht përmes rrjeteve të organizuara kriminale që shfrytëzojnë flukset migratore, paqëndrueshmërinë ekonomike dhe konfliktet rajonale.</w:t>
      </w:r>
      <w:r w:rsidR="00F33B6D" w:rsidRPr="002128A6">
        <w:rPr>
          <w:rFonts w:ascii="Garamond" w:hAnsi="Garamond" w:cs="Times New Roman"/>
        </w:rPr>
        <w:t xml:space="preserve"> </w:t>
      </w:r>
      <w:r w:rsidRPr="002128A6">
        <w:rPr>
          <w:rFonts w:ascii="Garamond" w:hAnsi="Garamond" w:cs="Times New Roman"/>
          <w:b/>
        </w:rPr>
        <w:t>Evoluimi</w:t>
      </w:r>
      <w:r w:rsidRPr="002128A6">
        <w:rPr>
          <w:rFonts w:ascii="Garamond" w:hAnsi="Garamond" w:cs="Times New Roman"/>
        </w:rPr>
        <w:t xml:space="preserve"> i fenomenit </w:t>
      </w:r>
      <w:r w:rsidR="00F33B6D" w:rsidRPr="002128A6">
        <w:rPr>
          <w:rFonts w:ascii="Garamond" w:hAnsi="Garamond" w:cs="Times New Roman"/>
        </w:rPr>
        <w:t xml:space="preserve">në të ardhmen </w:t>
      </w:r>
      <w:r w:rsidRPr="002128A6">
        <w:rPr>
          <w:rFonts w:ascii="Garamond" w:hAnsi="Garamond" w:cs="Times New Roman"/>
        </w:rPr>
        <w:t xml:space="preserve">pritet të lidhet me rritjen e përdorimit të teknologjisë dhe platformave </w:t>
      </w:r>
      <w:r w:rsidR="008F549F" w:rsidRPr="002128A6">
        <w:rPr>
          <w:rFonts w:ascii="Garamond" w:hAnsi="Garamond" w:cs="Times New Roman"/>
          <w:i/>
          <w:iCs/>
        </w:rPr>
        <w:t>online</w:t>
      </w:r>
      <w:r w:rsidRPr="002128A6">
        <w:rPr>
          <w:rFonts w:ascii="Garamond" w:hAnsi="Garamond" w:cs="Times New Roman"/>
        </w:rPr>
        <w:t xml:space="preserve"> për rekrutimin, koordinimin dhe pagesat, si dhe me zhvendosjen e rrugëve të kontrabandimit në varësi të presionit ligjzbatues dhe zhvillimeve gjeopolitike në rajonin e Lindjes së Mesme. </w:t>
      </w:r>
    </w:p>
    <w:p w14:paraId="71ED745A" w14:textId="7F518EF9" w:rsidR="00696399" w:rsidRPr="002128A6" w:rsidRDefault="00696399" w:rsidP="0029788D">
      <w:pPr>
        <w:pStyle w:val="Heading3"/>
        <w:spacing w:before="0" w:after="0" w:line="240" w:lineRule="auto"/>
        <w:ind w:firstLine="284"/>
        <w:jc w:val="both"/>
        <w:rPr>
          <w:rFonts w:ascii="Garamond" w:hAnsi="Garamond" w:cs="Times New Roman"/>
          <w:b/>
          <w:bCs/>
          <w:color w:val="auto"/>
          <w:sz w:val="24"/>
          <w:szCs w:val="24"/>
        </w:rPr>
      </w:pPr>
      <w:bookmarkStart w:id="34" w:name="_Toc229736006"/>
      <w:bookmarkStart w:id="35" w:name="_Toc229736093"/>
      <w:bookmarkStart w:id="36" w:name="_Toc233371578"/>
      <w:r w:rsidRPr="002128A6">
        <w:rPr>
          <w:rFonts w:ascii="Garamond" w:hAnsi="Garamond" w:cs="Times New Roman"/>
          <w:b/>
          <w:bCs/>
          <w:color w:val="auto"/>
          <w:sz w:val="24"/>
          <w:szCs w:val="24"/>
        </w:rPr>
        <w:t xml:space="preserve">Krimet </w:t>
      </w:r>
      <w:r w:rsidR="0029788D" w:rsidRPr="002128A6">
        <w:rPr>
          <w:rFonts w:ascii="Garamond" w:hAnsi="Garamond" w:cs="Times New Roman"/>
          <w:b/>
          <w:bCs/>
          <w:color w:val="auto"/>
          <w:sz w:val="24"/>
          <w:szCs w:val="24"/>
        </w:rPr>
        <w:t>mjedisore</w:t>
      </w:r>
      <w:bookmarkEnd w:id="34"/>
      <w:bookmarkEnd w:id="35"/>
      <w:bookmarkEnd w:id="36"/>
      <w:r w:rsidR="0029788D" w:rsidRPr="002128A6">
        <w:rPr>
          <w:rFonts w:ascii="Garamond" w:hAnsi="Garamond" w:cs="Times New Roman"/>
          <w:b/>
          <w:bCs/>
          <w:color w:val="auto"/>
          <w:sz w:val="24"/>
          <w:szCs w:val="24"/>
        </w:rPr>
        <w:t xml:space="preserve"> </w:t>
      </w:r>
    </w:p>
    <w:p w14:paraId="514E025B" w14:textId="2288284A" w:rsidR="00FB3824" w:rsidRPr="002128A6" w:rsidRDefault="00FB3824"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Krimet mjedisore përbëjnë një </w:t>
      </w:r>
      <w:r w:rsidRPr="002128A6">
        <w:rPr>
          <w:rFonts w:ascii="Garamond" w:hAnsi="Garamond"/>
          <w:b/>
        </w:rPr>
        <w:t>kërcënim në rritje</w:t>
      </w:r>
      <w:r w:rsidRPr="002128A6">
        <w:rPr>
          <w:rFonts w:ascii="Garamond" w:hAnsi="Garamond"/>
        </w:rPr>
        <w:t xml:space="preserve"> për sigurinë mjedisore, ekonomike dhe publike, pasi ato ndikojnë drejtpërdrejt në degradimin e burimeve natyrore, humbjen e biodiversitetit dhe përkeqësimin e cilësisë së jetës së popullsisë. Veprimtari si ndotja e ajrit dhe ujërave, prerja e paligjshme e pyjeve, dëmtimi i habitateve të mbrojtura apo menaxhimi i paligjshëm i mbetjeve të rrezikshme shkaktojnë degradim afatgjatë të ekosistemeve dhe rrisin rrezikun për shëndetin publik. Krimet mjedisore po konsiderohen gjithnjë e më shumë si fushë me rrezik të lartë, sepse ato kombinojnë fitime të mëdha me rrezik penal relativisht të ulët. Gjithasht</w:t>
      </w:r>
      <w:r w:rsidR="0002338C" w:rsidRPr="002128A6">
        <w:rPr>
          <w:rFonts w:ascii="Garamond" w:hAnsi="Garamond"/>
        </w:rPr>
        <w:t>u,</w:t>
      </w:r>
      <w:r w:rsidRPr="002128A6">
        <w:rPr>
          <w:rFonts w:ascii="Garamond" w:hAnsi="Garamond"/>
        </w:rPr>
        <w:t xml:space="preserve"> shfaqin rrezik të lartë jo vetëm për dëmin e menjëhershëm që shkaktojnë, por edhe për ndikimin të zgjatur në kohë. </w:t>
      </w:r>
      <w:r w:rsidRPr="002128A6">
        <w:rPr>
          <w:rFonts w:ascii="Garamond" w:hAnsi="Garamond"/>
          <w:b/>
        </w:rPr>
        <w:t xml:space="preserve">Evoluimi </w:t>
      </w:r>
      <w:r w:rsidRPr="002128A6">
        <w:rPr>
          <w:rFonts w:ascii="Garamond" w:hAnsi="Garamond"/>
          <w:bCs/>
        </w:rPr>
        <w:t>i</w:t>
      </w:r>
      <w:r w:rsidRPr="002128A6">
        <w:rPr>
          <w:rFonts w:ascii="Garamond" w:hAnsi="Garamond"/>
        </w:rPr>
        <w:t xml:space="preserve"> krimeve mjedisore karakterizohet nga zgjerimi i formave të veprimit dhe rritja e kompleksitetit të tyre, të nxitura nga përfitimet ekonomike, urbanizimi, aktivitetet industriale dhe shfrytëzimi i pakontrolluar i burimeve natyrore. </w:t>
      </w:r>
    </w:p>
    <w:p w14:paraId="3929243D" w14:textId="44FA63D0" w:rsidR="00764183" w:rsidRPr="002128A6" w:rsidRDefault="00764183" w:rsidP="0025426C">
      <w:pPr>
        <w:spacing w:after="0" w:line="240" w:lineRule="auto"/>
        <w:ind w:firstLine="284"/>
        <w:jc w:val="both"/>
        <w:rPr>
          <w:rFonts w:ascii="Garamond" w:eastAsia="Aptos" w:hAnsi="Garamond" w:cstheme="majorBidi"/>
          <w:b/>
          <w:bCs/>
          <w:i/>
          <w:iCs/>
        </w:rPr>
      </w:pPr>
      <w:r w:rsidRPr="002128A6">
        <w:rPr>
          <w:rFonts w:ascii="Garamond" w:eastAsia="Aptos" w:hAnsi="Garamond" w:cstheme="majorBidi"/>
          <w:b/>
          <w:bCs/>
          <w:i/>
          <w:iCs/>
        </w:rPr>
        <w:t>Përveç analizës së kërcënimit të raportit “Vlerësimi i Kërcënimit të Krimit të Organizuar dhe të Rëndë (SOCTA</w:t>
      </w:r>
      <w:r w:rsidR="00FB3824" w:rsidRPr="002128A6">
        <w:rPr>
          <w:rFonts w:ascii="Garamond" w:eastAsia="Aptos" w:hAnsi="Garamond" w:cstheme="majorBidi"/>
          <w:b/>
          <w:bCs/>
          <w:i/>
          <w:iCs/>
        </w:rPr>
        <w:t xml:space="preserve"> 2026</w:t>
      </w:r>
      <w:r w:rsidRPr="002128A6">
        <w:rPr>
          <w:rFonts w:ascii="Garamond" w:eastAsia="Aptos" w:hAnsi="Garamond" w:cstheme="majorBidi"/>
          <w:b/>
          <w:bCs/>
          <w:i/>
          <w:iCs/>
        </w:rPr>
        <w:t>)”, vlerësimi i zbatimit të strategjisë së mëparshme ka shërbyer si bazë për zhvillimin e kësaj strategjie</w:t>
      </w:r>
      <w:r w:rsidR="00560E70" w:rsidRPr="002128A6">
        <w:rPr>
          <w:rFonts w:ascii="Garamond" w:eastAsia="Aptos" w:hAnsi="Garamond" w:cstheme="majorBidi"/>
          <w:b/>
          <w:bCs/>
          <w:i/>
          <w:iCs/>
        </w:rPr>
        <w:t>.</w:t>
      </w:r>
    </w:p>
    <w:p w14:paraId="04ABFE77" w14:textId="32C4ADC3" w:rsidR="009D4A98" w:rsidRPr="002128A6" w:rsidRDefault="0006212A" w:rsidP="0025426C">
      <w:pPr>
        <w:spacing w:after="0" w:line="240" w:lineRule="auto"/>
        <w:ind w:firstLine="284"/>
        <w:jc w:val="both"/>
        <w:rPr>
          <w:rFonts w:ascii="Garamond" w:hAnsi="Garamond" w:cstheme="majorBidi"/>
          <w:kern w:val="0"/>
          <w14:ligatures w14:val="none"/>
        </w:rPr>
      </w:pPr>
      <w:r w:rsidRPr="002128A6">
        <w:rPr>
          <w:rFonts w:ascii="Garamond" w:eastAsia="Aptos" w:hAnsi="Garamond" w:cstheme="majorBidi"/>
        </w:rPr>
        <w:t xml:space="preserve">Bazuar në një analizë të hollësishme të të dhënave, përfshirë raportet e monitorimit të përgatitura nga Ministria e </w:t>
      </w:r>
      <w:r w:rsidR="00701804" w:rsidRPr="002128A6">
        <w:rPr>
          <w:rFonts w:ascii="Garamond" w:eastAsia="Aptos" w:hAnsi="Garamond" w:cstheme="majorBidi"/>
        </w:rPr>
        <w:t xml:space="preserve">Punëve të </w:t>
      </w:r>
      <w:r w:rsidRPr="002128A6">
        <w:rPr>
          <w:rFonts w:ascii="Garamond" w:eastAsia="Aptos" w:hAnsi="Garamond" w:cstheme="majorBidi"/>
        </w:rPr>
        <w:t xml:space="preserve">Brendshme, </w:t>
      </w:r>
      <w:r w:rsidR="0060512F" w:rsidRPr="002128A6">
        <w:rPr>
          <w:rFonts w:ascii="Garamond" w:eastAsia="Aptos" w:hAnsi="Garamond" w:cstheme="majorBidi"/>
        </w:rPr>
        <w:t xml:space="preserve">evidencat </w:t>
      </w:r>
      <w:r w:rsidRPr="002128A6">
        <w:rPr>
          <w:rFonts w:ascii="Garamond" w:eastAsia="Aptos" w:hAnsi="Garamond" w:cstheme="majorBidi"/>
        </w:rPr>
        <w:t xml:space="preserve">dhe të dhënat nga një spektër i gjerë i burimeve institucionale dhe ndërkombëtare, vlerësimi i kërcënimit shërben si bazë për një kornizë strategjike më të fokusuar dhe të orientuar drejt rezultateve që kontribuon në adresimin e boshllëqeve dhe mangësive të identifikuara. </w:t>
      </w:r>
      <w:bookmarkStart w:id="37" w:name="_Hlk226131831"/>
      <w:r w:rsidRPr="002128A6">
        <w:rPr>
          <w:rFonts w:ascii="Garamond" w:eastAsia="Aptos" w:hAnsi="Garamond" w:cstheme="majorBidi"/>
        </w:rPr>
        <w:t xml:space="preserve">Vlerësimi </w:t>
      </w:r>
      <w:bookmarkEnd w:id="37"/>
      <w:r w:rsidRPr="002128A6">
        <w:rPr>
          <w:rFonts w:ascii="Garamond" w:eastAsia="Aptos" w:hAnsi="Garamond" w:cstheme="majorBidi"/>
        </w:rPr>
        <w:t xml:space="preserve">i kërcënimit </w:t>
      </w:r>
      <w:r w:rsidR="009D4A98" w:rsidRPr="002128A6">
        <w:rPr>
          <w:rFonts w:ascii="Garamond" w:hAnsi="Garamond" w:cstheme="majorBidi"/>
          <w:kern w:val="0"/>
          <w14:ligatures w14:val="none"/>
        </w:rPr>
        <w:t>nënvizon natyrën gjithnjë e më transnacionale dhe teknologjikisht të sofistikuar të këtyre kërcënimeve të krimit të organizuar, duke kërkuar përgjigje politike të forta dhe të përshtatshme.</w:t>
      </w:r>
      <w:r w:rsidR="00F54824" w:rsidRPr="002128A6">
        <w:rPr>
          <w:rFonts w:ascii="Garamond" w:hAnsi="Garamond" w:cstheme="majorBidi"/>
          <w:kern w:val="0"/>
          <w14:ligatures w14:val="none"/>
        </w:rPr>
        <w:t xml:space="preserve"> </w:t>
      </w:r>
    </w:p>
    <w:p w14:paraId="291A3CC5" w14:textId="1A6A277E" w:rsidR="002B04E3" w:rsidRPr="002128A6" w:rsidRDefault="002B04E3" w:rsidP="0025426C">
      <w:pPr>
        <w:spacing w:after="0" w:line="240" w:lineRule="auto"/>
        <w:ind w:firstLine="284"/>
        <w:jc w:val="both"/>
        <w:rPr>
          <w:rFonts w:ascii="Garamond" w:eastAsia="Aptos" w:hAnsi="Garamond" w:cstheme="majorBidi"/>
        </w:rPr>
      </w:pPr>
      <w:r w:rsidRPr="002128A6">
        <w:rPr>
          <w:rFonts w:ascii="Garamond" w:eastAsia="Aptos" w:hAnsi="Garamond" w:cstheme="majorBidi"/>
          <w:b/>
          <w:bCs/>
        </w:rPr>
        <w:t>Masat e zbatimit më vete nuk janë të mjaftueshme</w:t>
      </w:r>
      <w:r w:rsidRPr="002128A6">
        <w:rPr>
          <w:rFonts w:ascii="Garamond" w:eastAsia="Aptos" w:hAnsi="Garamond" w:cstheme="majorBidi"/>
        </w:rPr>
        <w:t xml:space="preserve"> për t’iu kundërvënë efektivisht infiltrimit ekonomik nga krimi i organizuar. Një përgjigje gjithëpërfshirëse kërkon një theks më të fortë në </w:t>
      </w:r>
      <w:r w:rsidRPr="002128A6">
        <w:rPr>
          <w:rFonts w:ascii="Garamond" w:eastAsia="Aptos" w:hAnsi="Garamond" w:cstheme="majorBidi"/>
          <w:b/>
          <w:bCs/>
        </w:rPr>
        <w:t>kornizat parandaluese</w:t>
      </w:r>
      <w:r w:rsidRPr="002128A6">
        <w:rPr>
          <w:rFonts w:ascii="Garamond" w:eastAsia="Aptos" w:hAnsi="Garamond" w:cstheme="majorBidi"/>
        </w:rPr>
        <w:t xml:space="preserve">, që synojnë reduktimin e cenueshmërive përpara se aktiviteti kriminal të materializohet. Kjo përfshin </w:t>
      </w:r>
      <w:r w:rsidRPr="002128A6">
        <w:rPr>
          <w:rFonts w:ascii="Garamond" w:eastAsia="Aptos" w:hAnsi="Garamond" w:cstheme="majorBidi"/>
          <w:b/>
          <w:bCs/>
        </w:rPr>
        <w:t>mekanizma të fortë administrativë dhe rregullatorë</w:t>
      </w:r>
      <w:r w:rsidRPr="002128A6">
        <w:rPr>
          <w:rFonts w:ascii="Garamond" w:eastAsia="Aptos" w:hAnsi="Garamond" w:cstheme="majorBidi"/>
        </w:rPr>
        <w:t xml:space="preserve">, mbikëqyrje efektive të bazuar në </w:t>
      </w:r>
      <w:r w:rsidR="00FB3824" w:rsidRPr="002128A6">
        <w:rPr>
          <w:rFonts w:ascii="Garamond" w:eastAsia="Aptos" w:hAnsi="Garamond" w:cstheme="majorBidi"/>
        </w:rPr>
        <w:t>vlerësim rreziku</w:t>
      </w:r>
      <w:r w:rsidRPr="002128A6">
        <w:rPr>
          <w:rFonts w:ascii="Garamond" w:eastAsia="Aptos" w:hAnsi="Garamond" w:cstheme="majorBidi"/>
        </w:rPr>
        <w:t xml:space="preserve"> dhe detyrime të forcuara të kujdesit të duhur në sektorët me </w:t>
      </w:r>
      <w:r w:rsidR="00FB3824" w:rsidRPr="002128A6">
        <w:rPr>
          <w:rFonts w:ascii="Garamond" w:eastAsia="Aptos" w:hAnsi="Garamond" w:cstheme="majorBidi"/>
        </w:rPr>
        <w:t>rrezik</w:t>
      </w:r>
      <w:r w:rsidRPr="002128A6">
        <w:rPr>
          <w:rFonts w:ascii="Garamond" w:eastAsia="Aptos" w:hAnsi="Garamond" w:cstheme="majorBidi"/>
        </w:rPr>
        <w:t xml:space="preserve"> të lartë, për të siguruar një qasje gjithëpërfshirëse për parandalimin dhe trajtimin e këtyre kërcënimeve. Mjetet parandaluese si transparenca e pronarit përfitues, sistemet e zbulimit të hershëm dhe monitorimi i përmirësuar i flukseve financiare, luajnë rol përcaktues në identifikimin dhe zbutjen e rreziqeve në një fazë të hershme. </w:t>
      </w:r>
    </w:p>
    <w:p w14:paraId="575E5786" w14:textId="522A52F8" w:rsidR="002B04E3" w:rsidRPr="002128A6" w:rsidRDefault="002B04E3"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lastRenderedPageBreak/>
        <w:t xml:space="preserve">Në të njëjtën kohë, këto masa parandaluese duhet të plotësohen nga ndërprerja efektive financiare e krimit, përfshirë gjurmimin, </w:t>
      </w:r>
      <w:r w:rsidR="006D1D7E" w:rsidRPr="002128A6">
        <w:rPr>
          <w:rFonts w:ascii="Garamond" w:eastAsia="Aptos" w:hAnsi="Garamond" w:cstheme="majorBidi"/>
        </w:rPr>
        <w:t>sekuestrimin</w:t>
      </w:r>
      <w:r w:rsidRPr="002128A6">
        <w:rPr>
          <w:rFonts w:ascii="Garamond" w:eastAsia="Aptos" w:hAnsi="Garamond" w:cstheme="majorBidi"/>
        </w:rPr>
        <w:t xml:space="preserve">, sekuestrimin dhe konfiskimin e aseteve, për të siguruar që rrjetet kriminale jo vetëm të zbulohen herët, por edhe të privohen nga fuqia e tyre ekonomike. Së bashku, parandalimi dhe zbatimi, formojnë një qasje koherente dhe reciprokisht përforcuese për trajtimin e infiltrimit të krimit të organizuar. </w:t>
      </w:r>
    </w:p>
    <w:p w14:paraId="1858A4FE" w14:textId="4AEBDA97" w:rsidR="009D4A98" w:rsidRPr="002128A6" w:rsidRDefault="00FB3824" w:rsidP="0025426C">
      <w:pPr>
        <w:spacing w:after="0" w:line="240" w:lineRule="auto"/>
        <w:ind w:firstLine="284"/>
        <w:jc w:val="both"/>
        <w:rPr>
          <w:rFonts w:ascii="Garamond" w:hAnsi="Garamond" w:cstheme="majorBidi"/>
          <w:kern w:val="0"/>
          <w14:ligatures w14:val="none"/>
        </w:rPr>
      </w:pPr>
      <w:r w:rsidRPr="002128A6">
        <w:rPr>
          <w:rFonts w:ascii="Garamond" w:hAnsi="Garamond" w:cstheme="majorBidi"/>
          <w:kern w:val="0"/>
          <w14:ligatures w14:val="none"/>
        </w:rPr>
        <w:t>Të dhënat</w:t>
      </w:r>
      <w:r w:rsidR="009D4A98" w:rsidRPr="002128A6">
        <w:rPr>
          <w:rFonts w:ascii="Garamond" w:hAnsi="Garamond" w:cstheme="majorBidi"/>
          <w:kern w:val="0"/>
          <w14:ligatures w14:val="none"/>
        </w:rPr>
        <w:t xml:space="preserve"> nga autoritetet </w:t>
      </w:r>
      <w:r w:rsidR="0060512F" w:rsidRPr="002128A6">
        <w:rPr>
          <w:rFonts w:ascii="Garamond" w:hAnsi="Garamond" w:cstheme="majorBidi"/>
          <w:kern w:val="0"/>
          <w14:ligatures w14:val="none"/>
        </w:rPr>
        <w:t xml:space="preserve">ligjzbatuese </w:t>
      </w:r>
      <w:r w:rsidR="009D4A98" w:rsidRPr="002128A6">
        <w:rPr>
          <w:rFonts w:ascii="Garamond" w:hAnsi="Garamond" w:cstheme="majorBidi"/>
          <w:kern w:val="0"/>
          <w14:ligatures w14:val="none"/>
        </w:rPr>
        <w:t>kombëtare dhe partnerët ndërkombëtarë tregojnë se grupet shqiptare të krimit të organizuar kanë evoluar në rrjete transnacionale</w:t>
      </w:r>
      <w:r w:rsidR="00D86753" w:rsidRPr="002128A6">
        <w:rPr>
          <w:rFonts w:ascii="Garamond" w:hAnsi="Garamond" w:cstheme="majorBidi"/>
          <w:kern w:val="0"/>
          <w14:ligatures w14:val="none"/>
        </w:rPr>
        <w:t xml:space="preserve"> shumë fleksibël dhe të afta për t’u përshtatur</w:t>
      </w:r>
      <w:r w:rsidR="0060512F" w:rsidRPr="002128A6">
        <w:rPr>
          <w:rFonts w:ascii="Garamond" w:hAnsi="Garamond" w:cstheme="majorBidi"/>
          <w:kern w:val="0"/>
          <w14:ligatures w14:val="none"/>
        </w:rPr>
        <w:t>,</w:t>
      </w:r>
      <w:r w:rsidR="009D4A98" w:rsidRPr="002128A6">
        <w:rPr>
          <w:rFonts w:ascii="Garamond" w:hAnsi="Garamond" w:cstheme="majorBidi"/>
          <w:kern w:val="0"/>
          <w14:ligatures w14:val="none"/>
        </w:rPr>
        <w:t xml:space="preserve"> me lidhje të forta logjistike, financiare dhe me bazë diasporike në të gjithë E</w:t>
      </w:r>
      <w:r w:rsidR="00A66D46" w:rsidRPr="002128A6">
        <w:rPr>
          <w:rFonts w:ascii="Garamond" w:hAnsi="Garamond" w:cstheme="majorBidi"/>
          <w:kern w:val="0"/>
          <w14:ligatures w14:val="none"/>
        </w:rPr>
        <w:t>vropë</w:t>
      </w:r>
      <w:r w:rsidR="009D4A98" w:rsidRPr="002128A6">
        <w:rPr>
          <w:rFonts w:ascii="Garamond" w:hAnsi="Garamond" w:cstheme="majorBidi"/>
          <w:kern w:val="0"/>
          <w14:ligatures w14:val="none"/>
        </w:rPr>
        <w:t>n. Këto rrjete luajnë një rol të rëndësishëm në tregjet kriminale e</w:t>
      </w:r>
      <w:r w:rsidR="00A66D46" w:rsidRPr="002128A6">
        <w:rPr>
          <w:rFonts w:ascii="Garamond" w:hAnsi="Garamond" w:cstheme="majorBidi"/>
          <w:kern w:val="0"/>
          <w14:ligatures w14:val="none"/>
        </w:rPr>
        <w:t>vropian</w:t>
      </w:r>
      <w:r w:rsidR="009D4A98" w:rsidRPr="002128A6">
        <w:rPr>
          <w:rFonts w:ascii="Garamond" w:hAnsi="Garamond" w:cstheme="majorBidi"/>
          <w:kern w:val="0"/>
          <w14:ligatures w14:val="none"/>
        </w:rPr>
        <w:t>e, veçanërisht në operacionet e trafikimit të drogës që lidhin Amerikën Latine me E</w:t>
      </w:r>
      <w:r w:rsidR="00A66D46" w:rsidRPr="002128A6">
        <w:rPr>
          <w:rFonts w:ascii="Garamond" w:hAnsi="Garamond" w:cstheme="majorBidi"/>
          <w:kern w:val="0"/>
          <w14:ligatures w14:val="none"/>
        </w:rPr>
        <w:t>vropë</w:t>
      </w:r>
      <w:r w:rsidR="009D4A98" w:rsidRPr="002128A6">
        <w:rPr>
          <w:rFonts w:ascii="Garamond" w:hAnsi="Garamond" w:cstheme="majorBidi"/>
          <w:kern w:val="0"/>
          <w14:ligatures w14:val="none"/>
        </w:rPr>
        <w:t>n përmes pikave kryesore të hyrjes detare dhe korridoreve të shpërndarjes tokësore.</w:t>
      </w:r>
      <w:r w:rsidR="0060512F" w:rsidRPr="002128A6">
        <w:rPr>
          <w:rFonts w:ascii="Garamond" w:hAnsi="Garamond" w:cstheme="majorBidi"/>
          <w:kern w:val="0"/>
          <w14:ligatures w14:val="none"/>
        </w:rPr>
        <w:t xml:space="preserve"> </w:t>
      </w:r>
      <w:r w:rsidRPr="002128A6">
        <w:rPr>
          <w:rFonts w:ascii="Garamond" w:hAnsi="Garamond" w:cstheme="majorBidi"/>
          <w:kern w:val="0"/>
          <w14:ligatures w14:val="none"/>
        </w:rPr>
        <w:t>Vlerësimet</w:t>
      </w:r>
      <w:r w:rsidR="009D4A98" w:rsidRPr="002128A6">
        <w:rPr>
          <w:rFonts w:ascii="Garamond" w:hAnsi="Garamond" w:cstheme="majorBidi"/>
          <w:kern w:val="0"/>
          <w14:ligatures w14:val="none"/>
        </w:rPr>
        <w:t xml:space="preserve"> </w:t>
      </w:r>
      <w:r w:rsidRPr="002128A6">
        <w:rPr>
          <w:rFonts w:ascii="Garamond" w:hAnsi="Garamond" w:cstheme="majorBidi"/>
          <w:kern w:val="0"/>
          <w14:ligatures w14:val="none"/>
        </w:rPr>
        <w:t>e</w:t>
      </w:r>
      <w:r w:rsidR="009D4A98" w:rsidRPr="002128A6">
        <w:rPr>
          <w:rFonts w:ascii="Garamond" w:hAnsi="Garamond" w:cstheme="majorBidi"/>
          <w:kern w:val="0"/>
          <w14:ligatures w14:val="none"/>
        </w:rPr>
        <w:t xml:space="preserve"> </w:t>
      </w:r>
      <w:r w:rsidRPr="002128A6">
        <w:rPr>
          <w:rFonts w:ascii="Garamond" w:hAnsi="Garamond" w:cstheme="majorBidi"/>
          <w:kern w:val="0"/>
          <w14:ligatures w14:val="none"/>
        </w:rPr>
        <w:t>kryera</w:t>
      </w:r>
      <w:r w:rsidR="009D4A98" w:rsidRPr="002128A6">
        <w:rPr>
          <w:rFonts w:ascii="Garamond" w:hAnsi="Garamond" w:cstheme="majorBidi"/>
          <w:kern w:val="0"/>
          <w14:ligatures w14:val="none"/>
        </w:rPr>
        <w:t xml:space="preserve"> me metoda që kombino</w:t>
      </w:r>
      <w:r w:rsidRPr="002128A6">
        <w:rPr>
          <w:rFonts w:ascii="Garamond" w:hAnsi="Garamond" w:cstheme="majorBidi"/>
          <w:kern w:val="0"/>
          <w14:ligatures w14:val="none"/>
        </w:rPr>
        <w:t>jnë</w:t>
      </w:r>
      <w:r w:rsidR="009D4A98" w:rsidRPr="002128A6">
        <w:rPr>
          <w:rFonts w:ascii="Garamond" w:hAnsi="Garamond" w:cstheme="majorBidi"/>
          <w:kern w:val="0"/>
          <w14:ligatures w14:val="none"/>
        </w:rPr>
        <w:t xml:space="preserve"> modelet e bazuara në sekuestrime dhe ato të bazuara në konsum</w:t>
      </w:r>
      <w:r w:rsidR="0060512F" w:rsidRPr="002128A6">
        <w:rPr>
          <w:rFonts w:ascii="Garamond" w:hAnsi="Garamond" w:cstheme="majorBidi"/>
          <w:kern w:val="0"/>
          <w14:ligatures w14:val="none"/>
        </w:rPr>
        <w:t>,</w:t>
      </w:r>
      <w:r w:rsidR="009D4A98" w:rsidRPr="002128A6">
        <w:rPr>
          <w:rFonts w:ascii="Garamond" w:hAnsi="Garamond" w:cstheme="majorBidi"/>
          <w:kern w:val="0"/>
          <w14:ligatures w14:val="none"/>
        </w:rPr>
        <w:t xml:space="preserve"> tregon se grupet shqiptare të krimit të organizuar janë të integruara ndjeshëm në tregjet e</w:t>
      </w:r>
      <w:r w:rsidR="00A66D46" w:rsidRPr="002128A6">
        <w:rPr>
          <w:rFonts w:ascii="Garamond" w:hAnsi="Garamond" w:cstheme="majorBidi"/>
          <w:kern w:val="0"/>
          <w14:ligatures w14:val="none"/>
        </w:rPr>
        <w:t>vropian</w:t>
      </w:r>
      <w:r w:rsidR="009D4A98" w:rsidRPr="002128A6">
        <w:rPr>
          <w:rFonts w:ascii="Garamond" w:hAnsi="Garamond" w:cstheme="majorBidi"/>
          <w:kern w:val="0"/>
          <w14:ligatures w14:val="none"/>
        </w:rPr>
        <w:t xml:space="preserve">e të drogës. </w:t>
      </w:r>
    </w:p>
    <w:p w14:paraId="1DD6AB2C" w14:textId="1DC4A55B" w:rsidR="00560E70" w:rsidRPr="002128A6" w:rsidRDefault="009D4A98" w:rsidP="0025426C">
      <w:pPr>
        <w:spacing w:after="0" w:line="240" w:lineRule="auto"/>
        <w:ind w:firstLine="284"/>
        <w:jc w:val="both"/>
        <w:rPr>
          <w:rFonts w:ascii="Garamond" w:hAnsi="Garamond" w:cstheme="majorBidi"/>
          <w:kern w:val="0"/>
          <w14:ligatures w14:val="none"/>
        </w:rPr>
      </w:pPr>
      <w:r w:rsidRPr="002128A6">
        <w:rPr>
          <w:rFonts w:ascii="Garamond" w:hAnsi="Garamond" w:cstheme="majorBidi"/>
          <w:kern w:val="0"/>
          <w14:ligatures w14:val="none"/>
        </w:rPr>
        <w:t xml:space="preserve">Të dhënat operacionale nga Struktura e Posaçme kundër Korrupsionit dhe Krimit të Organizuar (SPAK) konfirmojnë se hetimet e krimit të organizuar mbeten strukturalisht të rëndësishme dhe gjithnjë e më komplekse. </w:t>
      </w:r>
      <w:r w:rsidR="00560E70" w:rsidRPr="002128A6">
        <w:rPr>
          <w:rFonts w:ascii="Garamond" w:hAnsi="Garamond" w:cstheme="majorBidi"/>
          <w:kern w:val="0"/>
          <w14:ligatures w14:val="none"/>
        </w:rPr>
        <w:t>Në vitin 2025 janë regjistruar 74 çështje të krimit të organizuar. Gjithsej, 261 çështje kanë qenë nën hetim, ndërsa 185 persona janë hetuar dhe 183 persona janë dërguar në gjykatë.</w:t>
      </w:r>
    </w:p>
    <w:p w14:paraId="70A4FED0" w14:textId="4292C039" w:rsidR="009D4A98" w:rsidRPr="002128A6" w:rsidRDefault="009D4A98" w:rsidP="0025426C">
      <w:pPr>
        <w:spacing w:after="0" w:line="240" w:lineRule="auto"/>
        <w:ind w:firstLine="284"/>
        <w:jc w:val="both"/>
        <w:rPr>
          <w:rFonts w:ascii="Garamond" w:hAnsi="Garamond" w:cstheme="majorBidi"/>
          <w:kern w:val="0"/>
          <w14:ligatures w14:val="none"/>
        </w:rPr>
      </w:pPr>
      <w:r w:rsidRPr="002128A6">
        <w:rPr>
          <w:rFonts w:ascii="Garamond" w:hAnsi="Garamond" w:cstheme="majorBidi"/>
          <w:kern w:val="0"/>
          <w14:ligatures w14:val="none"/>
        </w:rPr>
        <w:t>Pavarësisht reduktimi</w:t>
      </w:r>
      <w:r w:rsidR="009602EA" w:rsidRPr="002128A6">
        <w:rPr>
          <w:rFonts w:ascii="Garamond" w:hAnsi="Garamond" w:cstheme="majorBidi"/>
          <w:kern w:val="0"/>
          <w14:ligatures w14:val="none"/>
        </w:rPr>
        <w:t>t</w:t>
      </w:r>
      <w:r w:rsidRPr="002128A6">
        <w:rPr>
          <w:rFonts w:ascii="Garamond" w:hAnsi="Garamond" w:cstheme="majorBidi"/>
          <w:kern w:val="0"/>
          <w14:ligatures w14:val="none"/>
        </w:rPr>
        <w:t xml:space="preserve"> </w:t>
      </w:r>
      <w:r w:rsidR="009602EA" w:rsidRPr="002128A6">
        <w:rPr>
          <w:rFonts w:ascii="Garamond" w:hAnsi="Garamond" w:cstheme="majorBidi"/>
          <w:kern w:val="0"/>
          <w14:ligatures w14:val="none"/>
        </w:rPr>
        <w:t>të</w:t>
      </w:r>
      <w:r w:rsidRPr="002128A6">
        <w:rPr>
          <w:rFonts w:ascii="Garamond" w:hAnsi="Garamond" w:cstheme="majorBidi"/>
          <w:kern w:val="0"/>
          <w14:ligatures w14:val="none"/>
        </w:rPr>
        <w:t xml:space="preserve"> çështjeve të reja të regjistruara krahasuar me vitin e mëparshëm, numri i individëve të përfshirë në hetime u rrit, duke treguar një zhvendosje drejt synimit të rrjeteve më të mëdha dhe më komplekse kriminale.</w:t>
      </w:r>
    </w:p>
    <w:p w14:paraId="63599809" w14:textId="47A1164C" w:rsidR="00E7102F" w:rsidRPr="002128A6" w:rsidRDefault="009D4A98" w:rsidP="0025426C">
      <w:pPr>
        <w:spacing w:after="0" w:line="240" w:lineRule="auto"/>
        <w:ind w:firstLine="284"/>
        <w:jc w:val="both"/>
        <w:rPr>
          <w:rFonts w:ascii="Garamond" w:hAnsi="Garamond" w:cstheme="majorBidi"/>
        </w:rPr>
      </w:pPr>
      <w:r w:rsidRPr="002128A6">
        <w:rPr>
          <w:rFonts w:ascii="Garamond" w:hAnsi="Garamond" w:cstheme="majorBidi"/>
          <w:kern w:val="0"/>
          <w14:ligatures w14:val="none"/>
        </w:rPr>
        <w:t>Të dhënat nga Prokuroria e Përgjithshme (2021</w:t>
      </w:r>
      <w:r w:rsidR="0029788D" w:rsidRPr="002128A6">
        <w:rPr>
          <w:rFonts w:ascii="Garamond" w:hAnsi="Garamond" w:cstheme="majorBidi"/>
          <w:kern w:val="0"/>
          <w14:ligatures w14:val="none"/>
        </w:rPr>
        <w:t>–</w:t>
      </w:r>
      <w:r w:rsidRPr="002128A6">
        <w:rPr>
          <w:rFonts w:ascii="Garamond" w:hAnsi="Garamond" w:cstheme="majorBidi"/>
          <w:kern w:val="0"/>
          <w14:ligatures w14:val="none"/>
        </w:rPr>
        <w:t>2024) demonstrojnë më tej shkallën e aktivitetit kriminal të organizuar dhe përdorimin në rritje të teknikave proaktive të hetimit. Në vitin 2024</w:t>
      </w:r>
      <w:r w:rsidR="00560E70" w:rsidRPr="002128A6">
        <w:rPr>
          <w:rFonts w:ascii="Garamond" w:hAnsi="Garamond" w:cstheme="majorBidi"/>
          <w:kern w:val="0"/>
          <w14:ligatures w14:val="none"/>
        </w:rPr>
        <w:t xml:space="preserve"> janë nisur 155 procedime penale, janë zhvilluar 405 hetime proaktive dhe janë regjistruar 354 arrestime ose ndalime.</w:t>
      </w:r>
      <w:r w:rsidR="00FB3824" w:rsidRPr="002128A6">
        <w:rPr>
          <w:rFonts w:ascii="Garamond" w:hAnsi="Garamond" w:cstheme="majorBidi"/>
          <w:kern w:val="0"/>
          <w14:ligatures w14:val="none"/>
        </w:rPr>
        <w:t xml:space="preserve"> </w:t>
      </w:r>
      <w:r w:rsidR="00E7102F" w:rsidRPr="002128A6">
        <w:rPr>
          <w:rFonts w:ascii="Garamond" w:hAnsi="Garamond" w:cstheme="majorBidi"/>
        </w:rPr>
        <w:t>Për</w:t>
      </w:r>
      <w:r w:rsidR="0029788D" w:rsidRPr="002128A6">
        <w:rPr>
          <w:rFonts w:ascii="Garamond" w:hAnsi="Garamond" w:cstheme="majorBidi"/>
        </w:rPr>
        <w:t xml:space="preserve"> </w:t>
      </w:r>
      <w:r w:rsidR="00E7102F" w:rsidRPr="002128A6">
        <w:rPr>
          <w:rFonts w:ascii="Garamond" w:hAnsi="Garamond" w:cstheme="majorBidi"/>
        </w:rPr>
        <w:t xml:space="preserve">sa i përket </w:t>
      </w:r>
      <w:r w:rsidR="00E7102F" w:rsidRPr="002128A6">
        <w:rPr>
          <w:rFonts w:ascii="Garamond" w:hAnsi="Garamond" w:cstheme="majorBidi"/>
          <w:b/>
          <w:bCs/>
        </w:rPr>
        <w:t>trafikimit të lëndëve narkotike</w:t>
      </w:r>
      <w:r w:rsidR="00E7102F" w:rsidRPr="002128A6">
        <w:rPr>
          <w:rFonts w:ascii="Garamond" w:hAnsi="Garamond" w:cstheme="majorBidi"/>
        </w:rPr>
        <w:t xml:space="preserve">, me përjashtim të </w:t>
      </w:r>
      <w:r w:rsidR="00E7102F" w:rsidRPr="002128A6">
        <w:rPr>
          <w:rFonts w:ascii="Garamond" w:hAnsi="Garamond" w:cstheme="majorBidi"/>
          <w:i/>
          <w:iCs/>
        </w:rPr>
        <w:t xml:space="preserve">kanabisit, </w:t>
      </w:r>
      <w:r w:rsidR="00E7102F" w:rsidRPr="002128A6">
        <w:rPr>
          <w:rFonts w:ascii="Garamond" w:hAnsi="Garamond" w:cstheme="majorBidi"/>
        </w:rPr>
        <w:t xml:space="preserve">ku Shqipëria është vendi i origjinës, vendi ynë shfaqet si vend transiti në kategoritë e tjera të lëndëve narkotike, si heroina dhe kokaina. Sasitë e lëndëve narkotike të destinuara për tregun e brendshëm janë të vogla dhe shumica kalohet transit përmes territorit shqiptar, me destinacion vendet e BE-së. Vitet e fundit është zgjeruar aktiviteti i trafikimit të kokainës, e prodhuar në vendet e Amerikës së Jugut (Kolumbi, Ekuador dhe Brazil), e transportuar me rruga detare në Portin e Durrësit dhe duke vazhduar më pas drejt vendeve të Bashkimit Evropian. Grupet kriminale shqiptare vazhdojnë të jenë kryesisht aktive në trafikimin e kokainës dhe kanabisit. Këto grupe janë aktive në disa shtete të Bashkimit Evropian (BE), kryesisht në Itali, Spanjë, Belgjikë, Holandë, Francë, Gjermani, si dhe në vende të tjera si Norvegji, Zvicër dhe Mbretëria e Bashkuar (MB). Këto konstatime përputhen edhe me konstatimet e raportit të Europolit për vitin 2024. Siç theksohet në raportin vjetor të SPAK-ut të vitit 2023, grupet kriminale shqiptare kanë arritur tashmë të sigurojnë blerjen e kokainës në vendet e prodhimit në Amerikën Latine. Kokaina porositet kryesisht në sasi të konsiderueshme në Bolivi, Meksikë, Peru, Ekuador dhe Paraguai. Shtetas shqiptarë, pjesëtarë të grupeve kriminale shqiptare, që banojnë në Brazil, Paraguai, Ekuador dhe Surinam, në disa raste në role drejtuese brenda grupit kriminal ose në raste të tjera në role dytësore (kryesisht koordinuese), ndjekin të gjithë procesin e transferimit të ngarkesës nga vendi i origjinës deri në destinacion. </w:t>
      </w:r>
    </w:p>
    <w:p w14:paraId="0E6822E9" w14:textId="141B6F5A" w:rsidR="009D4A98" w:rsidRPr="002128A6" w:rsidRDefault="009D4A98" w:rsidP="0025426C">
      <w:pPr>
        <w:spacing w:after="0" w:line="240" w:lineRule="auto"/>
        <w:ind w:firstLine="284"/>
        <w:jc w:val="both"/>
        <w:rPr>
          <w:rFonts w:ascii="Garamond" w:hAnsi="Garamond" w:cstheme="majorBidi"/>
          <w:kern w:val="0"/>
          <w14:ligatures w14:val="none"/>
        </w:rPr>
      </w:pPr>
      <w:r w:rsidRPr="002128A6">
        <w:rPr>
          <w:rFonts w:ascii="Garamond" w:hAnsi="Garamond" w:cstheme="majorBidi"/>
          <w:kern w:val="0"/>
          <w14:ligatures w14:val="none"/>
        </w:rPr>
        <w:t xml:space="preserve">Këta </w:t>
      </w:r>
      <w:r w:rsidR="00FB3824" w:rsidRPr="002128A6">
        <w:rPr>
          <w:rFonts w:ascii="Garamond" w:hAnsi="Garamond" w:cstheme="majorBidi"/>
          <w:kern w:val="0"/>
          <w14:ligatures w14:val="none"/>
        </w:rPr>
        <w:t>tregues</w:t>
      </w:r>
      <w:r w:rsidRPr="002128A6">
        <w:rPr>
          <w:rFonts w:ascii="Garamond" w:hAnsi="Garamond" w:cstheme="majorBidi"/>
          <w:kern w:val="0"/>
          <w14:ligatures w14:val="none"/>
        </w:rPr>
        <w:t xml:space="preserve"> pasqyrojnë një fokus të rritur institucional në </w:t>
      </w:r>
      <w:r w:rsidR="00300542" w:rsidRPr="002128A6">
        <w:rPr>
          <w:rFonts w:ascii="Garamond" w:hAnsi="Garamond" w:cstheme="majorBidi"/>
          <w:kern w:val="0"/>
          <w14:ligatures w14:val="none"/>
        </w:rPr>
        <w:t>goditjen</w:t>
      </w:r>
      <w:r w:rsidRPr="002128A6">
        <w:rPr>
          <w:rFonts w:ascii="Garamond" w:hAnsi="Garamond" w:cstheme="majorBidi"/>
          <w:kern w:val="0"/>
          <w14:ligatures w14:val="none"/>
        </w:rPr>
        <w:t xml:space="preserve"> e rrjeteve të strukturuara kriminale në vend të adresimit të akteve kriminale të izoluara.</w:t>
      </w:r>
    </w:p>
    <w:p w14:paraId="0B10D9CE" w14:textId="29785083" w:rsidR="003B501C" w:rsidRPr="002128A6" w:rsidRDefault="0011403B" w:rsidP="0025426C">
      <w:pPr>
        <w:spacing w:after="0" w:line="240" w:lineRule="auto"/>
        <w:ind w:firstLine="284"/>
        <w:jc w:val="both"/>
        <w:rPr>
          <w:rFonts w:ascii="Garamond" w:hAnsi="Garamond" w:cstheme="majorBidi"/>
          <w:strike/>
          <w:kern w:val="0"/>
          <w14:ligatures w14:val="none"/>
        </w:rPr>
      </w:pPr>
      <w:r w:rsidRPr="002128A6">
        <w:rPr>
          <w:rFonts w:ascii="Garamond" w:hAnsi="Garamond" w:cstheme="majorBidi"/>
          <w:kern w:val="0"/>
          <w14:ligatures w14:val="none"/>
        </w:rPr>
        <w:t>Të dhënat e inteligjencës financiare eviden</w:t>
      </w:r>
      <w:r w:rsidR="005D07D3" w:rsidRPr="002128A6">
        <w:rPr>
          <w:rFonts w:ascii="Garamond" w:hAnsi="Garamond" w:cstheme="majorBidi"/>
          <w:kern w:val="0"/>
          <w14:ligatures w14:val="none"/>
        </w:rPr>
        <w:t>t</w:t>
      </w:r>
      <w:r w:rsidRPr="002128A6">
        <w:rPr>
          <w:rFonts w:ascii="Garamond" w:hAnsi="Garamond" w:cstheme="majorBidi"/>
          <w:kern w:val="0"/>
          <w14:ligatures w14:val="none"/>
        </w:rPr>
        <w:t>ojnë përmasën dhe natyrën sistemike të rreziqeve që lidhen me krimin financiar dhe pastrimin e produkteve të veprës penale. Gjatë periudhës 2019–2025, Agjencia e Inteligjencës Financiare (AIF) ka referuar pranë autoriteteve ligjzbatuese gjithsej 1,911 raste të dyshuara për veprimtari financiare të paligjshme. Nga këto, 307 raste janë dërguar për ndjekje dhe vlerësim pranë prokurorive,</w:t>
      </w:r>
      <w:r w:rsidR="005D07D3" w:rsidRPr="002128A6">
        <w:rPr>
          <w:rFonts w:ascii="Garamond" w:hAnsi="Garamond" w:cstheme="majorBidi"/>
          <w:kern w:val="0"/>
          <w14:ligatures w14:val="none"/>
        </w:rPr>
        <w:t xml:space="preserve"> 252 raste Drejtorisë së Përgjithshme të Tatimeve</w:t>
      </w:r>
      <w:r w:rsidRPr="002128A6">
        <w:rPr>
          <w:rFonts w:ascii="Garamond" w:hAnsi="Garamond" w:cstheme="majorBidi"/>
          <w:kern w:val="0"/>
          <w14:ligatures w14:val="none"/>
        </w:rPr>
        <w:t xml:space="preserve"> ndërsa 1,352 raste janë referuar pranë Policisë së Shtetit për veprime të mëtejshme operative dhe hetimore.</w:t>
      </w:r>
    </w:p>
    <w:p w14:paraId="74B8B2D4" w14:textId="13A32DAD" w:rsidR="009D4A98" w:rsidRPr="002128A6" w:rsidRDefault="00FB3824" w:rsidP="0025426C">
      <w:pPr>
        <w:spacing w:after="0" w:line="240" w:lineRule="auto"/>
        <w:ind w:firstLine="284"/>
        <w:jc w:val="both"/>
        <w:rPr>
          <w:rFonts w:ascii="Garamond" w:hAnsi="Garamond" w:cstheme="majorBidi"/>
          <w:kern w:val="0"/>
          <w14:ligatures w14:val="none"/>
        </w:rPr>
      </w:pPr>
      <w:r w:rsidRPr="002128A6">
        <w:rPr>
          <w:rFonts w:ascii="Garamond" w:hAnsi="Garamond" w:cstheme="majorBidi"/>
          <w:kern w:val="0"/>
          <w14:ligatures w14:val="none"/>
        </w:rPr>
        <w:lastRenderedPageBreak/>
        <w:t>Treguesit</w:t>
      </w:r>
      <w:r w:rsidR="009D4A98" w:rsidRPr="002128A6">
        <w:rPr>
          <w:rFonts w:ascii="Garamond" w:hAnsi="Garamond" w:cstheme="majorBidi"/>
          <w:kern w:val="0"/>
          <w14:ligatures w14:val="none"/>
        </w:rPr>
        <w:t xml:space="preserve"> e rikuperimit të aseteve ilustrojnë më tej shkallën financiare të krimit të organizuar. Në vitin 2025, afërsisht </w:t>
      </w:r>
      <w:r w:rsidR="009D4A98" w:rsidRPr="002128A6">
        <w:rPr>
          <w:rFonts w:ascii="Garamond" w:hAnsi="Garamond" w:cstheme="majorBidi"/>
          <w:b/>
          <w:bCs/>
          <w:kern w:val="0"/>
          <w14:ligatures w14:val="none"/>
        </w:rPr>
        <w:t>45</w:t>
      </w:r>
      <w:r w:rsidR="003B501C" w:rsidRPr="002128A6">
        <w:rPr>
          <w:rFonts w:ascii="Garamond" w:hAnsi="Garamond" w:cstheme="majorBidi"/>
          <w:b/>
          <w:bCs/>
          <w:kern w:val="0"/>
          <w14:ligatures w14:val="none"/>
        </w:rPr>
        <w:t>.</w:t>
      </w:r>
      <w:r w:rsidR="009D4A98" w:rsidRPr="002128A6">
        <w:rPr>
          <w:rFonts w:ascii="Garamond" w:hAnsi="Garamond" w:cstheme="majorBidi"/>
          <w:b/>
          <w:bCs/>
          <w:kern w:val="0"/>
          <w14:ligatures w14:val="none"/>
        </w:rPr>
        <w:t xml:space="preserve">4 </w:t>
      </w:r>
      <w:r w:rsidR="003B501C" w:rsidRPr="002128A6">
        <w:rPr>
          <w:rFonts w:ascii="Garamond" w:hAnsi="Garamond" w:cstheme="majorBidi"/>
          <w:b/>
          <w:bCs/>
          <w:kern w:val="0"/>
          <w14:ligatures w14:val="none"/>
        </w:rPr>
        <w:t>milion</w:t>
      </w:r>
      <w:r w:rsidR="004C3450" w:rsidRPr="002128A6">
        <w:rPr>
          <w:rFonts w:ascii="Garamond" w:hAnsi="Garamond" w:cstheme="majorBidi"/>
          <w:b/>
          <w:bCs/>
          <w:kern w:val="0"/>
          <w14:ligatures w14:val="none"/>
        </w:rPr>
        <w:t>ë</w:t>
      </w:r>
      <w:r w:rsidR="003B501C" w:rsidRPr="002128A6">
        <w:rPr>
          <w:rFonts w:ascii="Garamond" w:hAnsi="Garamond" w:cstheme="majorBidi"/>
          <w:b/>
          <w:bCs/>
          <w:kern w:val="0"/>
          <w14:ligatures w14:val="none"/>
        </w:rPr>
        <w:t xml:space="preserve"> euro</w:t>
      </w:r>
      <w:r w:rsidR="009D4A98" w:rsidRPr="002128A6">
        <w:rPr>
          <w:rFonts w:ascii="Garamond" w:hAnsi="Garamond" w:cstheme="majorBidi"/>
          <w:kern w:val="0"/>
          <w14:ligatures w14:val="none"/>
        </w:rPr>
        <w:t xml:space="preserve"> në asete kriminale u sekuestruan ose konfiskuan, përfshirë </w:t>
      </w:r>
      <w:r w:rsidR="009D4A98" w:rsidRPr="002128A6">
        <w:rPr>
          <w:rFonts w:ascii="Garamond" w:hAnsi="Garamond" w:cstheme="majorBidi"/>
          <w:b/>
          <w:bCs/>
          <w:kern w:val="0"/>
          <w14:ligatures w14:val="none"/>
        </w:rPr>
        <w:t>12</w:t>
      </w:r>
      <w:r w:rsidR="003B501C" w:rsidRPr="002128A6">
        <w:rPr>
          <w:rFonts w:ascii="Garamond" w:hAnsi="Garamond" w:cstheme="majorBidi"/>
          <w:b/>
          <w:bCs/>
          <w:kern w:val="0"/>
          <w14:ligatures w14:val="none"/>
        </w:rPr>
        <w:t>.</w:t>
      </w:r>
      <w:r w:rsidR="009D4A98" w:rsidRPr="002128A6">
        <w:rPr>
          <w:rFonts w:ascii="Garamond" w:hAnsi="Garamond" w:cstheme="majorBidi"/>
          <w:b/>
          <w:bCs/>
          <w:kern w:val="0"/>
          <w14:ligatures w14:val="none"/>
        </w:rPr>
        <w:t xml:space="preserve">4 </w:t>
      </w:r>
      <w:r w:rsidR="003B501C" w:rsidRPr="002128A6">
        <w:rPr>
          <w:rFonts w:ascii="Garamond" w:hAnsi="Garamond" w:cstheme="majorBidi"/>
          <w:b/>
          <w:bCs/>
          <w:kern w:val="0"/>
          <w14:ligatures w14:val="none"/>
        </w:rPr>
        <w:t>milion</w:t>
      </w:r>
      <w:r w:rsidR="004C3450" w:rsidRPr="002128A6">
        <w:rPr>
          <w:rFonts w:ascii="Garamond" w:hAnsi="Garamond" w:cstheme="majorBidi"/>
          <w:b/>
          <w:bCs/>
          <w:kern w:val="0"/>
          <w14:ligatures w14:val="none"/>
        </w:rPr>
        <w:t>ë</w:t>
      </w:r>
      <w:r w:rsidR="003B501C" w:rsidRPr="002128A6">
        <w:rPr>
          <w:rFonts w:ascii="Garamond" w:hAnsi="Garamond" w:cstheme="majorBidi"/>
          <w:b/>
          <w:bCs/>
          <w:kern w:val="0"/>
          <w14:ligatures w14:val="none"/>
        </w:rPr>
        <w:t xml:space="preserve"> euro</w:t>
      </w:r>
      <w:r w:rsidR="009D4A98" w:rsidRPr="002128A6">
        <w:rPr>
          <w:rFonts w:ascii="Garamond" w:hAnsi="Garamond" w:cstheme="majorBidi"/>
          <w:b/>
          <w:bCs/>
          <w:kern w:val="0"/>
          <w14:ligatures w14:val="none"/>
        </w:rPr>
        <w:t xml:space="preserve"> në asete kriptovalutash</w:t>
      </w:r>
      <w:r w:rsidR="009D4A98" w:rsidRPr="002128A6">
        <w:rPr>
          <w:rFonts w:ascii="Garamond" w:hAnsi="Garamond" w:cstheme="majorBidi"/>
          <w:kern w:val="0"/>
          <w14:ligatures w14:val="none"/>
        </w:rPr>
        <w:t>.</w:t>
      </w:r>
    </w:p>
    <w:p w14:paraId="706D889B" w14:textId="615D1F5D" w:rsidR="009D4A98" w:rsidRPr="002128A6" w:rsidRDefault="009D4A98" w:rsidP="0025426C">
      <w:pPr>
        <w:spacing w:after="0" w:line="240" w:lineRule="auto"/>
        <w:ind w:firstLine="284"/>
        <w:jc w:val="both"/>
        <w:rPr>
          <w:rFonts w:ascii="Garamond" w:hAnsi="Garamond" w:cstheme="majorBidi"/>
          <w:kern w:val="0"/>
          <w14:ligatures w14:val="none"/>
        </w:rPr>
      </w:pPr>
      <w:r w:rsidRPr="002128A6">
        <w:rPr>
          <w:rFonts w:ascii="Garamond" w:hAnsi="Garamond" w:cstheme="majorBidi"/>
          <w:kern w:val="0"/>
          <w14:ligatures w14:val="none"/>
        </w:rPr>
        <w:t xml:space="preserve">Të dhënat nga Agjencia për Administrimin e Pasurive të Sekuestruara dhe të Konfiskuara (AAPSK) tregojnë se menaxhimi i aseteve është bërë një komponent gjithnjë e më i rëndësishëm i përgjigjes së Shqipërisë ndaj krimit të organizuar. </w:t>
      </w:r>
    </w:p>
    <w:p w14:paraId="351E8F7B" w14:textId="7F58A4D6" w:rsidR="009D4A98" w:rsidRPr="002128A6" w:rsidRDefault="009D4A98" w:rsidP="0025426C">
      <w:pPr>
        <w:spacing w:after="0" w:line="240" w:lineRule="auto"/>
        <w:ind w:firstLine="284"/>
        <w:jc w:val="both"/>
        <w:rPr>
          <w:rFonts w:ascii="Garamond" w:hAnsi="Garamond" w:cstheme="majorBidi"/>
          <w:kern w:val="0"/>
          <w14:ligatures w14:val="none"/>
        </w:rPr>
      </w:pPr>
      <w:r w:rsidRPr="002128A6">
        <w:rPr>
          <w:rFonts w:ascii="Garamond" w:hAnsi="Garamond" w:cstheme="majorBidi"/>
          <w:kern w:val="0"/>
          <w14:ligatures w14:val="none"/>
        </w:rPr>
        <w:t xml:space="preserve">Megjithatë, sfidat strukturore mbeten, përfshirë përgjegjësitë e fragmentuara institucionale, kostot e mirëmbajtjes së aseteve, kufizimet e regjistrimit ligjor dhe kapacitetin e kufizuar për të menaxhuar asete komplekse si bizneset dhe instrumentet financiare </w:t>
      </w:r>
      <w:r w:rsidR="00F54824" w:rsidRPr="002128A6">
        <w:rPr>
          <w:rFonts w:ascii="Garamond" w:hAnsi="Garamond" w:cstheme="majorBidi"/>
          <w:kern w:val="0"/>
          <w14:ligatures w14:val="none"/>
        </w:rPr>
        <w:t>digjital</w:t>
      </w:r>
      <w:r w:rsidRPr="002128A6">
        <w:rPr>
          <w:rFonts w:ascii="Garamond" w:hAnsi="Garamond" w:cstheme="majorBidi"/>
          <w:kern w:val="0"/>
          <w14:ligatures w14:val="none"/>
        </w:rPr>
        <w:t>e.</w:t>
      </w:r>
    </w:p>
    <w:p w14:paraId="3A04A53E" w14:textId="7F0F9C01" w:rsidR="009D4A98" w:rsidRPr="002128A6" w:rsidRDefault="009D4A98"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Në </w:t>
      </w:r>
      <w:r w:rsidR="00314950" w:rsidRPr="002128A6">
        <w:rPr>
          <w:rFonts w:ascii="Garamond" w:eastAsia="Aptos" w:hAnsi="Garamond" w:cstheme="majorBidi"/>
        </w:rPr>
        <w:t>t</w:t>
      </w:r>
      <w:r w:rsidRPr="002128A6">
        <w:rPr>
          <w:rFonts w:ascii="Garamond" w:eastAsia="Aptos" w:hAnsi="Garamond" w:cstheme="majorBidi"/>
        </w:rPr>
        <w:t xml:space="preserve">ërësi, këta </w:t>
      </w:r>
      <w:r w:rsidR="00F23C74" w:rsidRPr="002128A6">
        <w:rPr>
          <w:rFonts w:ascii="Garamond" w:eastAsia="Aptos" w:hAnsi="Garamond" w:cstheme="majorBidi"/>
        </w:rPr>
        <w:t>tregues</w:t>
      </w:r>
      <w:r w:rsidRPr="002128A6">
        <w:rPr>
          <w:rFonts w:ascii="Garamond" w:eastAsia="Aptos" w:hAnsi="Garamond" w:cstheme="majorBidi"/>
        </w:rPr>
        <w:t xml:space="preserve"> konfirmojnë se krimi i organizuar që prek Shqipërinë vepron si pjesë e një ekosistemi më të gjerë kriminal transnacional, duke kombinuar rrjetet e trafikimit të drogës, infrastrukturat financiare, rreziqet e korrupsionit dhe mekanizmat komplekse të pastrimit të parave.</w:t>
      </w:r>
    </w:p>
    <w:p w14:paraId="28BBDAFB" w14:textId="77777777" w:rsidR="00463DE6" w:rsidRPr="002128A6" w:rsidRDefault="002F03DB" w:rsidP="0025426C">
      <w:pPr>
        <w:spacing w:after="0" w:line="240" w:lineRule="auto"/>
        <w:ind w:firstLine="284"/>
        <w:jc w:val="both"/>
        <w:rPr>
          <w:rFonts w:ascii="Garamond" w:hAnsi="Garamond" w:cstheme="majorBidi"/>
        </w:rPr>
      </w:pPr>
      <w:r w:rsidRPr="002128A6">
        <w:rPr>
          <w:rFonts w:ascii="Garamond" w:eastAsia="Aptos" w:hAnsi="Garamond" w:cstheme="majorBidi"/>
        </w:rPr>
        <w:t xml:space="preserve">Analiza identifikon disa tregje kriminale </w:t>
      </w:r>
      <w:r w:rsidR="00463DE6" w:rsidRPr="002128A6">
        <w:rPr>
          <w:rFonts w:ascii="Garamond" w:eastAsia="Aptos" w:hAnsi="Garamond" w:cstheme="majorBidi"/>
        </w:rPr>
        <w:t>që paraqesin</w:t>
      </w:r>
      <w:r w:rsidRPr="002128A6">
        <w:rPr>
          <w:rFonts w:ascii="Garamond" w:eastAsia="Aptos" w:hAnsi="Garamond" w:cstheme="majorBidi"/>
          <w:b/>
          <w:bCs/>
        </w:rPr>
        <w:t xml:space="preserve"> kërcënime</w:t>
      </w:r>
      <w:r w:rsidR="00463DE6" w:rsidRPr="002128A6">
        <w:rPr>
          <w:rFonts w:ascii="Garamond" w:eastAsia="Aptos" w:hAnsi="Garamond" w:cstheme="majorBidi"/>
          <w:b/>
          <w:bCs/>
        </w:rPr>
        <w:t>t</w:t>
      </w:r>
      <w:r w:rsidRPr="002128A6">
        <w:rPr>
          <w:rFonts w:ascii="Garamond" w:eastAsia="Aptos" w:hAnsi="Garamond" w:cstheme="majorBidi"/>
          <w:b/>
          <w:bCs/>
        </w:rPr>
        <w:t xml:space="preserve"> më të rëndësishme</w:t>
      </w:r>
      <w:r w:rsidR="009D4A98" w:rsidRPr="002128A6">
        <w:rPr>
          <w:rFonts w:ascii="Garamond" w:hAnsi="Garamond" w:cstheme="majorBidi"/>
          <w:b/>
          <w:bCs/>
        </w:rPr>
        <w:t xml:space="preserve"> </w:t>
      </w:r>
      <w:r w:rsidR="009D4A98" w:rsidRPr="002128A6">
        <w:rPr>
          <w:rFonts w:ascii="Garamond" w:hAnsi="Garamond" w:cstheme="majorBidi"/>
        </w:rPr>
        <w:t>për Shqipërinë dhe partnerët e saj ndërkombëtarë.</w:t>
      </w:r>
    </w:p>
    <w:p w14:paraId="04A92075" w14:textId="59D6142D" w:rsidR="009D4A98" w:rsidRPr="002128A6" w:rsidRDefault="009D4A98" w:rsidP="0025426C">
      <w:pPr>
        <w:spacing w:after="0" w:line="240" w:lineRule="auto"/>
        <w:ind w:firstLine="284"/>
        <w:jc w:val="both"/>
        <w:rPr>
          <w:rFonts w:ascii="Garamond" w:hAnsi="Garamond" w:cstheme="majorBidi"/>
        </w:rPr>
      </w:pPr>
      <w:r w:rsidRPr="002128A6">
        <w:rPr>
          <w:rFonts w:ascii="Garamond" w:hAnsi="Garamond" w:cstheme="majorBidi"/>
          <w:b/>
          <w:bCs/>
        </w:rPr>
        <w:t xml:space="preserve">Grupet </w:t>
      </w:r>
      <w:r w:rsidR="00463DE6" w:rsidRPr="002128A6">
        <w:rPr>
          <w:rFonts w:ascii="Garamond" w:hAnsi="Garamond" w:cstheme="majorBidi"/>
          <w:b/>
          <w:bCs/>
        </w:rPr>
        <w:t xml:space="preserve">e </w:t>
      </w:r>
      <w:r w:rsidRPr="002128A6">
        <w:rPr>
          <w:rFonts w:ascii="Garamond" w:hAnsi="Garamond" w:cstheme="majorBidi"/>
          <w:b/>
          <w:bCs/>
        </w:rPr>
        <w:t>strukturuara</w:t>
      </w:r>
      <w:r w:rsidR="00463DE6" w:rsidRPr="002128A6">
        <w:rPr>
          <w:rFonts w:ascii="Garamond" w:hAnsi="Garamond" w:cstheme="majorBidi"/>
          <w:b/>
          <w:bCs/>
        </w:rPr>
        <w:t xml:space="preserve"> kriminale</w:t>
      </w:r>
      <w:r w:rsidRPr="002128A6">
        <w:rPr>
          <w:rFonts w:ascii="Garamond" w:hAnsi="Garamond" w:cstheme="majorBidi"/>
          <w:b/>
          <w:bCs/>
        </w:rPr>
        <w:t xml:space="preserve"> </w:t>
      </w:r>
      <w:r w:rsidRPr="002128A6">
        <w:rPr>
          <w:rFonts w:ascii="Garamond" w:hAnsi="Garamond" w:cstheme="majorBidi"/>
        </w:rPr>
        <w:t>përfaqësojnë kornizën organizative bazë të krimit të organizuar</w:t>
      </w:r>
      <w:r w:rsidR="00463DE6" w:rsidRPr="002128A6">
        <w:rPr>
          <w:rFonts w:ascii="Garamond" w:hAnsi="Garamond" w:cstheme="majorBidi"/>
        </w:rPr>
        <w:t xml:space="preserve"> dhe</w:t>
      </w:r>
      <w:r w:rsidRPr="002128A6">
        <w:rPr>
          <w:rFonts w:ascii="Garamond" w:hAnsi="Garamond" w:cstheme="majorBidi"/>
        </w:rPr>
        <w:t xml:space="preserve"> përbëjnë </w:t>
      </w:r>
      <w:r w:rsidRPr="002128A6">
        <w:rPr>
          <w:rFonts w:ascii="Garamond" w:hAnsi="Garamond" w:cstheme="majorBidi"/>
          <w:b/>
          <w:bCs/>
        </w:rPr>
        <w:t>54% të rasteve të krimit të rëndë të organizuar</w:t>
      </w:r>
      <w:r w:rsidR="00F54824" w:rsidRPr="002128A6">
        <w:rPr>
          <w:rFonts w:ascii="Garamond" w:hAnsi="Garamond" w:cstheme="majorBidi"/>
          <w:b/>
          <w:bCs/>
        </w:rPr>
        <w:t xml:space="preserve"> </w:t>
      </w:r>
      <w:r w:rsidRPr="002128A6">
        <w:rPr>
          <w:rFonts w:ascii="Garamond" w:hAnsi="Garamond" w:cstheme="majorBidi"/>
        </w:rPr>
        <w:t xml:space="preserve">në profilin e </w:t>
      </w:r>
      <w:r w:rsidR="00F23C74" w:rsidRPr="002128A6">
        <w:rPr>
          <w:rFonts w:ascii="Garamond" w:hAnsi="Garamond" w:cstheme="majorBidi"/>
        </w:rPr>
        <w:t xml:space="preserve">rrezikut </w:t>
      </w:r>
      <w:r w:rsidRPr="002128A6">
        <w:rPr>
          <w:rFonts w:ascii="Garamond" w:hAnsi="Garamond" w:cstheme="majorBidi"/>
        </w:rPr>
        <w:t>të SPAK</w:t>
      </w:r>
      <w:r w:rsidR="00463DE6" w:rsidRPr="002128A6">
        <w:rPr>
          <w:rFonts w:ascii="Garamond" w:hAnsi="Garamond" w:cstheme="majorBidi"/>
        </w:rPr>
        <w:t>-ut</w:t>
      </w:r>
      <w:r w:rsidRPr="002128A6">
        <w:rPr>
          <w:rFonts w:ascii="Garamond" w:hAnsi="Garamond" w:cstheme="majorBidi"/>
        </w:rPr>
        <w:t xml:space="preserve"> të vitit 2025.</w:t>
      </w:r>
    </w:p>
    <w:p w14:paraId="1F766E95" w14:textId="50C5136E" w:rsidR="00805519" w:rsidRPr="002128A6" w:rsidRDefault="009D4A98"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Këto grupe veprojnë përmes strukturave fleksibël dhe shpesh transnacionale, duke përfshirë qelizat e udhëheqjes dhe koordinimit, rrjetet e menaxhimit financiar</w:t>
      </w:r>
      <w:r w:rsidR="00805519" w:rsidRPr="002128A6">
        <w:rPr>
          <w:rFonts w:ascii="Garamond" w:eastAsia="Aptos" w:hAnsi="Garamond" w:cstheme="majorBidi"/>
        </w:rPr>
        <w:t xml:space="preserve"> dhe</w:t>
      </w:r>
      <w:r w:rsidRPr="002128A6">
        <w:rPr>
          <w:rFonts w:ascii="Garamond" w:eastAsia="Aptos" w:hAnsi="Garamond" w:cstheme="majorBidi"/>
        </w:rPr>
        <w:t xml:space="preserve"> </w:t>
      </w:r>
      <w:r w:rsidR="00752625" w:rsidRPr="002128A6">
        <w:rPr>
          <w:rFonts w:ascii="Garamond" w:eastAsia="Aptos" w:hAnsi="Garamond" w:cstheme="majorBidi"/>
        </w:rPr>
        <w:t xml:space="preserve">mbështetje logjistike. </w:t>
      </w:r>
      <w:r w:rsidRPr="002128A6">
        <w:rPr>
          <w:rFonts w:ascii="Garamond" w:eastAsia="Aptos" w:hAnsi="Garamond" w:cstheme="majorBidi"/>
        </w:rPr>
        <w:t>Në vitin 2025, SPAK</w:t>
      </w:r>
      <w:r w:rsidR="00805519" w:rsidRPr="002128A6">
        <w:rPr>
          <w:rFonts w:ascii="Garamond" w:eastAsia="Aptos" w:hAnsi="Garamond" w:cstheme="majorBidi"/>
        </w:rPr>
        <w:t>-u</w:t>
      </w:r>
      <w:r w:rsidRPr="002128A6">
        <w:rPr>
          <w:rFonts w:ascii="Garamond" w:eastAsia="Aptos" w:hAnsi="Garamond" w:cstheme="majorBidi"/>
        </w:rPr>
        <w:t xml:space="preserve"> mori pjesë në 6 Skuadra të reja të Përbashkëta Hetim</w:t>
      </w:r>
      <w:r w:rsidR="00805519" w:rsidRPr="002128A6">
        <w:rPr>
          <w:rFonts w:ascii="Garamond" w:eastAsia="Aptos" w:hAnsi="Garamond" w:cstheme="majorBidi"/>
        </w:rPr>
        <w:t>ore</w:t>
      </w:r>
      <w:r w:rsidRPr="002128A6">
        <w:rPr>
          <w:rFonts w:ascii="Garamond" w:eastAsia="Aptos" w:hAnsi="Garamond" w:cstheme="majorBidi"/>
        </w:rPr>
        <w:t xml:space="preserve"> dhe mbajti 26 </w:t>
      </w:r>
      <w:r w:rsidR="00DF7B9C" w:rsidRPr="002128A6">
        <w:rPr>
          <w:rFonts w:ascii="Garamond" w:eastAsia="Aptos" w:hAnsi="Garamond" w:cstheme="majorBidi"/>
        </w:rPr>
        <w:t>të tilla</w:t>
      </w:r>
      <w:r w:rsidRPr="002128A6">
        <w:rPr>
          <w:rFonts w:ascii="Garamond" w:eastAsia="Aptos" w:hAnsi="Garamond" w:cstheme="majorBidi"/>
        </w:rPr>
        <w:t xml:space="preserve"> aktive, duke nxjerrë në pah dimensionin ndërkombëtar të këtyre rrjeteve.</w:t>
      </w:r>
    </w:p>
    <w:p w14:paraId="7722200F" w14:textId="7095FC1B" w:rsidR="0006212A" w:rsidRPr="002128A6" w:rsidRDefault="0006212A" w:rsidP="0025426C">
      <w:pPr>
        <w:spacing w:after="0" w:line="240" w:lineRule="auto"/>
        <w:ind w:firstLine="284"/>
        <w:jc w:val="both"/>
        <w:rPr>
          <w:rFonts w:ascii="Garamond" w:eastAsia="Aptos" w:hAnsi="Garamond" w:cstheme="majorBidi"/>
        </w:rPr>
      </w:pPr>
      <w:r w:rsidRPr="002128A6">
        <w:rPr>
          <w:rFonts w:ascii="Garamond" w:eastAsia="Times New Roman" w:hAnsi="Garamond" w:cstheme="majorBidi"/>
          <w:b/>
          <w:bCs/>
        </w:rPr>
        <w:t>Krimi financiar dhe ekonomik</w:t>
      </w:r>
      <w:r w:rsidRPr="002128A6">
        <w:rPr>
          <w:rFonts w:ascii="Garamond" w:eastAsia="Aptos" w:hAnsi="Garamond" w:cstheme="majorBidi"/>
        </w:rPr>
        <w:t xml:space="preserve"> për</w:t>
      </w:r>
      <w:r w:rsidR="00805519" w:rsidRPr="002128A6">
        <w:rPr>
          <w:rFonts w:ascii="Garamond" w:eastAsia="Aptos" w:hAnsi="Garamond" w:cstheme="majorBidi"/>
        </w:rPr>
        <w:t>b</w:t>
      </w:r>
      <w:r w:rsidRPr="002128A6">
        <w:rPr>
          <w:rFonts w:ascii="Garamond" w:eastAsia="Aptos" w:hAnsi="Garamond" w:cstheme="majorBidi"/>
        </w:rPr>
        <w:t>ën një kërcënim qendror dhe në evolu</w:t>
      </w:r>
      <w:r w:rsidR="00805519" w:rsidRPr="002128A6">
        <w:rPr>
          <w:rFonts w:ascii="Garamond" w:eastAsia="Aptos" w:hAnsi="Garamond" w:cstheme="majorBidi"/>
        </w:rPr>
        <w:t>im</w:t>
      </w:r>
      <w:r w:rsidRPr="002128A6">
        <w:rPr>
          <w:rFonts w:ascii="Garamond" w:eastAsia="Aptos" w:hAnsi="Garamond" w:cstheme="majorBidi"/>
        </w:rPr>
        <w:t xml:space="preserve"> për sistemin financiar të Shqipërisë, integritetin ekonomik dhe sundimin e ligjit. Ndërsa</w:t>
      </w:r>
      <w:r w:rsidR="00765012" w:rsidRPr="002128A6">
        <w:rPr>
          <w:rFonts w:ascii="Garamond" w:eastAsia="Aptos" w:hAnsi="Garamond" w:cstheme="majorBidi"/>
        </w:rPr>
        <w:t xml:space="preserve"> </w:t>
      </w:r>
      <w:r w:rsidRPr="002128A6">
        <w:rPr>
          <w:rFonts w:ascii="Garamond" w:eastAsia="Aptos" w:hAnsi="Garamond" w:cstheme="majorBidi"/>
          <w:b/>
          <w:bCs/>
        </w:rPr>
        <w:t>pastrimi i parave</w:t>
      </w:r>
      <w:r w:rsidRPr="002128A6">
        <w:rPr>
          <w:rFonts w:ascii="Garamond" w:eastAsia="Aptos" w:hAnsi="Garamond" w:cstheme="majorBidi"/>
        </w:rPr>
        <w:t xml:space="preserve"> </w:t>
      </w:r>
      <w:r w:rsidRPr="002128A6">
        <w:rPr>
          <w:rFonts w:ascii="Garamond" w:eastAsia="Times New Roman" w:hAnsi="Garamond" w:cstheme="majorBidi"/>
        </w:rPr>
        <w:t xml:space="preserve">mbetet një </w:t>
      </w:r>
      <w:r w:rsidRPr="002128A6">
        <w:rPr>
          <w:rFonts w:ascii="Garamond" w:eastAsia="Aptos" w:hAnsi="Garamond" w:cstheme="majorBidi"/>
        </w:rPr>
        <w:t xml:space="preserve">komponent kyç, ai është pjesë e një spektri më të gjerë aktivitetesh kriminale që përfshin evazionin tatimor, mashtrimin </w:t>
      </w:r>
      <w:r w:rsidRPr="002128A6">
        <w:rPr>
          <w:rFonts w:ascii="Garamond" w:eastAsia="Times New Roman" w:hAnsi="Garamond" w:cstheme="majorBidi"/>
        </w:rPr>
        <w:t>dhe korrupsionin,</w:t>
      </w:r>
      <w:r w:rsidRPr="002128A6">
        <w:rPr>
          <w:rFonts w:ascii="Garamond" w:eastAsia="Aptos" w:hAnsi="Garamond" w:cstheme="majorBidi"/>
        </w:rPr>
        <w:t xml:space="preserve"> keqpërdorimin e strukturave të </w:t>
      </w:r>
      <w:r w:rsidR="00805519" w:rsidRPr="002128A6">
        <w:rPr>
          <w:rFonts w:ascii="Garamond" w:eastAsia="Aptos" w:hAnsi="Garamond" w:cstheme="majorBidi"/>
        </w:rPr>
        <w:t>bizneseve</w:t>
      </w:r>
      <w:r w:rsidRPr="002128A6">
        <w:rPr>
          <w:rFonts w:ascii="Garamond" w:eastAsia="Aptos" w:hAnsi="Garamond" w:cstheme="majorBidi"/>
        </w:rPr>
        <w:t xml:space="preserve"> dhe flukset e paligjshme financiare të lidhura me krimin e organizuar</w:t>
      </w:r>
      <w:r w:rsidRPr="002128A6">
        <w:rPr>
          <w:rFonts w:ascii="Garamond" w:eastAsia="Times New Roman" w:hAnsi="Garamond" w:cstheme="majorBidi"/>
        </w:rPr>
        <w:t>.</w:t>
      </w:r>
      <w:r w:rsidR="00805519" w:rsidRPr="002128A6">
        <w:rPr>
          <w:rFonts w:ascii="Garamond" w:eastAsia="Times New Roman" w:hAnsi="Garamond" w:cstheme="majorBidi"/>
        </w:rPr>
        <w:t xml:space="preserve"> </w:t>
      </w:r>
      <w:r w:rsidRPr="002128A6">
        <w:rPr>
          <w:rFonts w:ascii="Garamond" w:eastAsia="Aptos" w:hAnsi="Garamond" w:cstheme="majorBidi"/>
        </w:rPr>
        <w:t xml:space="preserve">Këto aktivitete janë të ndërlidhura ngushtë dhe së bashku mbajnë rrjetet kriminale, duke u mundësuar atyre të infiltrohen në ekonominë e ligjshme, të shtrembërojnë konkurrencën e tregut dhe të minojnë institucionet publike. Skemat e sofistikuara të krimit financiar shfrytëzojnë cenueshmëritë në sektorët formalë dhe joformalë, me </w:t>
      </w:r>
      <w:r w:rsidR="00765012" w:rsidRPr="002128A6">
        <w:rPr>
          <w:rFonts w:ascii="Garamond" w:eastAsia="Aptos" w:hAnsi="Garamond" w:cstheme="majorBidi"/>
        </w:rPr>
        <w:t>rrezik</w:t>
      </w:r>
      <w:r w:rsidRPr="002128A6">
        <w:rPr>
          <w:rFonts w:ascii="Garamond" w:eastAsia="Aptos" w:hAnsi="Garamond" w:cstheme="majorBidi"/>
        </w:rPr>
        <w:t xml:space="preserve"> të veçantë të identifikuar në sektorin e patundshmërive, ndërtimit, turizmit, dhe shërbimeve telematike. Këta sektorë shpesh shërbejnë si kanale për integrimin e fondeve të paligjshme në ekonominë e ligjshme. Tipologjitë e reja demonstrojnë kompleksitet në rritje, përfshirë</w:t>
      </w:r>
      <w:r w:rsidR="00E77EB7" w:rsidRPr="002128A6">
        <w:rPr>
          <w:rFonts w:ascii="Garamond" w:eastAsia="Aptos" w:hAnsi="Garamond" w:cstheme="majorBidi"/>
        </w:rPr>
        <w:t xml:space="preserve"> shtresimin e fondeve</w:t>
      </w:r>
      <w:r w:rsidRPr="002128A6">
        <w:rPr>
          <w:rFonts w:ascii="Garamond" w:eastAsia="Aptos" w:hAnsi="Garamond" w:cstheme="majorBidi"/>
        </w:rPr>
        <w:t xml:space="preserve"> </w:t>
      </w:r>
      <w:r w:rsidRPr="002128A6">
        <w:rPr>
          <w:rFonts w:ascii="Garamond" w:hAnsi="Garamond" w:cstheme="majorBidi"/>
        </w:rPr>
        <w:t xml:space="preserve">përmes sistemit bankar, transaksioneve ndërkufitare, kontrabandës së parave kesh, pastrimit të parave të bazuar në tregti dhe investimeve në asete me vlerë të lartë. Përdorimi i kompanive guaskë, aktiviteteve fiktive të biznesit dhe rregullimeve ligjore të dizajnuara për të </w:t>
      </w:r>
      <w:r w:rsidR="00FC05A7" w:rsidRPr="002128A6">
        <w:rPr>
          <w:rFonts w:ascii="Garamond" w:hAnsi="Garamond" w:cstheme="majorBidi"/>
        </w:rPr>
        <w:t xml:space="preserve">fshehur </w:t>
      </w:r>
      <w:r w:rsidRPr="002128A6">
        <w:rPr>
          <w:rFonts w:ascii="Garamond" w:hAnsi="Garamond" w:cstheme="majorBidi"/>
        </w:rPr>
        <w:t xml:space="preserve">pronësinë përfituese dhe origjinën e të ardhurave, ndërlikon më tej përpjekjet e zbulimit dhe zbatimit. </w:t>
      </w:r>
      <w:r w:rsidR="00FC05A7" w:rsidRPr="002128A6">
        <w:rPr>
          <w:rFonts w:ascii="Garamond" w:eastAsia="Aptos" w:hAnsi="Garamond" w:cstheme="majorBidi"/>
        </w:rPr>
        <w:t>Në periudhën 2019-2025 AIF ka nxjerrë 52 urdhra të përkohshëm bllokimi në një vlerë prej afërsisht 26 milion</w:t>
      </w:r>
      <w:r w:rsidR="004C3450" w:rsidRPr="002128A6">
        <w:rPr>
          <w:rFonts w:ascii="Garamond" w:eastAsia="Aptos" w:hAnsi="Garamond" w:cstheme="majorBidi"/>
        </w:rPr>
        <w:t>ë</w:t>
      </w:r>
      <w:r w:rsidR="00FC05A7" w:rsidRPr="002128A6">
        <w:rPr>
          <w:rFonts w:ascii="Garamond" w:eastAsia="Aptos" w:hAnsi="Garamond" w:cstheme="majorBidi"/>
        </w:rPr>
        <w:t xml:space="preserve"> euro</w:t>
      </w:r>
      <w:r w:rsidR="004C3450" w:rsidRPr="002128A6">
        <w:rPr>
          <w:rFonts w:ascii="Garamond" w:eastAsia="Aptos" w:hAnsi="Garamond" w:cstheme="majorBidi"/>
        </w:rPr>
        <w:t>sh,</w:t>
      </w:r>
      <w:r w:rsidR="00FC05A7" w:rsidRPr="002128A6">
        <w:rPr>
          <w:rFonts w:ascii="Garamond" w:eastAsia="Aptos" w:hAnsi="Garamond" w:cstheme="majorBidi"/>
        </w:rPr>
        <w:t xml:space="preserve"> prej të cilave mesatarisht 91% janë sekuestruar me vendim të Prokurorisë apo Gjykatës. </w:t>
      </w:r>
      <w:r w:rsidRPr="002128A6">
        <w:rPr>
          <w:rFonts w:ascii="Garamond" w:eastAsia="Aptos" w:hAnsi="Garamond" w:cstheme="majorBidi"/>
        </w:rPr>
        <w:t>SPAK</w:t>
      </w:r>
      <w:r w:rsidR="00805519" w:rsidRPr="002128A6">
        <w:rPr>
          <w:rFonts w:ascii="Garamond" w:eastAsia="Aptos" w:hAnsi="Garamond" w:cstheme="majorBidi"/>
        </w:rPr>
        <w:t>-u</w:t>
      </w:r>
      <w:r w:rsidRPr="002128A6">
        <w:rPr>
          <w:rFonts w:ascii="Garamond" w:eastAsia="Aptos" w:hAnsi="Garamond" w:cstheme="majorBidi"/>
        </w:rPr>
        <w:t xml:space="preserve"> regjistroi 32 procedime për pastrim parash në vitin 2025, duke konfirmuar rolin qendror të krimit financiar.</w:t>
      </w:r>
    </w:p>
    <w:p w14:paraId="1DF05722" w14:textId="2421EACE" w:rsidR="002F03DB" w:rsidRPr="002128A6" w:rsidRDefault="0006212A"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 xml:space="preserve">Sektori i shërbimeve telematike, përfshirë </w:t>
      </w:r>
      <w:r w:rsidRPr="002128A6">
        <w:rPr>
          <w:rFonts w:ascii="Garamond" w:eastAsia="Times New Roman" w:hAnsi="Garamond" w:cstheme="majorBidi"/>
          <w:i/>
          <w:iCs/>
        </w:rPr>
        <w:t>call cent</w:t>
      </w:r>
      <w:r w:rsidR="00805519" w:rsidRPr="002128A6">
        <w:rPr>
          <w:rFonts w:ascii="Garamond" w:eastAsia="Times New Roman" w:hAnsi="Garamond" w:cstheme="majorBidi"/>
          <w:i/>
          <w:iCs/>
        </w:rPr>
        <w:t>e</w:t>
      </w:r>
      <w:r w:rsidRPr="002128A6">
        <w:rPr>
          <w:rFonts w:ascii="Garamond" w:eastAsia="Times New Roman" w:hAnsi="Garamond" w:cstheme="majorBidi"/>
          <w:i/>
          <w:iCs/>
        </w:rPr>
        <w:t>r</w:t>
      </w:r>
      <w:r w:rsidR="00805519" w:rsidRPr="002128A6">
        <w:rPr>
          <w:rFonts w:ascii="Garamond" w:eastAsia="Times New Roman" w:hAnsi="Garamond" w:cstheme="majorBidi"/>
          <w:i/>
          <w:iCs/>
        </w:rPr>
        <w:t>-</w:t>
      </w:r>
      <w:r w:rsidRPr="002128A6">
        <w:rPr>
          <w:rFonts w:ascii="Garamond" w:eastAsia="Times New Roman" w:hAnsi="Garamond" w:cstheme="majorBidi"/>
        </w:rPr>
        <w:t xml:space="preserve">at, është shfaqur gjithashtu si një kanal i </w:t>
      </w:r>
      <w:r w:rsidR="00E47FE2" w:rsidRPr="002128A6">
        <w:rPr>
          <w:rFonts w:ascii="Garamond" w:eastAsia="Times New Roman" w:hAnsi="Garamond" w:cstheme="majorBidi"/>
        </w:rPr>
        <w:t>përdorur</w:t>
      </w:r>
      <w:r w:rsidRPr="002128A6">
        <w:rPr>
          <w:rFonts w:ascii="Garamond" w:eastAsia="Times New Roman" w:hAnsi="Garamond" w:cstheme="majorBidi"/>
        </w:rPr>
        <w:t xml:space="preserve"> për aktivitetet e pastrimit, shpesh me elemente ndërkombëtare të destinuara për të penguar gjurmimin financiar. </w:t>
      </w:r>
      <w:r w:rsidR="00CD415D" w:rsidRPr="002128A6">
        <w:rPr>
          <w:rFonts w:ascii="Garamond" w:eastAsia="Times New Roman" w:hAnsi="Garamond" w:cstheme="majorBidi"/>
        </w:rPr>
        <w:t xml:space="preserve">Përfshirja e profesioneve jofinanciare, si noterët dhe ndërmjetësit e, pasurive të paluajtshme, shton më tej shtresa kompleksiteti. </w:t>
      </w:r>
      <w:r w:rsidR="005D07D3" w:rsidRPr="002128A6">
        <w:rPr>
          <w:rFonts w:ascii="Garamond" w:eastAsia="Times New Roman" w:hAnsi="Garamond" w:cstheme="majorBidi"/>
        </w:rPr>
        <w:t xml:space="preserve">Paralelisht, në nivel ndërkombëtar </w:t>
      </w:r>
      <w:r w:rsidRPr="002128A6">
        <w:rPr>
          <w:rFonts w:ascii="Garamond" w:eastAsia="Times New Roman" w:hAnsi="Garamond" w:cstheme="majorBidi"/>
        </w:rPr>
        <w:t xml:space="preserve">kriptovalutat dhe asetet e tjera </w:t>
      </w:r>
      <w:r w:rsidR="00E47FE2" w:rsidRPr="002128A6">
        <w:rPr>
          <w:rFonts w:ascii="Garamond" w:eastAsia="Times New Roman" w:hAnsi="Garamond" w:cstheme="majorBidi"/>
        </w:rPr>
        <w:t xml:space="preserve">virtuale, </w:t>
      </w:r>
      <w:r w:rsidRPr="002128A6">
        <w:rPr>
          <w:rFonts w:ascii="Garamond" w:eastAsia="Times New Roman" w:hAnsi="Garamond" w:cstheme="majorBidi"/>
        </w:rPr>
        <w:t xml:space="preserve">po përdoren gjithnjë e më shumë për të lehtësuar transaksionet anonime ose të vështira për t'u gjurmuar. </w:t>
      </w:r>
      <w:r w:rsidR="005D07D3" w:rsidRPr="002128A6">
        <w:rPr>
          <w:rFonts w:ascii="Garamond" w:eastAsia="Times New Roman" w:hAnsi="Garamond" w:cstheme="majorBidi"/>
        </w:rPr>
        <w:t>Megjithatë</w:t>
      </w:r>
      <w:r w:rsidR="00714F3C" w:rsidRPr="002128A6">
        <w:rPr>
          <w:rFonts w:ascii="Garamond" w:eastAsia="Times New Roman" w:hAnsi="Garamond" w:cstheme="majorBidi"/>
        </w:rPr>
        <w:t>, referuar</w:t>
      </w:r>
      <w:r w:rsidR="005D07D3" w:rsidRPr="002128A6">
        <w:rPr>
          <w:rFonts w:ascii="Garamond" w:eastAsia="Times New Roman" w:hAnsi="Garamond" w:cstheme="majorBidi"/>
        </w:rPr>
        <w:t xml:space="preserve"> </w:t>
      </w:r>
      <w:r w:rsidR="00714F3C" w:rsidRPr="002128A6">
        <w:rPr>
          <w:rFonts w:ascii="Garamond" w:eastAsia="Times New Roman" w:hAnsi="Garamond" w:cstheme="majorBidi"/>
        </w:rPr>
        <w:t xml:space="preserve">Vlerësimit Kombëtar të Riskut </w:t>
      </w:r>
      <w:r w:rsidR="005D07D3" w:rsidRPr="002128A6">
        <w:rPr>
          <w:rFonts w:ascii="Garamond" w:eastAsia="Times New Roman" w:hAnsi="Garamond" w:cstheme="majorBidi"/>
        </w:rPr>
        <w:t>2023</w:t>
      </w:r>
      <w:r w:rsidR="00714F3C" w:rsidRPr="002128A6">
        <w:rPr>
          <w:rFonts w:ascii="Garamond" w:eastAsia="Times New Roman" w:hAnsi="Garamond" w:cstheme="majorBidi"/>
        </w:rPr>
        <w:t xml:space="preserve"> p</w:t>
      </w:r>
      <w:r w:rsidR="00CD415D" w:rsidRPr="002128A6">
        <w:rPr>
          <w:rFonts w:ascii="Garamond" w:eastAsia="Times New Roman" w:hAnsi="Garamond" w:cstheme="majorBidi"/>
        </w:rPr>
        <w:t>ër pastrimin e parave dhe financimin e terrorizmit</w:t>
      </w:r>
      <w:r w:rsidR="005D07D3" w:rsidRPr="002128A6">
        <w:rPr>
          <w:rFonts w:ascii="Garamond" w:eastAsia="Times New Roman" w:hAnsi="Garamond" w:cstheme="majorBidi"/>
        </w:rPr>
        <w:t xml:space="preserve">, por edhe në analiza risku të mëvonshme </w:t>
      </w:r>
      <w:r w:rsidR="00CD415D" w:rsidRPr="002128A6">
        <w:rPr>
          <w:rFonts w:ascii="Garamond" w:eastAsia="Times New Roman" w:hAnsi="Garamond" w:cstheme="majorBidi"/>
        </w:rPr>
        <w:t>(</w:t>
      </w:r>
      <w:r w:rsidR="005D07D3" w:rsidRPr="002128A6">
        <w:rPr>
          <w:rFonts w:ascii="Garamond" w:eastAsia="Times New Roman" w:hAnsi="Garamond" w:cstheme="majorBidi"/>
        </w:rPr>
        <w:t>2025</w:t>
      </w:r>
      <w:r w:rsidR="00CD415D" w:rsidRPr="002128A6">
        <w:rPr>
          <w:rFonts w:ascii="Garamond" w:eastAsia="Times New Roman" w:hAnsi="Garamond" w:cstheme="majorBidi"/>
        </w:rPr>
        <w:t>)</w:t>
      </w:r>
      <w:r w:rsidR="005D07D3" w:rsidRPr="002128A6">
        <w:rPr>
          <w:rFonts w:ascii="Garamond" w:eastAsia="Times New Roman" w:hAnsi="Garamond" w:cstheme="majorBidi"/>
        </w:rPr>
        <w:t xml:space="preserve"> ka rezultuar se </w:t>
      </w:r>
      <w:r w:rsidR="005D07D3" w:rsidRPr="002128A6">
        <w:rPr>
          <w:rFonts w:ascii="Garamond" w:eastAsia="Times New Roman" w:hAnsi="Garamond" w:cstheme="majorBidi"/>
        </w:rPr>
        <w:lastRenderedPageBreak/>
        <w:t>përdorimi i kriptovalutave në pastrim</w:t>
      </w:r>
      <w:r w:rsidR="00CD415D" w:rsidRPr="002128A6">
        <w:rPr>
          <w:rFonts w:ascii="Garamond" w:eastAsia="Times New Roman" w:hAnsi="Garamond" w:cstheme="majorBidi"/>
        </w:rPr>
        <w:t>in e</w:t>
      </w:r>
      <w:r w:rsidR="005D07D3" w:rsidRPr="002128A6">
        <w:rPr>
          <w:rFonts w:ascii="Garamond" w:eastAsia="Times New Roman" w:hAnsi="Garamond" w:cstheme="majorBidi"/>
        </w:rPr>
        <w:t xml:space="preserve"> para</w:t>
      </w:r>
      <w:r w:rsidR="00CD415D" w:rsidRPr="002128A6">
        <w:rPr>
          <w:rFonts w:ascii="Garamond" w:eastAsia="Times New Roman" w:hAnsi="Garamond" w:cstheme="majorBidi"/>
        </w:rPr>
        <w:t xml:space="preserve">ve në Shqipëri </w:t>
      </w:r>
      <w:r w:rsidR="005D07D3" w:rsidRPr="002128A6">
        <w:rPr>
          <w:rFonts w:ascii="Garamond" w:eastAsia="Times New Roman" w:hAnsi="Garamond" w:cstheme="majorBidi"/>
        </w:rPr>
        <w:t>mbetet në nivele ende minimale krahasuar me monedhat FIAT, si në numër rastesh, ashtu edhe në vlera të përdorura.</w:t>
      </w:r>
    </w:p>
    <w:p w14:paraId="65E3B64C" w14:textId="7EB2476E" w:rsidR="005A4905" w:rsidRPr="002128A6" w:rsidRDefault="00E77EB7"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Në këtë kontekst, b</w:t>
      </w:r>
      <w:r w:rsidR="0006212A" w:rsidRPr="002128A6">
        <w:rPr>
          <w:rFonts w:ascii="Garamond" w:eastAsia="Aptos" w:hAnsi="Garamond" w:cstheme="majorBidi"/>
        </w:rPr>
        <w:t>ashkëpunimi publik</w:t>
      </w:r>
      <w:r w:rsidR="00A66D46" w:rsidRPr="002128A6">
        <w:rPr>
          <w:rFonts w:ascii="Garamond" w:eastAsia="Aptos" w:hAnsi="Garamond" w:cstheme="majorBidi"/>
        </w:rPr>
        <w:t>-</w:t>
      </w:r>
      <w:r w:rsidR="0006212A" w:rsidRPr="002128A6">
        <w:rPr>
          <w:rFonts w:ascii="Garamond" w:eastAsia="Aptos" w:hAnsi="Garamond" w:cstheme="majorBidi"/>
        </w:rPr>
        <w:t xml:space="preserve">privat luan një rol kritik në parandalimin dhe zbulimin e krimit financiar dhe ekonomik. </w:t>
      </w:r>
      <w:r w:rsidR="005A4905" w:rsidRPr="002128A6">
        <w:rPr>
          <w:rFonts w:ascii="Garamond" w:eastAsia="Aptos" w:hAnsi="Garamond" w:cstheme="majorBidi"/>
        </w:rPr>
        <w:t xml:space="preserve">Një </w:t>
      </w:r>
      <w:r w:rsidRPr="002128A6">
        <w:rPr>
          <w:rFonts w:ascii="Garamond" w:eastAsia="Aptos" w:hAnsi="Garamond" w:cstheme="majorBidi"/>
        </w:rPr>
        <w:t xml:space="preserve">zhvillim pozitiv </w:t>
      </w:r>
      <w:r w:rsidR="005A4905" w:rsidRPr="002128A6">
        <w:rPr>
          <w:rFonts w:ascii="Garamond" w:eastAsia="Aptos" w:hAnsi="Garamond" w:cstheme="majorBidi"/>
        </w:rPr>
        <w:t>është ngritja dhe funksionimi i Grupi Teknik Ndërinstitucional i Punës (GTNP) ku nën koordinimin e AIF realizohen takime periodike. GTNP luan një rol të rëndësishëm në koordinimin e politikave, shkëmbimin e informacionit dhe bashkëpunimi ndërmjet institucioneve publike dhe sektorit privat në fushën e parandalimit të pastrimit të parave dhe financimit të terrorizmit. GTNP ka si anëtar përfaqësues nga organe publike si Ministria e Financave, Ministria për Evropën dhe Punët e Jashtme, Ministria e Mbrojtjes, Ministria e Punëve të Brendshme, Ministria e Drejtësisë, Prokuroria e Përgjithshme, Prokuroria e Posaçme, Byroja Kombëtare e Hetimit, Shërbimi Informativ i Shtetit, Drejtoria e Përgjithshme e Policisë të Shtetit, Banka e Shqipërisë, Autoriteti i Mbikëqyrjes Financiare, ILDKPKI, Agjencia e Inteligjencës Financiare, Këshilli i Lartë Gjyqësor, Gjykata e Shkallës së Parë e Juridiksionit të Përgjithshëm Tiranë; Drejtoria e Përgjithshme e Tatimeve, Drejtoria e Përgjithshme e Doganave, Qendra Kombëtare e Biznesit, Bordi i Mbikëqyrjes Publike, Agjencia Shtetërore e Kadastrës, Autoriteti i Mbikëqyrjes të Lojërave të Fatit, Autoritetit të Kontrollit Shtetëror të Eksporteve dhe Agjencia e Inteligjencës dhe Sigurisë së Mbrojtjes, si dhe përfaqësues të sektorit privat si Dhoma Kombëtare e Noterisë, Dhoma Shqiptare e Avokatisë, Shoqata Shqiptare e Bankave, Shoqata Kombëtare e Ndërmjetësve të Pasurive të Paluajtshme (NAREA), Instituti i Ekspertëve Kontabël të Autorizuar (IEKA), Shoqata e Agjencive të Këmbimit Valutor (AFEA), Shoqata e Ndërtuesve dhe Instituti për Demokraci dhe ndërmjetësim (IDM) etj.</w:t>
      </w:r>
    </w:p>
    <w:p w14:paraId="229E82FC" w14:textId="196F56FD" w:rsidR="00764183" w:rsidRPr="002128A6" w:rsidRDefault="00E77EB7" w:rsidP="0025426C">
      <w:pPr>
        <w:spacing w:after="0" w:line="240" w:lineRule="auto"/>
        <w:ind w:firstLine="284"/>
        <w:jc w:val="both"/>
        <w:rPr>
          <w:rFonts w:ascii="Garamond" w:eastAsia="Aptos" w:hAnsi="Garamond" w:cstheme="majorBidi"/>
          <w:strike/>
        </w:rPr>
      </w:pPr>
      <w:r w:rsidRPr="002128A6">
        <w:rPr>
          <w:rFonts w:ascii="Garamond" w:eastAsia="Aptos" w:hAnsi="Garamond" w:cstheme="majorBidi"/>
          <w:b/>
          <w:bCs/>
        </w:rPr>
        <w:t>Njëkohësisht, k</w:t>
      </w:r>
      <w:r w:rsidR="00764183" w:rsidRPr="002128A6">
        <w:rPr>
          <w:rFonts w:ascii="Garamond" w:eastAsia="Aptos" w:hAnsi="Garamond" w:cstheme="majorBidi"/>
          <w:b/>
          <w:bCs/>
        </w:rPr>
        <w:t>orrupsioni mbetet një mundësues i vazhdueshëm</w:t>
      </w:r>
      <w:r w:rsidR="00764183" w:rsidRPr="002128A6">
        <w:rPr>
          <w:rFonts w:ascii="Garamond" w:hAnsi="Garamond" w:cstheme="majorBidi"/>
        </w:rPr>
        <w:t xml:space="preserve"> dhe një formë e veçantë e krimit të organizuar në vetvete, duke minuar proceset e zbatimit të ligjit. Grupet kriminale shfrytëzojnë rregullisht dobësitë në administratën publike, duke përdorur marrëdhëniet e korruptuara për të lehtësuar aktivitetet e paligjshme dhe për t'i shmangur zbulimit. Këto dinamika u mundësojnë rrjeteve të paligjshme të lehtësojnë operacionet, t'i shmangin zbulimit dhe të sigurojnë pandëshkueshmëri. </w:t>
      </w:r>
    </w:p>
    <w:p w14:paraId="69D83467" w14:textId="5285576D" w:rsidR="00805519" w:rsidRPr="002128A6" w:rsidRDefault="00764183" w:rsidP="0025426C">
      <w:pPr>
        <w:spacing w:after="0" w:line="240" w:lineRule="auto"/>
        <w:ind w:firstLine="284"/>
        <w:jc w:val="both"/>
        <w:rPr>
          <w:rFonts w:ascii="Garamond" w:eastAsia="Aptos" w:hAnsi="Garamond" w:cstheme="majorBidi"/>
          <w:strike/>
        </w:rPr>
      </w:pPr>
      <w:r w:rsidRPr="002128A6">
        <w:rPr>
          <w:rFonts w:ascii="Garamond" w:eastAsia="Aptos" w:hAnsi="Garamond" w:cstheme="majorBidi"/>
        </w:rPr>
        <w:t xml:space="preserve">Në vitin 2025, SPAK-u regjistroi 10 raste të korrupsionit të nivelit të lartë, 13 të pandehur, 30 zyrtarë të lartë nën hetim, 18 zyrtarë të dërguar në gjykatë. </w:t>
      </w:r>
      <w:bookmarkStart w:id="38" w:name="_Hlk226131344"/>
    </w:p>
    <w:p w14:paraId="12F517EB" w14:textId="701D9BA9" w:rsidR="00842B76" w:rsidRPr="002128A6" w:rsidRDefault="0006212A" w:rsidP="0025426C">
      <w:pPr>
        <w:pStyle w:val="BodyText"/>
        <w:ind w:left="0" w:firstLine="284"/>
        <w:jc w:val="both"/>
        <w:rPr>
          <w:rFonts w:ascii="Garamond" w:hAnsi="Garamond" w:cstheme="majorBidi"/>
        </w:rPr>
      </w:pPr>
      <w:r w:rsidRPr="002128A6">
        <w:rPr>
          <w:rFonts w:ascii="Garamond" w:eastAsia="Aptos" w:hAnsi="Garamond" w:cstheme="majorBidi"/>
        </w:rPr>
        <w:t>Pozicioni strategjik gjeografik i Shqipërisë, në udhëkryqin e Ballkanit Perëndimor dhe Bashkimit E</w:t>
      </w:r>
      <w:r w:rsidR="00A66D46" w:rsidRPr="002128A6">
        <w:rPr>
          <w:rFonts w:ascii="Garamond" w:eastAsia="Aptos" w:hAnsi="Garamond" w:cstheme="majorBidi"/>
        </w:rPr>
        <w:t>vropian</w:t>
      </w:r>
      <w:r w:rsidRPr="002128A6">
        <w:rPr>
          <w:rFonts w:ascii="Garamond" w:eastAsia="Aptos" w:hAnsi="Garamond" w:cstheme="majorBidi"/>
        </w:rPr>
        <w:t xml:space="preserve">, e bën atë shumë të cenueshme </w:t>
      </w:r>
      <w:bookmarkEnd w:id="38"/>
      <w:r w:rsidRPr="002128A6">
        <w:rPr>
          <w:rFonts w:ascii="Garamond" w:eastAsia="Aptos" w:hAnsi="Garamond" w:cstheme="majorBidi"/>
        </w:rPr>
        <w:t xml:space="preserve">ndaj </w:t>
      </w:r>
      <w:r w:rsidR="00D40A43" w:rsidRPr="002128A6">
        <w:rPr>
          <w:rFonts w:ascii="Garamond" w:eastAsia="Aptos" w:hAnsi="Garamond" w:cstheme="majorBidi"/>
          <w:b/>
          <w:bCs/>
        </w:rPr>
        <w:t>kalimit të paligjshëm të kufirit nga emigrantët</w:t>
      </w:r>
      <w:r w:rsidRPr="002128A6">
        <w:rPr>
          <w:rFonts w:ascii="Garamond" w:eastAsia="Aptos" w:hAnsi="Garamond" w:cstheme="majorBidi"/>
          <w:b/>
          <w:bCs/>
        </w:rPr>
        <w:t xml:space="preserve"> dhe trafikimit të qenieve njerëzore</w:t>
      </w:r>
      <w:r w:rsidRPr="002128A6">
        <w:rPr>
          <w:rFonts w:ascii="Garamond" w:eastAsia="Aptos" w:hAnsi="Garamond" w:cstheme="majorBidi"/>
        </w:rPr>
        <w:t xml:space="preserve">. Janë identifikuar dy forma kryesore: </w:t>
      </w:r>
      <w:r w:rsidR="00D40A43" w:rsidRPr="002128A6">
        <w:rPr>
          <w:rFonts w:ascii="Garamond" w:eastAsia="Aptos" w:hAnsi="Garamond" w:cstheme="majorBidi"/>
        </w:rPr>
        <w:t>kalimi i paligjshëm i</w:t>
      </w:r>
      <w:r w:rsidRPr="002128A6">
        <w:rPr>
          <w:rFonts w:ascii="Garamond" w:eastAsia="Aptos" w:hAnsi="Garamond" w:cstheme="majorBidi"/>
        </w:rPr>
        <w:t xml:space="preserve"> shtetasve shqiptarë që kërkojnë hyrje të paligjshme në Mbretërinë e Bashkuar, Shtetet e Bashkuara dhe Kanada, dhe </w:t>
      </w:r>
      <w:r w:rsidR="00D40A43" w:rsidRPr="002128A6">
        <w:rPr>
          <w:rFonts w:ascii="Garamond" w:eastAsia="Aptos" w:hAnsi="Garamond" w:cstheme="majorBidi"/>
        </w:rPr>
        <w:t>kalimi</w:t>
      </w:r>
      <w:r w:rsidRPr="002128A6">
        <w:rPr>
          <w:rFonts w:ascii="Garamond" w:eastAsia="Aptos" w:hAnsi="Garamond" w:cstheme="majorBidi"/>
        </w:rPr>
        <w:t xml:space="preserve"> transit </w:t>
      </w:r>
      <w:r w:rsidR="00D40A43" w:rsidRPr="002128A6">
        <w:rPr>
          <w:rFonts w:ascii="Garamond" w:eastAsia="Aptos" w:hAnsi="Garamond" w:cstheme="majorBidi"/>
        </w:rPr>
        <w:t>i</w:t>
      </w:r>
      <w:r w:rsidRPr="002128A6">
        <w:rPr>
          <w:rFonts w:ascii="Garamond" w:eastAsia="Aptos" w:hAnsi="Garamond" w:cstheme="majorBidi"/>
        </w:rPr>
        <w:t xml:space="preserve"> shtetasve nga vendet e treta, veçanërisht nga </w:t>
      </w:r>
      <w:r w:rsidR="00B61B87" w:rsidRPr="002128A6">
        <w:rPr>
          <w:rFonts w:ascii="Garamond" w:eastAsia="Aptos" w:hAnsi="Garamond" w:cstheme="majorBidi"/>
        </w:rPr>
        <w:t>Pakistani, Egjipti dhe</w:t>
      </w:r>
      <w:r w:rsidR="00FE6950" w:rsidRPr="002128A6">
        <w:rPr>
          <w:rFonts w:ascii="Garamond" w:eastAsia="Aptos" w:hAnsi="Garamond" w:cstheme="majorBidi"/>
        </w:rPr>
        <w:t xml:space="preserve"> </w:t>
      </w:r>
      <w:r w:rsidRPr="002128A6">
        <w:rPr>
          <w:rFonts w:ascii="Garamond" w:eastAsia="Aptos" w:hAnsi="Garamond" w:cstheme="majorBidi"/>
        </w:rPr>
        <w:t xml:space="preserve">Bangladeshi, drejt BE-së. Grupet e organizuara përdorin falsifikim të avancuar të dokumenteve, shfrytëzojnë sistemet e lejeve të punës dhe vizave, dhe përdorin metoda të sofistikuara pagese, përfshirë kriptovalutat, për të lehtësuar </w:t>
      </w:r>
      <w:r w:rsidR="00D40A43" w:rsidRPr="002128A6">
        <w:rPr>
          <w:rFonts w:ascii="Garamond" w:eastAsia="Aptos" w:hAnsi="Garamond" w:cstheme="majorBidi"/>
        </w:rPr>
        <w:t>e</w:t>
      </w:r>
      <w:r w:rsidRPr="002128A6">
        <w:rPr>
          <w:rFonts w:ascii="Garamond" w:eastAsia="Aptos" w:hAnsi="Garamond" w:cstheme="majorBidi"/>
        </w:rPr>
        <w:t xml:space="preserve">migrimin e paligjshëm. Grupet e cenueshme dhe të margjinalizuara, si gratë, fëmijët dhe pakicat etnike, mbeten në mënyrë disproporcionale të prekur nga këto aktivitete kriminale. </w:t>
      </w:r>
      <w:r w:rsidR="00A341D6" w:rsidRPr="002128A6">
        <w:rPr>
          <w:rFonts w:ascii="Garamond" w:hAnsi="Garamond" w:cstheme="majorBidi"/>
        </w:rPr>
        <w:t xml:space="preserve">Aktualisht, janë identifikuar dy forma të trafikimit të qenieve njerëzore. </w:t>
      </w:r>
    </w:p>
    <w:p w14:paraId="79DB5722" w14:textId="5A519D3B" w:rsidR="00DA1682" w:rsidRPr="002128A6" w:rsidRDefault="00A341D6" w:rsidP="0025426C">
      <w:pPr>
        <w:pStyle w:val="BodyText"/>
        <w:ind w:left="0" w:firstLine="284"/>
        <w:jc w:val="both"/>
        <w:rPr>
          <w:rFonts w:ascii="Garamond" w:hAnsi="Garamond" w:cstheme="majorBidi"/>
        </w:rPr>
      </w:pPr>
      <w:r w:rsidRPr="002128A6">
        <w:rPr>
          <w:rFonts w:ascii="Garamond" w:hAnsi="Garamond" w:cstheme="majorBidi"/>
          <w:b/>
          <w:iCs/>
        </w:rPr>
        <w:t xml:space="preserve">Forma e parë e </w:t>
      </w:r>
      <w:r w:rsidR="00842B76" w:rsidRPr="002128A6">
        <w:rPr>
          <w:rFonts w:ascii="Garamond" w:hAnsi="Garamond" w:cstheme="majorBidi"/>
          <w:b/>
          <w:iCs/>
        </w:rPr>
        <w:t>trafikimit</w:t>
      </w:r>
      <w:r w:rsidR="00842B76" w:rsidRPr="002128A6">
        <w:rPr>
          <w:rFonts w:ascii="Garamond" w:hAnsi="Garamond" w:cstheme="majorBidi"/>
          <w:b/>
          <w:i/>
        </w:rPr>
        <w:t xml:space="preserve"> </w:t>
      </w:r>
      <w:r w:rsidRPr="002128A6">
        <w:rPr>
          <w:rFonts w:ascii="Garamond" w:hAnsi="Garamond" w:cstheme="majorBidi"/>
        </w:rPr>
        <w:t>përfshin shtetas shqiptarë që synojnë të udhëtojnë në mënyrë të paligjshme drejt Mbretërisë së Bashkuar, SHBA-së dhe Kanadasë. Grupet kriminale menaxhojnë të gjithë procesin, nga falsifikimi i dokumenteve të identifikimit të vendeve të BE-së deri te</w:t>
      </w:r>
      <w:r w:rsidR="0089049E" w:rsidRPr="002128A6">
        <w:rPr>
          <w:rFonts w:ascii="Garamond" w:hAnsi="Garamond" w:cstheme="majorBidi"/>
        </w:rPr>
        <w:t>k</w:t>
      </w:r>
      <w:r w:rsidRPr="002128A6">
        <w:rPr>
          <w:rFonts w:ascii="Garamond" w:hAnsi="Garamond" w:cstheme="majorBidi"/>
        </w:rPr>
        <w:t xml:space="preserve"> organizimi i udhëtimit, akomodimit dhe orientimit të personave. Vihet re përdorimi i teknologjive të avancuara për falsifikimin e dokumenteve, si dhe i metodave më të sofistikuara të pagesës, përfshirë kriptovalutat.</w:t>
      </w:r>
    </w:p>
    <w:p w14:paraId="30A94F86" w14:textId="3644B794" w:rsidR="00A341D6" w:rsidRPr="002128A6" w:rsidRDefault="00A341D6" w:rsidP="0025426C">
      <w:pPr>
        <w:pStyle w:val="BodyText"/>
        <w:ind w:left="0" w:firstLine="284"/>
        <w:jc w:val="both"/>
        <w:rPr>
          <w:rFonts w:ascii="Garamond" w:hAnsi="Garamond" w:cstheme="majorBidi"/>
        </w:rPr>
      </w:pPr>
      <w:r w:rsidRPr="002128A6">
        <w:rPr>
          <w:rFonts w:ascii="Garamond" w:hAnsi="Garamond" w:cstheme="majorBidi"/>
          <w:b/>
          <w:iCs/>
        </w:rPr>
        <w:t>Forma e dytë</w:t>
      </w:r>
      <w:r w:rsidRPr="002128A6">
        <w:rPr>
          <w:rFonts w:ascii="Garamond" w:hAnsi="Garamond" w:cstheme="majorBidi"/>
          <w:b/>
          <w:i/>
        </w:rPr>
        <w:t xml:space="preserve"> </w:t>
      </w:r>
      <w:r w:rsidR="00842B76" w:rsidRPr="002128A6">
        <w:rPr>
          <w:rFonts w:ascii="Garamond" w:hAnsi="Garamond" w:cstheme="majorBidi"/>
        </w:rPr>
        <w:t>k</w:t>
      </w:r>
      <w:r w:rsidRPr="002128A6">
        <w:rPr>
          <w:rFonts w:ascii="Garamond" w:hAnsi="Garamond" w:cstheme="majorBidi"/>
        </w:rPr>
        <w:t xml:space="preserve">arakterizohet nga trafikimi i shtetasve që vijnë nga vendet e treta që përdorin Shqipërinë si pikë transiti, duke u larguar më pas në mënyrë të paligjshme drejt vendeve të BE-së. </w:t>
      </w:r>
      <w:r w:rsidR="00AB6199" w:rsidRPr="002128A6">
        <w:rPr>
          <w:rFonts w:ascii="Garamond" w:hAnsi="Garamond" w:cstheme="majorBidi"/>
        </w:rPr>
        <w:t xml:space="preserve">Të dhënat tregojnë se pas një rënieje të ndjeshme të numrit të imigrantëve të parregullt në vitin 2024 krahasuar me vitin 2023, gjatë vitit 2025 është regjistruar një rikthim i trendit në rritje. Numri i imigrantëve të kapur u rrit me 25% në vitin 2025 dhe kjo tendencë vijon edhe gjatë vitit 2026, ku të </w:t>
      </w:r>
      <w:r w:rsidR="00AB6199" w:rsidRPr="002128A6">
        <w:rPr>
          <w:rFonts w:ascii="Garamond" w:hAnsi="Garamond" w:cstheme="majorBidi"/>
        </w:rPr>
        <w:lastRenderedPageBreak/>
        <w:t>dhënat e gjashtëmujorit të parë tregojnë një shtim të konsiderueshëm të flukseve migratore të parregullta drejt territorit shqiptar.</w:t>
      </w:r>
    </w:p>
    <w:p w14:paraId="0D8930C6" w14:textId="25A993F6" w:rsidR="00AB6199" w:rsidRPr="002128A6" w:rsidRDefault="00AB6199" w:rsidP="0025426C">
      <w:pPr>
        <w:pStyle w:val="BodyText"/>
        <w:ind w:left="0" w:firstLine="284"/>
        <w:jc w:val="both"/>
        <w:rPr>
          <w:rFonts w:ascii="Garamond" w:hAnsi="Garamond" w:cstheme="majorBidi"/>
        </w:rPr>
      </w:pPr>
      <w:r w:rsidRPr="002128A6">
        <w:rPr>
          <w:rFonts w:ascii="Garamond" w:hAnsi="Garamond" w:cstheme="majorBidi"/>
        </w:rPr>
        <w:t>Analiza e të dhënave për vitin 2025 mbi shtetasit e vendeve të treta të identifikuar si viktima të trafikimit të qenieve njerëzore tregon një total prej 79 rastesh, nga të cilat shumica dërrmuese janë femra. Nga këto, 76 viktima janë gra dhe vetëm 3 janë meshkuj, ndërsa një pjesë e konsiderueshme e rasteve paraqiten si viktima të dyshuara. Të dhënat evidentojnë një dominim të qartë të trafikimit të grave, kryesisht për qëllime shfrytëzimi seksual ose ekonomik, duke reflektuar tendencat ndërkombëtare të trafikimit të qenieve njerëzore. Gjithashtu, shpërndarja gjeografike e viktimave tregon se rrjetet kriminale veprojnë në mënyrë të organizuar dhe ndërkontinentale, duke përfshirë vende nga Azia, Amerika Latine, Afrika dhe E</w:t>
      </w:r>
      <w:r w:rsidR="003E09D7" w:rsidRPr="002128A6">
        <w:rPr>
          <w:rFonts w:ascii="Garamond" w:hAnsi="Garamond" w:cstheme="majorBidi"/>
        </w:rPr>
        <w:t>v</w:t>
      </w:r>
      <w:r w:rsidRPr="002128A6">
        <w:rPr>
          <w:rFonts w:ascii="Garamond" w:hAnsi="Garamond" w:cstheme="majorBidi"/>
        </w:rPr>
        <w:t>ropa Lindore.</w:t>
      </w:r>
    </w:p>
    <w:p w14:paraId="32899A4B" w14:textId="7FA17958" w:rsidR="00AB6199" w:rsidRPr="002128A6" w:rsidRDefault="00AB6199" w:rsidP="0025426C">
      <w:pPr>
        <w:pStyle w:val="BodyText"/>
        <w:ind w:left="0" w:firstLine="284"/>
        <w:jc w:val="both"/>
        <w:rPr>
          <w:rFonts w:ascii="Garamond" w:hAnsi="Garamond" w:cstheme="majorBidi"/>
        </w:rPr>
      </w:pPr>
      <w:r w:rsidRPr="002128A6">
        <w:rPr>
          <w:rFonts w:ascii="Garamond" w:hAnsi="Garamond" w:cstheme="majorBidi"/>
        </w:rPr>
        <w:t>Ndërkohë referuar të dhënave të administruara për vitin 2024 janë identifikuar dhe referuar gjithsej 178 viktima/viktima të mundshme trafikimi.</w:t>
      </w:r>
    </w:p>
    <w:p w14:paraId="35DCC6F0" w14:textId="4BF081D0" w:rsidR="007E0A57"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Ky fenomen trajtohet si prioritet i dedikuar në </w:t>
      </w:r>
      <w:r w:rsidRPr="002128A6">
        <w:rPr>
          <w:rFonts w:ascii="Garamond" w:eastAsia="Aptos" w:hAnsi="Garamond" w:cstheme="majorBidi"/>
          <w:b/>
          <w:bCs/>
        </w:rPr>
        <w:t>Strategjinë Kombëtare për Luftën kundër Trafikimit të Personave</w:t>
      </w:r>
      <w:r w:rsidR="007E0A57" w:rsidRPr="002128A6">
        <w:rPr>
          <w:rFonts w:ascii="Garamond" w:eastAsia="Aptos" w:hAnsi="Garamond" w:cstheme="majorBidi"/>
          <w:b/>
          <w:bCs/>
        </w:rPr>
        <w:t xml:space="preserve"> 2026</w:t>
      </w:r>
      <w:r w:rsidR="00450BD2" w:rsidRPr="002128A6">
        <w:rPr>
          <w:rFonts w:ascii="Garamond" w:eastAsia="Aptos" w:hAnsi="Garamond" w:cstheme="majorBidi"/>
          <w:b/>
          <w:bCs/>
        </w:rPr>
        <w:t>–</w:t>
      </w:r>
      <w:r w:rsidR="007E0A57" w:rsidRPr="002128A6">
        <w:rPr>
          <w:rFonts w:ascii="Garamond" w:eastAsia="Aptos" w:hAnsi="Garamond" w:cstheme="majorBidi"/>
          <w:b/>
          <w:bCs/>
        </w:rPr>
        <w:t>2030</w:t>
      </w:r>
      <w:r w:rsidRPr="002128A6">
        <w:rPr>
          <w:rFonts w:ascii="Garamond" w:eastAsia="Aptos" w:hAnsi="Garamond" w:cstheme="majorBidi"/>
          <w:b/>
          <w:bCs/>
        </w:rPr>
        <w:t xml:space="preserve"> dhe Planit të Veprimit</w:t>
      </w:r>
      <w:r w:rsidR="00D40A43" w:rsidRPr="002128A6">
        <w:rPr>
          <w:rFonts w:ascii="Garamond" w:eastAsia="Aptos" w:hAnsi="Garamond" w:cstheme="majorBidi"/>
          <w:b/>
          <w:bCs/>
        </w:rPr>
        <w:t xml:space="preserve"> të saj</w:t>
      </w:r>
      <w:r w:rsidRPr="002128A6">
        <w:rPr>
          <w:rFonts w:ascii="Garamond" w:eastAsia="Aptos" w:hAnsi="Garamond" w:cstheme="majorBidi"/>
        </w:rPr>
        <w:t xml:space="preserve">, aktualisht në </w:t>
      </w:r>
      <w:r w:rsidR="007E0A57" w:rsidRPr="002128A6">
        <w:rPr>
          <w:rFonts w:ascii="Garamond" w:eastAsia="Aptos" w:hAnsi="Garamond" w:cstheme="majorBidi"/>
        </w:rPr>
        <w:t xml:space="preserve">proces hartimi. </w:t>
      </w:r>
      <w:r w:rsidRPr="002128A6">
        <w:rPr>
          <w:rFonts w:ascii="Garamond" w:eastAsia="Aptos" w:hAnsi="Garamond" w:cstheme="majorBidi"/>
        </w:rPr>
        <w:t>Brenda kësaj kornize, kjo strategji fokusohet kryesisht në dimensionin e krimit të organizuar të kontrabandës dhe trafikimit të migrantëve, përfshirë përfshirjen e rrjeteve të strukturuara kriminale, lehtësimin ndërkufitar dhe flukset financiare.</w:t>
      </w:r>
    </w:p>
    <w:p w14:paraId="57D85930" w14:textId="1CCCFBE8" w:rsidR="00C50A41" w:rsidRPr="002128A6" w:rsidRDefault="00C50A41" w:rsidP="0025426C">
      <w:pPr>
        <w:spacing w:after="0" w:line="240" w:lineRule="auto"/>
        <w:ind w:firstLine="284"/>
        <w:jc w:val="both"/>
        <w:rPr>
          <w:rFonts w:ascii="Garamond" w:eastAsia="Aptos" w:hAnsi="Garamond" w:cstheme="majorBidi"/>
        </w:rPr>
      </w:pPr>
      <w:r w:rsidRPr="002128A6">
        <w:rPr>
          <w:rFonts w:ascii="Garamond" w:eastAsia="Aptos" w:hAnsi="Garamond" w:cstheme="majorBidi"/>
          <w:b/>
          <w:bCs/>
        </w:rPr>
        <w:t>Krimi mjedisor</w:t>
      </w:r>
      <w:r w:rsidRPr="002128A6">
        <w:rPr>
          <w:rFonts w:ascii="Garamond" w:eastAsia="Aptos" w:hAnsi="Garamond" w:cstheme="majorBidi"/>
        </w:rPr>
        <w:t xml:space="preserve"> është shfaqur si një prioritet tematik i rëndësishëm brenda peizazhit të krimit të organizuar në Shqipëri, me ndikime në rritje mbi burimet natyrore, shëndetin publik, integritetin ekologjik dhe qëndrueshmërinë ekonomike të vendit. Të dhënat institucionale tregojnë një rritje të veprave penale mjedisore gjatë periudhës 2023–2025, duke reflektuar rëndësinë në rritje të këtij fenomeni në agjendën e zbatimit të ligjit.</w:t>
      </w:r>
      <w:r w:rsidR="00D03732" w:rsidRPr="002128A6">
        <w:rPr>
          <w:rFonts w:ascii="Garamond" w:eastAsia="Aptos" w:hAnsi="Garamond" w:cstheme="majorBidi"/>
        </w:rPr>
        <w:t xml:space="preserve"> Krimi mjedisor trajtohet si një formë prioritarе e krimit të organizuar, në përputhje me kërkesat e Direktivës (BE) 2024/1203, përmes një qasjeje të integruar që mbulon parandalimin, zbulimin, hetimin, ndjekjen penale, sanksionimin dhe konfiskimin e përfitimeve të paligjshme.</w:t>
      </w:r>
    </w:p>
    <w:p w14:paraId="21E26F6A" w14:textId="77777777" w:rsidR="00C50A41" w:rsidRPr="002128A6" w:rsidRDefault="00C50A41"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Krimi mjedisor mbetet një fushë me kompleksitet të shtuar, për shkak të natyrës së tij ndërsektoriale, mundësive për përfitime të larta dhe nevojës për koordinim të ngushtë ndërmjet institucioneve rregullatore dhe ligjzbatuese. Në këtë kuadër, është vënë re rëndësia e forcimit të mëtejshëm të bashkëpunimit institucional dhe e rritjes së kapaciteteve hetimore dhe analitike në trajtimin e këtyre rasteve.</w:t>
      </w:r>
    </w:p>
    <w:p w14:paraId="06D8FB58" w14:textId="77777777" w:rsidR="00C50A41" w:rsidRPr="006815D8" w:rsidRDefault="00C50A41" w:rsidP="0025426C">
      <w:pPr>
        <w:spacing w:after="0" w:line="240" w:lineRule="auto"/>
        <w:ind w:firstLine="284"/>
        <w:jc w:val="both"/>
        <w:rPr>
          <w:rFonts w:ascii="Garamond" w:eastAsia="Aptos" w:hAnsi="Garamond" w:cstheme="majorBidi"/>
          <w:i/>
          <w:iCs/>
        </w:rPr>
      </w:pPr>
      <w:r w:rsidRPr="002128A6">
        <w:rPr>
          <w:rFonts w:ascii="Garamond" w:eastAsia="Aptos" w:hAnsi="Garamond" w:cstheme="majorBidi"/>
        </w:rPr>
        <w:t xml:space="preserve">Në përgjigje të këtyre zhvillimeve, Shqipëria ka ndërmarrë hapa të rëndësishëm për përmirësimin e kuadrit ligjor dhe institucional në fushën e mbrojtjes së mjedisit dhe territorit. Këto përfshijnë rishikimin dhe qartësimin e kompetencave të inspektorateve, me qëllim përmirësimin e koordinimit dhe reduktimin e mbivendosjeve funksionale, si dhe avancimin e proceseve të digjitalizimit të inspektimeve përmes platformës </w:t>
      </w:r>
      <w:r w:rsidRPr="006815D8">
        <w:rPr>
          <w:rFonts w:ascii="Garamond" w:eastAsia="Aptos" w:hAnsi="Garamond" w:cstheme="majorBidi"/>
          <w:i/>
          <w:iCs/>
        </w:rPr>
        <w:t>e-Inspektimi.</w:t>
      </w:r>
    </w:p>
    <w:p w14:paraId="4D2F1D89" w14:textId="5BAA2B51" w:rsidR="00C50A41" w:rsidRPr="002128A6" w:rsidRDefault="00C50A41"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Zbatimi i teknologjive të avancuara, përfshirë monitorimin në kohë reale dhe përdorimin e mjeteve digjitale për dokumentimin e inspektimeve, synon të rrisë transparencën, efikasitetin dhe gjurmueshmërinë e proceseve administrative. Në këtë kuadër, është miratuar edhe një kuadër rregullator për metodologjinë e përcaktimit të masave administrative, i cili synon të forcojë qasjen e bazuar në </w:t>
      </w:r>
      <w:r w:rsidR="005A2C00" w:rsidRPr="002128A6">
        <w:rPr>
          <w:rFonts w:ascii="Garamond" w:eastAsia="Aptos" w:hAnsi="Garamond" w:cstheme="majorBidi"/>
        </w:rPr>
        <w:t>rrezik</w:t>
      </w:r>
      <w:r w:rsidRPr="002128A6">
        <w:rPr>
          <w:rFonts w:ascii="Garamond" w:eastAsia="Aptos" w:hAnsi="Garamond" w:cstheme="majorBidi"/>
        </w:rPr>
        <w:t xml:space="preserve"> dhe të sigurojë proporcionalitet në vendimmarrje.</w:t>
      </w:r>
    </w:p>
    <w:p w14:paraId="238CDDF3" w14:textId="77777777" w:rsidR="00C50A41" w:rsidRPr="002128A6" w:rsidRDefault="00C50A41"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Gjithashtu, janë ndërmarrë ndryshime ligjore në fushën penale dhe të planifikimit territorial, me fokus në forcimin e parandalimit dhe rritjen e efektivitetit të reagimit institucional ndaj veprave që dëmtojnë mjedisin dhe territorin, përfshirë zjarrvënien, ndërtimet e paligjshme dhe shkeljet në përdorimin e tokës. Këto ndryshime synojnë gjithashtu rritjen e përgjegjshmërisë institucionale dhe forcimin e integritetit në ushtrimin e funksioneve publike.</w:t>
      </w:r>
    </w:p>
    <w:p w14:paraId="6E2B6A33" w14:textId="77777777" w:rsidR="00C50A41" w:rsidRPr="002128A6" w:rsidRDefault="00C50A41"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Në aspektin operacional, është rritur bashkëpunimi ndërmjet strukturave inspektuese në nivel qendror dhe vendor, si dhe është përmirësuar përdorimi i sistemeve digjitale për monitorim dhe </w:t>
      </w:r>
      <w:r w:rsidRPr="002128A6">
        <w:rPr>
          <w:rFonts w:ascii="Garamond" w:eastAsia="Aptos" w:hAnsi="Garamond" w:cstheme="majorBidi"/>
        </w:rPr>
        <w:lastRenderedPageBreak/>
        <w:t>kontroll, duke mundësuar një ndjekje më të efektshme të zbatimit të lejeve dhe identifikimin në kohë të shkeljeve të mundshme.</w:t>
      </w:r>
    </w:p>
    <w:p w14:paraId="648E2E6F" w14:textId="3D207930" w:rsidR="00C50A41" w:rsidRPr="002128A6" w:rsidRDefault="00C50A41"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Në tërësi, këto zhvillime tregojnë një proces të vazhdueshëm të modernizimit të kuadrit ligjor dhe institucional në fushën e mbrojtjes së mjedisit, me synim forcimin gradual të kapaciteteve parandaluese dhe zbatuese. Në këtë kontekst, vijon të jetë me rëndësi konsolidimi i mëtejshëm i koordinimit ndërinstitucional dhe zhvillimi i kapaciteteve teknike dhe hetimore, në funksion të rritjes së efektivitetit të përgjithshëm të sistemit.</w:t>
      </w:r>
    </w:p>
    <w:p w14:paraId="6C2413C8" w14:textId="64B0DAFB" w:rsidR="007D22EC"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Evolu</w:t>
      </w:r>
      <w:r w:rsidR="001166B2" w:rsidRPr="002128A6">
        <w:rPr>
          <w:rFonts w:ascii="Garamond" w:eastAsia="Aptos" w:hAnsi="Garamond" w:cstheme="majorBidi"/>
        </w:rPr>
        <w:t>im</w:t>
      </w:r>
      <w:r w:rsidRPr="002128A6">
        <w:rPr>
          <w:rFonts w:ascii="Garamond" w:eastAsia="Aptos" w:hAnsi="Garamond" w:cstheme="majorBidi"/>
        </w:rPr>
        <w:t>i i shpejtë i</w:t>
      </w:r>
      <w:r w:rsidRPr="002128A6">
        <w:rPr>
          <w:rFonts w:ascii="Garamond" w:eastAsia="Aptos" w:hAnsi="Garamond" w:cstheme="majorBidi"/>
          <w:b/>
          <w:bCs/>
        </w:rPr>
        <w:t xml:space="preserve"> krimit të mundësuar nga teknologjia kibernetike po riformëson mjedisin e kërcënim</w:t>
      </w:r>
      <w:r w:rsidR="001166B2" w:rsidRPr="002128A6">
        <w:rPr>
          <w:rFonts w:ascii="Garamond" w:eastAsia="Aptos" w:hAnsi="Garamond" w:cstheme="majorBidi"/>
          <w:b/>
          <w:bCs/>
        </w:rPr>
        <w:t>eve</w:t>
      </w:r>
      <w:r w:rsidRPr="002128A6">
        <w:rPr>
          <w:rFonts w:ascii="Garamond" w:eastAsia="Aptos" w:hAnsi="Garamond" w:cstheme="majorBidi"/>
        </w:rPr>
        <w:t xml:space="preserve"> në Shqipëri. Grupet kriminale të organizuara shfrytëzojnë përparimet teknologjike për të kryer mashtrime në shkallë të gjerë, vjedhje identiteti dhe skema financiare mashtruese, shpesh duke synuar viktima në juridiksione të shumta.</w:t>
      </w:r>
      <w:r w:rsidR="00450BD2" w:rsidRPr="002128A6">
        <w:rPr>
          <w:rFonts w:ascii="Garamond" w:eastAsia="Aptos" w:hAnsi="Garamond" w:cstheme="majorBidi"/>
        </w:rPr>
        <w:t xml:space="preserve"> </w:t>
      </w:r>
      <w:r w:rsidRPr="002128A6">
        <w:rPr>
          <w:rFonts w:ascii="Garamond" w:eastAsia="Aptos" w:hAnsi="Garamond" w:cstheme="majorBidi"/>
        </w:rPr>
        <w:t xml:space="preserve">Format e zakonshme të krimit kibernetik përfshijnë mashtrimin kompjuterik </w:t>
      </w:r>
      <w:r w:rsidRPr="002128A6">
        <w:rPr>
          <w:rFonts w:ascii="Garamond" w:eastAsia="Aptos" w:hAnsi="Garamond" w:cstheme="majorBidi"/>
          <w:i/>
          <w:iCs/>
        </w:rPr>
        <w:t>(</w:t>
      </w:r>
      <w:r w:rsidR="00CD5F51" w:rsidRPr="002128A6">
        <w:rPr>
          <w:rFonts w:ascii="Garamond" w:eastAsia="Aptos" w:hAnsi="Garamond" w:cstheme="majorBidi"/>
          <w:i/>
          <w:iCs/>
        </w:rPr>
        <w:t>phishing</w:t>
      </w:r>
      <w:r w:rsidRPr="002128A6">
        <w:rPr>
          <w:rFonts w:ascii="Garamond" w:eastAsia="Aptos" w:hAnsi="Garamond" w:cstheme="majorBidi"/>
          <w:i/>
          <w:iCs/>
        </w:rPr>
        <w:t xml:space="preserve">, </w:t>
      </w:r>
      <w:r w:rsidR="00CD5F51" w:rsidRPr="002128A6">
        <w:rPr>
          <w:rFonts w:ascii="Garamond" w:eastAsia="Aptos" w:hAnsi="Garamond" w:cstheme="majorBidi"/>
          <w:i/>
          <w:iCs/>
        </w:rPr>
        <w:t>smishing</w:t>
      </w:r>
      <w:r w:rsidRPr="002128A6">
        <w:rPr>
          <w:rFonts w:ascii="Garamond" w:eastAsia="Aptos" w:hAnsi="Garamond" w:cstheme="majorBidi"/>
          <w:i/>
          <w:iCs/>
        </w:rPr>
        <w:t>),</w:t>
      </w:r>
      <w:r w:rsidRPr="002128A6">
        <w:rPr>
          <w:rFonts w:ascii="Garamond" w:eastAsia="Aptos" w:hAnsi="Garamond" w:cstheme="majorBidi"/>
        </w:rPr>
        <w:t xml:space="preserve"> kompromentimin e </w:t>
      </w:r>
      <w:r w:rsidRPr="002128A6">
        <w:rPr>
          <w:rFonts w:ascii="Garamond" w:eastAsia="Aptos" w:hAnsi="Garamond" w:cstheme="majorBidi"/>
          <w:i/>
          <w:iCs/>
        </w:rPr>
        <w:t>email</w:t>
      </w:r>
      <w:r w:rsidR="003E09D7" w:rsidRPr="002128A6">
        <w:rPr>
          <w:rFonts w:ascii="Garamond" w:eastAsia="Aptos" w:hAnsi="Garamond" w:cstheme="majorBidi"/>
          <w:i/>
          <w:iCs/>
        </w:rPr>
        <w:t>-</w:t>
      </w:r>
      <w:r w:rsidRPr="002128A6">
        <w:rPr>
          <w:rFonts w:ascii="Garamond" w:eastAsia="Aptos" w:hAnsi="Garamond" w:cstheme="majorBidi"/>
        </w:rPr>
        <w:t xml:space="preserve">eve të biznesit dhe përdorimin e </w:t>
      </w:r>
      <w:r w:rsidRPr="002128A6">
        <w:rPr>
          <w:rFonts w:ascii="Garamond" w:eastAsia="Aptos" w:hAnsi="Garamond" w:cstheme="majorBidi"/>
          <w:i/>
          <w:iCs/>
        </w:rPr>
        <w:t>deepfake</w:t>
      </w:r>
      <w:r w:rsidRPr="002128A6">
        <w:rPr>
          <w:rFonts w:ascii="Garamond" w:eastAsia="Aptos" w:hAnsi="Garamond" w:cstheme="majorBidi"/>
        </w:rPr>
        <w:t xml:space="preserve">-ve të drejtuara nga IA. </w:t>
      </w:r>
      <w:r w:rsidR="007D22EC" w:rsidRPr="002128A6">
        <w:rPr>
          <w:rFonts w:ascii="Garamond" w:eastAsia="Aptos" w:hAnsi="Garamond" w:cstheme="majorBidi"/>
        </w:rPr>
        <w:t>Në kuadër të ndërgjegjësimit, në faqen zyrtare të FIA</w:t>
      </w:r>
      <w:r w:rsidR="003E09D7" w:rsidRPr="002128A6">
        <w:rPr>
          <w:rFonts w:ascii="Garamond" w:eastAsia="Aptos" w:hAnsi="Garamond" w:cstheme="majorBidi"/>
        </w:rPr>
        <w:t>-s</w:t>
      </w:r>
      <w:r w:rsidR="007D22EC" w:rsidRPr="002128A6">
        <w:rPr>
          <w:rFonts w:ascii="Garamond" w:eastAsia="Aptos" w:hAnsi="Garamond" w:cstheme="majorBidi"/>
        </w:rPr>
        <w:t xml:space="preserve"> është publikuar një udhëzues mbi sigurinë në epokën digjitale, i cili shpjegon konceptet e mashtrimit kompjuterik, metodat e zakonshme të mashtrimit kompjuterik, masat për mbrojtje dhe hapat që duhet ndjekur në rast se individi bie viktimë etj.</w:t>
      </w:r>
    </w:p>
    <w:p w14:paraId="4014C54F" w14:textId="7F30ECFB" w:rsidR="00764183"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Grupet kriminale themelojnë kompani që operojnë platforma mashtruese investimi, duke përdorur </w:t>
      </w:r>
      <w:r w:rsidRPr="002128A6">
        <w:rPr>
          <w:rFonts w:ascii="Garamond" w:eastAsia="Aptos" w:hAnsi="Garamond" w:cstheme="majorBidi"/>
          <w:i/>
          <w:iCs/>
        </w:rPr>
        <w:t>call centre</w:t>
      </w:r>
      <w:r w:rsidRPr="002128A6">
        <w:rPr>
          <w:rFonts w:ascii="Garamond" w:eastAsia="Aptos" w:hAnsi="Garamond" w:cstheme="majorBidi"/>
        </w:rPr>
        <w:t xml:space="preserve"> në Shqipëri dhe vendet fqinje për të mashtruar qytetarë, kryesisht nga shtetet anëtare të BE-së. Këto skema kanë rezultuar në miliona euro humbje dhe</w:t>
      </w:r>
      <w:r w:rsidR="00DA1682" w:rsidRPr="002128A6">
        <w:rPr>
          <w:rFonts w:ascii="Garamond" w:eastAsia="Aptos" w:hAnsi="Garamond" w:cstheme="majorBidi"/>
        </w:rPr>
        <w:t xml:space="preserve"> </w:t>
      </w:r>
      <w:r w:rsidR="003302D8" w:rsidRPr="002128A6">
        <w:rPr>
          <w:rFonts w:ascii="Garamond" w:eastAsia="Aptos" w:hAnsi="Garamond" w:cstheme="majorBidi"/>
        </w:rPr>
        <w:t xml:space="preserve">nxjerrin në pah </w:t>
      </w:r>
      <w:r w:rsidRPr="002128A6">
        <w:rPr>
          <w:rFonts w:ascii="Garamond" w:eastAsia="Aptos" w:hAnsi="Garamond" w:cstheme="majorBidi"/>
        </w:rPr>
        <w:t xml:space="preserve">rolin në rritje të Shqipërisë si qendër për aktivitetin kriminal të mundësuar nga teknologjia kibernetike. </w:t>
      </w:r>
    </w:p>
    <w:p w14:paraId="6DF21AAD" w14:textId="46D0FEB5" w:rsidR="00C4661C"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Në të njëjtën kohë, </w:t>
      </w:r>
      <w:r w:rsidRPr="002128A6">
        <w:rPr>
          <w:rFonts w:ascii="Garamond" w:eastAsia="Aptos" w:hAnsi="Garamond" w:cstheme="majorBidi"/>
          <w:b/>
          <w:bCs/>
        </w:rPr>
        <w:t>shfrytëzimi seksual i fëmijëve në internet</w:t>
      </w:r>
      <w:r w:rsidRPr="002128A6">
        <w:rPr>
          <w:rFonts w:ascii="Garamond" w:eastAsia="Aptos" w:hAnsi="Garamond" w:cstheme="majorBidi"/>
        </w:rPr>
        <w:t xml:space="preserve"> është një kërcënim gjithnjë e më serioz dhe në evolu</w:t>
      </w:r>
      <w:r w:rsidR="005A2C00" w:rsidRPr="002128A6">
        <w:rPr>
          <w:rFonts w:ascii="Garamond" w:eastAsia="Aptos" w:hAnsi="Garamond" w:cstheme="majorBidi"/>
        </w:rPr>
        <w:t>im</w:t>
      </w:r>
      <w:r w:rsidRPr="002128A6">
        <w:rPr>
          <w:rFonts w:ascii="Garamond" w:eastAsia="Aptos" w:hAnsi="Garamond" w:cstheme="majorBidi"/>
        </w:rPr>
        <w:t>. Shkelësit përdorin platforma të enkriptuara, mediat sociale dhe rrjetin e errët për të prodhuar, shpërndarë dhe aksesuar materiale të abuzimit seksual të fëmijëve, si dhe për të joshur dhe shfrytëzuar të miturit. Natyra transnacionale e këtyre veprave penale, e kombinuar me përdorimin e teknologjive që rrisin anonimitetin, paraqet sfida të rëndësishme për zbulimin, hetimin dhe ndjekjen penale. Adresimi i shfrytëzimit</w:t>
      </w:r>
      <w:r w:rsidR="005A2C00" w:rsidRPr="002128A6">
        <w:rPr>
          <w:rFonts w:ascii="Garamond" w:eastAsia="Aptos" w:hAnsi="Garamond" w:cstheme="majorBidi"/>
        </w:rPr>
        <w:t xml:space="preserve"> </w:t>
      </w:r>
      <w:r w:rsidRPr="002128A6">
        <w:rPr>
          <w:rFonts w:ascii="Garamond" w:eastAsia="Aptos" w:hAnsi="Garamond" w:cstheme="majorBidi"/>
        </w:rPr>
        <w:t xml:space="preserve">seksual të fëmijëve në internet kërkon kapacitete të forcuara të specializuara hetimore, bashkëpunim të rritur ndërkombëtar dhe një qasje të orientuar nga viktima të harmonizuar me standardet e BE-së dhe ndërkombëtare. </w:t>
      </w:r>
      <w:r w:rsidRPr="002128A6">
        <w:rPr>
          <w:rFonts w:ascii="Garamond" w:eastAsia="Aptos" w:hAnsi="Garamond" w:cstheme="majorBidi"/>
          <w:b/>
          <w:bCs/>
        </w:rPr>
        <w:t>Konvergjenca e operacioneve transnacionale dhe novacionit të shpejtë teknologjik</w:t>
      </w:r>
      <w:r w:rsidR="00744AF4" w:rsidRPr="002128A6">
        <w:rPr>
          <w:rFonts w:ascii="Garamond" w:eastAsia="Aptos" w:hAnsi="Garamond" w:cstheme="majorBidi"/>
        </w:rPr>
        <w:t xml:space="preserve"> </w:t>
      </w:r>
      <w:r w:rsidRPr="002128A6">
        <w:rPr>
          <w:rFonts w:ascii="Garamond" w:eastAsia="Aptos" w:hAnsi="Garamond" w:cstheme="majorBidi"/>
        </w:rPr>
        <w:t xml:space="preserve">u mundëson grupeve kriminale shqiptare të veprojnë në juridiksione të shumta me një shkathtësi dhe anonimitet të paprecedentë, duke sfiduar qasjet tradicionale të zbatimit të ligjit. </w:t>
      </w:r>
    </w:p>
    <w:p w14:paraId="76D69E78" w14:textId="77777777" w:rsidR="00FE01BD" w:rsidRPr="002128A6" w:rsidRDefault="0006212A" w:rsidP="0025426C">
      <w:pPr>
        <w:spacing w:after="0" w:line="240" w:lineRule="auto"/>
        <w:ind w:firstLine="284"/>
        <w:jc w:val="both"/>
        <w:rPr>
          <w:rFonts w:ascii="Garamond" w:eastAsia="Aptos" w:hAnsi="Garamond" w:cstheme="majorBidi"/>
          <w:b/>
          <w:bCs/>
        </w:rPr>
      </w:pPr>
      <w:r w:rsidRPr="002128A6">
        <w:rPr>
          <w:rFonts w:ascii="Garamond" w:eastAsia="Aptos" w:hAnsi="Garamond" w:cstheme="majorBidi"/>
          <w:b/>
          <w:bCs/>
        </w:rPr>
        <w:t xml:space="preserve">Pavarësisht mjedisit kompleks dhe në evolucion të kërcënimit, Shqipëria ka arritur progres substancial në forcimin e përgjigjes ndaj krimit të organizuar. Periudha 2021-2025 është karakterizuar nga reforma institucionale, përparime ligjore, ngritje kapacitetesh dhe bashkëpunim i rritur ndërkombëtar. </w:t>
      </w:r>
    </w:p>
    <w:p w14:paraId="67266A85" w14:textId="735BB6E6" w:rsidR="00B7562C"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b/>
          <w:bCs/>
        </w:rPr>
        <w:t>Konsolidimi i Strukturës së Posaçme kundër Korrupsionit dhe Krimit të Organizuar</w:t>
      </w:r>
      <w:r w:rsidR="00744AF4" w:rsidRPr="002128A6">
        <w:rPr>
          <w:rFonts w:ascii="Garamond" w:eastAsia="Aptos" w:hAnsi="Garamond" w:cstheme="majorBidi"/>
          <w:b/>
          <w:bCs/>
        </w:rPr>
        <w:t xml:space="preserve"> </w:t>
      </w:r>
      <w:r w:rsidR="00B7562C" w:rsidRPr="002128A6">
        <w:rPr>
          <w:rFonts w:ascii="Garamond" w:eastAsia="Aptos" w:hAnsi="Garamond" w:cstheme="majorBidi"/>
        </w:rPr>
        <w:t xml:space="preserve">ka qenë thelbësor për forcimin institucional, duke mundësuar hetime komplekse dhe duke forcuar bashkëpunimin ndërkombëtar. Ngritja dhe funksionimi i Zyrës së Rikuperimit të Aseteve në bazë të Ligjit nr. 44/2025, ka shtruar themelet që Shqipëria të përmirësojë gjurmimin dhe kapacitetet e konfiskimit, si edhe të harmonizojë praktikën kombëtare me standardet e BE-së. Megjithatë, zbatimi efektiv i mekanizmave të rikuperimit të aseteve dhe përdorimi sistematik i hetimeve financiare paralele mbetet i pabarabartë dhe kërkon konsolidim të mëtejshëm. Teksa hetimet financiare po integrohen gjithnjë e më shumë në çështjet e krimit të organizuar, zbatimi konsistent dhe proaktiv i tyre në të gjitha çështjet relevante është ende në zhvillim. Nismat e </w:t>
      </w:r>
      <w:r w:rsidR="00F54824" w:rsidRPr="002128A6">
        <w:rPr>
          <w:rFonts w:ascii="Garamond" w:eastAsia="Aptos" w:hAnsi="Garamond" w:cstheme="majorBidi"/>
        </w:rPr>
        <w:t>digjital</w:t>
      </w:r>
      <w:r w:rsidR="00B7562C" w:rsidRPr="002128A6">
        <w:rPr>
          <w:rFonts w:ascii="Garamond" w:eastAsia="Aptos" w:hAnsi="Garamond" w:cstheme="majorBidi"/>
        </w:rPr>
        <w:t>izimit kanë kontribuuar në modernizimin e doganave, menaxhimit të kufirit dhe sistemeve policore, duke përmirësuar efikasitetin dhe transparencën;</w:t>
      </w:r>
      <w:r w:rsidR="00C730E0" w:rsidRPr="002128A6">
        <w:rPr>
          <w:rFonts w:ascii="Garamond" w:eastAsia="Aptos" w:hAnsi="Garamond" w:cstheme="majorBidi"/>
        </w:rPr>
        <w:t xml:space="preserve"> </w:t>
      </w:r>
      <w:r w:rsidR="00B7562C" w:rsidRPr="002128A6">
        <w:rPr>
          <w:rFonts w:ascii="Garamond" w:eastAsia="Aptos" w:hAnsi="Garamond" w:cstheme="majorBidi"/>
        </w:rPr>
        <w:t>megjithatë, mbeten sfida në garantimin e ndërveprueshmërisë së plotë, integrimin e të dhënave dhe përdorimin operacional efektiv.</w:t>
      </w:r>
    </w:p>
    <w:p w14:paraId="40DF50CF" w14:textId="0D08804E" w:rsidR="00B7562C"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lastRenderedPageBreak/>
        <w:t xml:space="preserve">Shqipëria ka ndërmarrë </w:t>
      </w:r>
      <w:r w:rsidRPr="002128A6">
        <w:rPr>
          <w:rFonts w:ascii="Garamond" w:eastAsia="Aptos" w:hAnsi="Garamond" w:cstheme="majorBidi"/>
          <w:b/>
          <w:bCs/>
        </w:rPr>
        <w:t>reforma të rëndësishme ligjore</w:t>
      </w:r>
      <w:r w:rsidR="00744AF4" w:rsidRPr="002128A6">
        <w:rPr>
          <w:rFonts w:ascii="Garamond" w:eastAsia="Aptos" w:hAnsi="Garamond" w:cstheme="majorBidi"/>
        </w:rPr>
        <w:t xml:space="preserve"> </w:t>
      </w:r>
      <w:r w:rsidRPr="002128A6">
        <w:rPr>
          <w:rFonts w:ascii="Garamond" w:eastAsia="Aptos" w:hAnsi="Garamond" w:cstheme="majorBidi"/>
        </w:rPr>
        <w:t xml:space="preserve">për të forcuar kornizën legjislative kundër krimit të organizuar dhe veprave penale të lidhura. Ndryshimet në </w:t>
      </w:r>
      <w:r w:rsidR="00067733" w:rsidRPr="002128A6">
        <w:rPr>
          <w:rFonts w:ascii="Garamond" w:eastAsia="Aptos" w:hAnsi="Garamond" w:cstheme="majorBidi"/>
        </w:rPr>
        <w:t>l</w:t>
      </w:r>
      <w:r w:rsidRPr="002128A6">
        <w:rPr>
          <w:rFonts w:ascii="Garamond" w:eastAsia="Aptos" w:hAnsi="Garamond" w:cstheme="majorBidi"/>
        </w:rPr>
        <w:t xml:space="preserve">igjin </w:t>
      </w:r>
      <w:r w:rsidR="00B7562C" w:rsidRPr="002128A6">
        <w:rPr>
          <w:rFonts w:ascii="Garamond" w:eastAsia="Aptos" w:hAnsi="Garamond" w:cstheme="majorBidi"/>
        </w:rPr>
        <w:t>n</w:t>
      </w:r>
      <w:r w:rsidRPr="002128A6">
        <w:rPr>
          <w:rFonts w:ascii="Garamond" w:eastAsia="Aptos" w:hAnsi="Garamond" w:cstheme="majorBidi"/>
        </w:rPr>
        <w:t>r. 7975 për lëndët narkotike dhe substancat psikotrope, të miratuara në fillim të vitit 2024, kanë modernizuar tabelat e klasifikimit dhe kanë lehtësuar përdorimin e kontrolluar të kanabisit për qëllime industriale dhe mjekësore. Kornizat ligjore dhe strategjike që adresojnë pastrimin e parave (</w:t>
      </w:r>
      <w:r w:rsidR="00067733" w:rsidRPr="002128A6">
        <w:rPr>
          <w:rFonts w:ascii="Garamond" w:eastAsia="Aptos" w:hAnsi="Garamond" w:cstheme="majorBidi"/>
        </w:rPr>
        <w:t>PP</w:t>
      </w:r>
      <w:r w:rsidRPr="002128A6">
        <w:rPr>
          <w:rFonts w:ascii="Garamond" w:eastAsia="Aptos" w:hAnsi="Garamond" w:cstheme="majorBidi"/>
        </w:rPr>
        <w:t>), kundër financimit të terrorizmit (</w:t>
      </w:r>
      <w:r w:rsidR="00067733" w:rsidRPr="002128A6">
        <w:rPr>
          <w:rFonts w:ascii="Garamond" w:eastAsia="Aptos" w:hAnsi="Garamond" w:cstheme="majorBidi"/>
        </w:rPr>
        <w:t>FT</w:t>
      </w:r>
      <w:r w:rsidRPr="002128A6">
        <w:rPr>
          <w:rFonts w:ascii="Garamond" w:eastAsia="Aptos" w:hAnsi="Garamond" w:cstheme="majorBidi"/>
        </w:rPr>
        <w:t>) dhe sigurinë kibernetike janë përditësuar, duke mundësuar zhvillimin e një infrastrukture të fortë institucionale dhe duke mbështetur hetimet e bazuara në inteligjencë</w:t>
      </w:r>
      <w:r w:rsidR="00B7562C" w:rsidRPr="002128A6">
        <w:rPr>
          <w:rFonts w:ascii="Garamond" w:eastAsia="Aptos" w:hAnsi="Garamond" w:cstheme="majorBidi"/>
        </w:rPr>
        <w:t>.</w:t>
      </w:r>
    </w:p>
    <w:p w14:paraId="724CE37F" w14:textId="7761E6D6" w:rsidR="001F31B9" w:rsidRPr="002128A6" w:rsidRDefault="0006212A" w:rsidP="0025426C">
      <w:pPr>
        <w:spacing w:after="0" w:line="240" w:lineRule="auto"/>
        <w:ind w:firstLine="284"/>
        <w:jc w:val="both"/>
        <w:rPr>
          <w:rFonts w:ascii="Garamond" w:hAnsi="Garamond" w:cstheme="majorBidi"/>
        </w:rPr>
      </w:pPr>
      <w:r w:rsidRPr="002128A6">
        <w:rPr>
          <w:rFonts w:ascii="Garamond" w:eastAsia="Aptos" w:hAnsi="Garamond" w:cstheme="majorBidi"/>
          <w:b/>
          <w:bCs/>
        </w:rPr>
        <w:t xml:space="preserve">Bashkëpunimi ndërkombëtar </w:t>
      </w:r>
      <w:r w:rsidR="00DC1B01" w:rsidRPr="002128A6">
        <w:rPr>
          <w:rFonts w:ascii="Garamond" w:eastAsia="Aptos" w:hAnsi="Garamond" w:cstheme="majorBidi"/>
        </w:rPr>
        <w:t xml:space="preserve">është përmirësuar dhe forcuar </w:t>
      </w:r>
      <w:r w:rsidRPr="002128A6">
        <w:rPr>
          <w:rFonts w:ascii="Garamond" w:eastAsia="Aptos" w:hAnsi="Garamond" w:cstheme="majorBidi"/>
        </w:rPr>
        <w:t>përmes pjesëmarrjes aktive të Shqipërisë në skuadrat e përbashkëta hetim</w:t>
      </w:r>
      <w:r w:rsidR="00B7562C" w:rsidRPr="002128A6">
        <w:rPr>
          <w:rFonts w:ascii="Garamond" w:eastAsia="Aptos" w:hAnsi="Garamond" w:cstheme="majorBidi"/>
        </w:rPr>
        <w:t>ore</w:t>
      </w:r>
      <w:r w:rsidRPr="002128A6">
        <w:rPr>
          <w:rFonts w:ascii="Garamond" w:eastAsia="Aptos" w:hAnsi="Garamond" w:cstheme="majorBidi"/>
        </w:rPr>
        <w:t xml:space="preserve"> </w:t>
      </w:r>
      <w:r w:rsidR="00B7562C" w:rsidRPr="002128A6">
        <w:rPr>
          <w:rFonts w:ascii="Garamond" w:eastAsia="Aptos" w:hAnsi="Garamond" w:cstheme="majorBidi"/>
        </w:rPr>
        <w:t>(SPH)</w:t>
      </w:r>
      <w:r w:rsidRPr="002128A6">
        <w:rPr>
          <w:rFonts w:ascii="Garamond" w:eastAsia="Aptos" w:hAnsi="Garamond" w:cstheme="majorBidi"/>
        </w:rPr>
        <w:t xml:space="preserve"> dhe koordinimit të saj operacional të forcuar me Shtetet Anëtare të BE-së dhe agjencitë e BE-së, veçanërisht Europolin dhe Eurojustin, dhe partneritetit operacional me FRONTEX-in. </w:t>
      </w:r>
      <w:r w:rsidR="001F31B9" w:rsidRPr="002128A6">
        <w:rPr>
          <w:rFonts w:ascii="Garamond" w:hAnsi="Garamond" w:cstheme="majorBidi"/>
        </w:rPr>
        <w:t>Shqipëria është shteti i parë joanëtar i Bashkimit Evropian që ka vendosur njësi të FRONTEX-it</w:t>
      </w:r>
      <w:r w:rsidR="001F31B9" w:rsidRPr="002128A6">
        <w:rPr>
          <w:rFonts w:ascii="Garamond" w:hAnsi="Garamond" w:cstheme="majorBidi"/>
          <w:b/>
          <w:bCs/>
        </w:rPr>
        <w:t xml:space="preserve"> </w:t>
      </w:r>
      <w:r w:rsidR="001F31B9" w:rsidRPr="002128A6">
        <w:rPr>
          <w:rFonts w:ascii="Garamond" w:hAnsi="Garamond" w:cstheme="majorBidi"/>
        </w:rPr>
        <w:t>në territorin e vet. Nisja e Operacionit të Përbashkët me Agjencinë Evropiane të Rojës Kufitare dhe Bregdetare, FRONTEX, që nga maji 2019, në kufirin juglindor të Shqipërisë, ka pasur ndikim pozitiv në menaxhimin e migracionit të paligjshëm në vendin tonë. Një nga rezultatet e para pozitive nga ky operacion ka qenë forcimi i kapaciteteve njerëzore dhe logjistike për monitorimin e zonës kufitare. Si rezultat, identifikimi i migrantëve të paligjshëm në pikat e hyrjes përgjatë kufirit ka shënuar një rritje të rëndësishme, nga 40% e të gjitha rasteve në 2019 në 90-95% në 2023.</w:t>
      </w:r>
    </w:p>
    <w:p w14:paraId="62A17BAF" w14:textId="77777777" w:rsidR="004E15CD" w:rsidRPr="002128A6" w:rsidRDefault="004E15CD" w:rsidP="0025426C">
      <w:pPr>
        <w:spacing w:after="0" w:line="240" w:lineRule="auto"/>
        <w:ind w:firstLine="284"/>
        <w:jc w:val="both"/>
        <w:rPr>
          <w:rFonts w:ascii="Garamond" w:hAnsi="Garamond" w:cstheme="majorBidi"/>
        </w:rPr>
      </w:pPr>
      <w:r w:rsidRPr="002128A6">
        <w:rPr>
          <w:rFonts w:ascii="Garamond" w:hAnsi="Garamond" w:cstheme="majorBidi"/>
        </w:rPr>
        <w:t>Në vijim të forcimit të bashkëpunimit ndërkombëtar, në kuadër të procesit të integrimit evropian, me urdhrin nr. 127, datë 26.07.2024, u krijua Njësia Kombëtare e Sistemit të Paralajmërimit të Hershëm për Droga Sintetike dhe Substanca të Reja Psikoaktive, e cila gjatë vitit 2025 u bë plotësisht funksionale. Bashkëpunimi me Agjencinë e Bashkimit Evropian për Drogat (EUDA) ka mundësuar shkëmbim të vazhdueshëm informacioni, përmes të cilit janë përcjellë 43 alarme për substanca të reja psikoaktive dhe janë identifikuar dy substanca të reja në territorin e vendit, njëra prej të cilave është raportuar në rrjetin evropian të paralajmërimit të hershëm. Ky bashkëpunim është shoqëruar gjithashtu me forcimin e kapaciteteve institucionale përmes trajnimeve, takimeve teknike dhe shkëmbimit të praktikave më të mira evropiane për vlerësimin e rrezikut dhe monitorimin e këtyre substancave, si dhe me avancimin e koordinimit ndërinstitucional në nivel kombëtar për krijimin e një sistemi të integruar të paralajmërimit të hershëm.</w:t>
      </w:r>
    </w:p>
    <w:p w14:paraId="2E81BEA4" w14:textId="33BC875B" w:rsidR="0006212A" w:rsidRPr="002128A6" w:rsidRDefault="0006212A" w:rsidP="0025426C">
      <w:pPr>
        <w:spacing w:after="0" w:line="240" w:lineRule="auto"/>
        <w:ind w:firstLine="284"/>
        <w:jc w:val="both"/>
        <w:rPr>
          <w:rFonts w:ascii="Garamond" w:eastAsia="Times New Roman" w:hAnsi="Garamond" w:cstheme="majorBidi"/>
        </w:rPr>
      </w:pPr>
      <w:r w:rsidRPr="002128A6">
        <w:rPr>
          <w:rFonts w:ascii="Garamond" w:eastAsia="Aptos" w:hAnsi="Garamond" w:cstheme="majorBidi"/>
        </w:rPr>
        <w:t>Bashkëpunimi është fokusuar gjithnjë e më shumë në trajtimin e krimit të rëndë dhe të organizuar përmes hetimeve të koordinuara, shkëmbimit të inteligjencës dhe veprimeve operacionale të përbashkëta. Shqipëria ka vazhduar gjithashtu të thellojë bashkëpunimin në fushën e gjurmimit dhe rikuperimit të aseteve, përfshirë përmes ndërveprimit me strukturat përkatëse në Shtetet Anëtare të BE-së, duke mbështetur hetime ndërkufitare më efektive dhe konfiskimin e aseteve kriminale. Pjesëmarrja në mekanizmat dhe rrjetet ndërkombëtare ka mbështetur më tej harmonizimin me standardet e BE-së dhe ka lehtësuar bashkëpunimin operacional në fushat prioritare të krimit.</w:t>
      </w:r>
    </w:p>
    <w:p w14:paraId="05A41300" w14:textId="362CD600" w:rsidR="00B61B87"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Partneriteti operacional me FRONTEX ose operacionalizimi i Njësisë së Informacionit të Pasagjerëve kanë kontribuar më tej në forcimin e menaxhimit të kufijve dhe bashkëpunimit të lidhur me migrimin në përputhje me standardet e BE-së. Megjithatë, strategjia vendos theks specifik në bashkëpunimin ndërkombëtar që synon rrjetet kriminale të organizuara të përfshira në </w:t>
      </w:r>
      <w:r w:rsidR="00133F3D" w:rsidRPr="002128A6">
        <w:rPr>
          <w:rFonts w:ascii="Garamond" w:eastAsia="Aptos" w:hAnsi="Garamond" w:cstheme="majorBidi"/>
        </w:rPr>
        <w:t>kalimin e paligjsh</w:t>
      </w:r>
      <w:r w:rsidR="00307031" w:rsidRPr="002128A6">
        <w:rPr>
          <w:rFonts w:ascii="Garamond" w:eastAsia="Aptos" w:hAnsi="Garamond" w:cstheme="majorBidi"/>
        </w:rPr>
        <w:t>ë</w:t>
      </w:r>
      <w:r w:rsidR="00133F3D" w:rsidRPr="002128A6">
        <w:rPr>
          <w:rFonts w:ascii="Garamond" w:eastAsia="Aptos" w:hAnsi="Garamond" w:cstheme="majorBidi"/>
        </w:rPr>
        <w:t>m t</w:t>
      </w:r>
      <w:r w:rsidR="00307031" w:rsidRPr="002128A6">
        <w:rPr>
          <w:rFonts w:ascii="Garamond" w:eastAsia="Aptos" w:hAnsi="Garamond" w:cstheme="majorBidi"/>
        </w:rPr>
        <w:t>ë</w:t>
      </w:r>
      <w:r w:rsidR="00133F3D" w:rsidRPr="002128A6">
        <w:rPr>
          <w:rFonts w:ascii="Garamond" w:eastAsia="Aptos" w:hAnsi="Garamond" w:cstheme="majorBidi"/>
        </w:rPr>
        <w:t xml:space="preserve"> kufirit</w:t>
      </w:r>
      <w:r w:rsidRPr="002128A6">
        <w:rPr>
          <w:rFonts w:ascii="Garamond" w:eastAsia="Aptos" w:hAnsi="Garamond" w:cstheme="majorBidi"/>
        </w:rPr>
        <w:t xml:space="preserve"> dhe trafikimin e </w:t>
      </w:r>
      <w:r w:rsidR="00133F3D" w:rsidRPr="002128A6">
        <w:rPr>
          <w:rFonts w:ascii="Garamond" w:eastAsia="Aptos" w:hAnsi="Garamond" w:cstheme="majorBidi"/>
        </w:rPr>
        <w:t>e</w:t>
      </w:r>
      <w:r w:rsidRPr="002128A6">
        <w:rPr>
          <w:rFonts w:ascii="Garamond" w:eastAsia="Aptos" w:hAnsi="Garamond" w:cstheme="majorBidi"/>
        </w:rPr>
        <w:t>migrantëve. Mekanizmat e paralajmërimit të hershëm dhe shkëmbimit të informacionit, përfshirë Sistemin e Paralajmërimit të Hershëm për substancat e reja psikoaktive</w:t>
      </w:r>
      <w:r w:rsidR="00133F3D" w:rsidRPr="002128A6">
        <w:rPr>
          <w:rFonts w:ascii="Garamond" w:eastAsia="Aptos" w:hAnsi="Garamond" w:cstheme="majorBidi"/>
        </w:rPr>
        <w:t>,</w:t>
      </w:r>
      <w:r w:rsidRPr="002128A6">
        <w:rPr>
          <w:rFonts w:ascii="Garamond" w:eastAsia="Aptos" w:hAnsi="Garamond" w:cstheme="majorBidi"/>
        </w:rPr>
        <w:t xml:space="preserve"> demonstrojnë më tej angazhimin e Shqipërisë për t'u harmonizuar me direktivat </w:t>
      </w:r>
      <w:r w:rsidR="00133F3D" w:rsidRPr="002128A6">
        <w:rPr>
          <w:rFonts w:ascii="Garamond" w:eastAsia="Aptos" w:hAnsi="Garamond" w:cstheme="majorBidi"/>
        </w:rPr>
        <w:t>dhe praktikat më të mira të</w:t>
      </w:r>
      <w:r w:rsidRPr="002128A6">
        <w:rPr>
          <w:rFonts w:ascii="Garamond" w:eastAsia="Aptos" w:hAnsi="Garamond" w:cstheme="majorBidi"/>
        </w:rPr>
        <w:t xml:space="preserve"> Bashkimit E</w:t>
      </w:r>
      <w:r w:rsidR="00A66D46" w:rsidRPr="002128A6">
        <w:rPr>
          <w:rFonts w:ascii="Garamond" w:eastAsia="Aptos" w:hAnsi="Garamond" w:cstheme="majorBidi"/>
        </w:rPr>
        <w:t>vropian</w:t>
      </w:r>
      <w:r w:rsidRPr="002128A6">
        <w:rPr>
          <w:rFonts w:ascii="Garamond" w:eastAsia="Aptos" w:hAnsi="Garamond" w:cstheme="majorBidi"/>
        </w:rPr>
        <w:t xml:space="preserve">. </w:t>
      </w:r>
    </w:p>
    <w:p w14:paraId="50984C3E" w14:textId="61642667" w:rsidR="005A2C00" w:rsidRPr="002128A6" w:rsidRDefault="005A2C00"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Evoluimi i shpejtë i krimit të mundësuar nga teknologjia kibernetike thekson </w:t>
      </w:r>
      <w:r w:rsidRPr="002128A6">
        <w:rPr>
          <w:rFonts w:ascii="Garamond" w:eastAsia="Aptos" w:hAnsi="Garamond" w:cstheme="majorBidi"/>
          <w:b/>
          <w:bCs/>
        </w:rPr>
        <w:t xml:space="preserve">domosdoshmërinë për të mbështetur kapacitetet </w:t>
      </w:r>
      <w:r w:rsidR="00F54824" w:rsidRPr="002128A6">
        <w:rPr>
          <w:rFonts w:ascii="Garamond" w:eastAsia="Aptos" w:hAnsi="Garamond" w:cstheme="majorBidi"/>
          <w:b/>
          <w:bCs/>
        </w:rPr>
        <w:t>digjital</w:t>
      </w:r>
      <w:r w:rsidRPr="002128A6">
        <w:rPr>
          <w:rFonts w:ascii="Garamond" w:eastAsia="Aptos" w:hAnsi="Garamond" w:cstheme="majorBidi"/>
          <w:b/>
          <w:bCs/>
        </w:rPr>
        <w:t>e dhe kibernetike</w:t>
      </w:r>
      <w:r w:rsidRPr="002128A6">
        <w:rPr>
          <w:rFonts w:ascii="Garamond" w:eastAsia="Aptos" w:hAnsi="Garamond" w:cstheme="majorBidi"/>
        </w:rPr>
        <w:t xml:space="preserve">. Zhvillimi i kriminalistikë së avancuar </w:t>
      </w:r>
      <w:r w:rsidR="00F54824" w:rsidRPr="002128A6">
        <w:rPr>
          <w:rFonts w:ascii="Garamond" w:eastAsia="Aptos" w:hAnsi="Garamond" w:cstheme="majorBidi"/>
        </w:rPr>
        <w:t>digjital</w:t>
      </w:r>
      <w:r w:rsidRPr="002128A6">
        <w:rPr>
          <w:rFonts w:ascii="Garamond" w:eastAsia="Aptos" w:hAnsi="Garamond" w:cstheme="majorBidi"/>
        </w:rPr>
        <w:t xml:space="preserve">e, përmirësimi i gjurmimit të aseteve kripto dhe forcimi i inteligjencës kibernetike janë jetike për të mbajtur ritmin në përballje me taktikat gjithnjë e më të sofistikuara kriminale. Strategjia thekson </w:t>
      </w:r>
      <w:r w:rsidRPr="002128A6">
        <w:rPr>
          <w:rFonts w:ascii="Garamond" w:eastAsia="Aptos" w:hAnsi="Garamond" w:cstheme="majorBidi"/>
        </w:rPr>
        <w:lastRenderedPageBreak/>
        <w:t xml:space="preserve">nevojën për të forcuar përgjigjet institucionale dhe ligjore, përfshirë përmirësimin e kriminalistikës </w:t>
      </w:r>
      <w:r w:rsidR="00F54824" w:rsidRPr="002128A6">
        <w:rPr>
          <w:rFonts w:ascii="Garamond" w:eastAsia="Aptos" w:hAnsi="Garamond" w:cstheme="majorBidi"/>
        </w:rPr>
        <w:t>digjital</w:t>
      </w:r>
      <w:r w:rsidRPr="002128A6">
        <w:rPr>
          <w:rFonts w:ascii="Garamond" w:eastAsia="Aptos" w:hAnsi="Garamond" w:cstheme="majorBidi"/>
        </w:rPr>
        <w:t>e, zhvillimin e kapaciteteve të inteligjencës kibernetike dhe përditësimin e kornizave ligjore për të adresuar kërcënimet e reja. Megjithatë, efektiviteti i këtyre masave varet në masë të konsiderueshme nga forcimi i bashkëpunimit dhe koordinimit ndërinstitucional dhe brenda vetë institucioneve</w:t>
      </w:r>
      <w:r w:rsidR="003E09D7" w:rsidRPr="002128A6">
        <w:rPr>
          <w:rFonts w:ascii="Garamond" w:eastAsia="Aptos" w:hAnsi="Garamond" w:cstheme="majorBidi"/>
        </w:rPr>
        <w:t xml:space="preserve"> </w:t>
      </w:r>
      <w:r w:rsidRPr="002128A6">
        <w:rPr>
          <w:rFonts w:ascii="Garamond" w:eastAsia="Aptos" w:hAnsi="Garamond" w:cstheme="majorBidi"/>
        </w:rPr>
        <w:t>të përfshira, fusha në të cilat nevojiten ende përmirësime të mëtejshme për të rritur eficiencën e përgjigjes së Shqipërisë ndaj krimit të organizuar.</w:t>
      </w:r>
    </w:p>
    <w:p w14:paraId="7D4E0519" w14:textId="5B4C36C0" w:rsidR="00A63158" w:rsidRPr="002128A6" w:rsidRDefault="0006212A" w:rsidP="0025426C">
      <w:pPr>
        <w:spacing w:after="0" w:line="240" w:lineRule="auto"/>
        <w:ind w:firstLine="284"/>
        <w:jc w:val="both"/>
        <w:rPr>
          <w:rFonts w:ascii="Garamond" w:eastAsia="Aptos" w:hAnsi="Garamond" w:cstheme="majorBidi"/>
          <w:strike/>
        </w:rPr>
      </w:pPr>
      <w:r w:rsidRPr="002128A6">
        <w:rPr>
          <w:rFonts w:ascii="Garamond" w:eastAsia="Aptos" w:hAnsi="Garamond" w:cstheme="majorBidi"/>
        </w:rPr>
        <w:t xml:space="preserve">Ndërsa bashkëpunimi është veçanërisht </w:t>
      </w:r>
      <w:r w:rsidR="00A63158" w:rsidRPr="002128A6">
        <w:rPr>
          <w:rFonts w:ascii="Garamond" w:eastAsia="Aptos" w:hAnsi="Garamond" w:cstheme="majorBidi"/>
        </w:rPr>
        <w:t xml:space="preserve">përcaktues </w:t>
      </w:r>
      <w:r w:rsidRPr="002128A6">
        <w:rPr>
          <w:rFonts w:ascii="Garamond" w:eastAsia="Aptos" w:hAnsi="Garamond" w:cstheme="majorBidi"/>
        </w:rPr>
        <w:t xml:space="preserve">në adresimin e krimit të mundësuar nga teknologjia kibernetike për shkak të natyrës së tij ndërkufitare dhe teknike, </w:t>
      </w:r>
      <w:r w:rsidRPr="002128A6">
        <w:rPr>
          <w:rFonts w:ascii="Garamond" w:eastAsia="Aptos" w:hAnsi="Garamond" w:cstheme="majorBidi"/>
          <w:b/>
          <w:bCs/>
        </w:rPr>
        <w:t>kjo sfidë shtrihet në të gjitha fushat e krimit të organizuar</w:t>
      </w:r>
      <w:r w:rsidRPr="002128A6">
        <w:rPr>
          <w:rFonts w:ascii="Garamond" w:eastAsia="Aptos" w:hAnsi="Garamond" w:cstheme="majorBidi"/>
        </w:rPr>
        <w:t xml:space="preserve">, përfshirë hetimet financiare, trafikimin e drogës, korrupsionin, krimin mjedisor dhe </w:t>
      </w:r>
      <w:r w:rsidR="00A63158" w:rsidRPr="002128A6">
        <w:rPr>
          <w:rFonts w:ascii="Garamond" w:eastAsia="Aptos" w:hAnsi="Garamond" w:cstheme="majorBidi"/>
        </w:rPr>
        <w:t>trafikimin e emigrantëve</w:t>
      </w:r>
      <w:r w:rsidRPr="002128A6">
        <w:rPr>
          <w:rFonts w:ascii="Garamond" w:eastAsia="Aptos" w:hAnsi="Garamond" w:cstheme="majorBidi"/>
        </w:rPr>
        <w:t xml:space="preserve">. </w:t>
      </w:r>
    </w:p>
    <w:p w14:paraId="68266904" w14:textId="77777777" w:rsidR="00E72C29" w:rsidRPr="002128A6" w:rsidRDefault="00E72C29"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Në nivel ndërinstitucional, ekzistojnë mundësi të mëtejshme për forcimin e shkëmbimit në kohë dhe në mënyrë sistematike të inteligjencës operacionale dhe strategjike ndërmjet institucioneve përgjegjëse. Zhvillimi i mëtejshëm i procedurave të koordinimit dhe i platformave të integruara do të kontribuonte në rritjen e efikasitetit të shkëmbimit elektronik të informacionit dhe në avancimin e analizave të përbashkëta ndërinstitucionale.</w:t>
      </w:r>
    </w:p>
    <w:p w14:paraId="598A45AA" w14:textId="64BE16A6" w:rsidR="00E72C29" w:rsidRPr="002128A6" w:rsidRDefault="00E72C29"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Në nivel institucional, ka potencial për përmirësimin e koordinimit ndërmjet strukturave operacionale, analitike dhe strategjike. Fuqizimi i flukseve të informacionit dhe promovimi i komunikimit horizontal dhe vertikal do të mbështesnin reagime më të shpejta dhe ndërhyrje më proaktive.</w:t>
      </w:r>
    </w:p>
    <w:p w14:paraId="04EBDE61" w14:textId="29BC999A" w:rsidR="00E72C29" w:rsidRPr="002128A6" w:rsidRDefault="00E72C29"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Më tej, konsolidimi i kulturës së bashkëpunimit, rritja e besimit institucional dhe zhvillimi i protokolleve të standardizuara për vendimmarrje të përbashkët do të krijonin kushte më të favorshme për operacione të udhëhequra nga inteligjenca dhe veprime të koordinuara ligjzbatuese.</w:t>
      </w:r>
    </w:p>
    <w:p w14:paraId="2259C927" w14:textId="5C3AE3F7" w:rsidR="00E72C29" w:rsidRPr="002128A6" w:rsidRDefault="00CC2D33"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Në këtë kuadër, është e nevojshme të forcohet bashkëpunimi ndërinstitucional përmes zhvillimit të sistemeve të integruara të informacionit, përmirësimit të shkëmbimit të të dhënave, ngritjes së kapaciteteve të përbashkëta analitike dhe konsolidimit të mekanizmave të koordinimit, me qëllim rritjen e efektivitetit në parandalimin dhe luftën kundër krimit të organizuar.</w:t>
      </w:r>
    </w:p>
    <w:p w14:paraId="0D18601B" w14:textId="5E9E4C73" w:rsidR="008F03EB" w:rsidRPr="002128A6" w:rsidRDefault="00E72C29"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Gjithashtu, vazhdimi i përpjekjeve për forcimin e sistemeve të integritetit, veçanërisht në sektorët me ekspozim më të lartë ndaj </w:t>
      </w:r>
      <w:r w:rsidR="00AF1726" w:rsidRPr="002128A6">
        <w:rPr>
          <w:rFonts w:ascii="Garamond" w:eastAsia="Aptos" w:hAnsi="Garamond" w:cstheme="majorBidi"/>
        </w:rPr>
        <w:t>rrezikut</w:t>
      </w:r>
      <w:r w:rsidRPr="002128A6">
        <w:rPr>
          <w:rFonts w:ascii="Garamond" w:eastAsia="Aptos" w:hAnsi="Garamond" w:cstheme="majorBidi"/>
        </w:rPr>
        <w:t>, si menaxhimi i kufijve, licencimi dhe prokurimi publik, do të kontribuojë në rritjen e transparencës, llogaridhënies dhe besimit në administratën publike</w:t>
      </w:r>
      <w:r w:rsidR="00502EA8" w:rsidRPr="002128A6">
        <w:rPr>
          <w:rFonts w:ascii="Garamond" w:eastAsia="Aptos" w:hAnsi="Garamond" w:cstheme="majorBidi"/>
        </w:rPr>
        <w:t>.</w:t>
      </w:r>
      <w:r w:rsidR="00F54824" w:rsidRPr="002128A6">
        <w:rPr>
          <w:rFonts w:ascii="Garamond" w:eastAsia="Aptos" w:hAnsi="Garamond" w:cstheme="majorBidi"/>
        </w:rPr>
        <w:t xml:space="preserve"> </w:t>
      </w:r>
    </w:p>
    <w:p w14:paraId="21E16990" w14:textId="7214C908" w:rsidR="00FF3D81" w:rsidRPr="002128A6" w:rsidRDefault="00ED163B"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Mbi bazën e progresit të arritur, ekzistojnë mundësi të mëtejshme për forcimin e përpjekjeve në fushën e rikuperimit dhe menaxhimit të aseteve, përmes rritjes së profesionalizmit, përmirësimit të ndërveprueshmërisë ndërinstitucionale dhe konsolidimit të koordinimit operacional, me qëllim maksimizimin e efektivitetit dhe ndikimit të tyre.</w:t>
      </w:r>
    </w:p>
    <w:p w14:paraId="482FCA1E" w14:textId="65EBCB41" w:rsidR="00983DDA" w:rsidRPr="002128A6" w:rsidRDefault="00983DD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Parandalimi në nivel komunitar paraqet potencial të konsiderueshëm për zhvillim të mëtejshëm. Rritja e fokusit në masat parandaluese në nivel vendor do të kontribuojë në reduktimin e faktorëve që favorizojnë përfshirjen në veprimtari kriminale dhe në forcimin e rezistencës së komuniteteve ndaj kërcënimeve të krimit të organizuar.</w:t>
      </w:r>
    </w:p>
    <w:p w14:paraId="6C69CEAA" w14:textId="77777777" w:rsidR="00983DDA" w:rsidRPr="002128A6" w:rsidRDefault="00983DD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Sektori bankar vijon të luajë një rol qendror në sistemin financiar dhe, për rrjedhojë, mbetet një nga kanalet kryesore përmes të cilit identifikohen dhe monitorohen flukset financiare të lidhura me pastrimin e parave. Ky pozicion lidhet me natyrën e veprimtarisë bankare dhe gamën e gjerë të shërbimeve të ofruara, me rolin dominues të sektorit bankar në tregun financiar, si dhe me volumin e lartë të klientëve dhe transaksioneve, përfshirë transfertat ndërkufitare. Në këtë kontekst, sektori bankar përfaqëson një partner kyç në forcimin e mekanizmave të parandalimit, zbulimit dhe raportimit të aktiviteteve të dyshimta.</w:t>
      </w:r>
    </w:p>
    <w:p w14:paraId="322A53EF" w14:textId="0A1BA4E4" w:rsidR="00983DDA" w:rsidRPr="002128A6" w:rsidRDefault="00983DD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Ndërsa Shqipëria ka konsoliduar më tej infrastrukturën e saj në fushën e parandalimit të pastrimit të parave, financimit të terrorizmit dhe financimit të përhapjes së armëve të shkatërrimit në masë (</w:t>
      </w:r>
      <w:r w:rsidR="00067733" w:rsidRPr="002128A6">
        <w:rPr>
          <w:rFonts w:ascii="Garamond" w:eastAsia="Aptos" w:hAnsi="Garamond" w:cstheme="majorBidi"/>
        </w:rPr>
        <w:t>PPP/FT/FADM</w:t>
      </w:r>
      <w:r w:rsidRPr="002128A6">
        <w:rPr>
          <w:rFonts w:ascii="Garamond" w:eastAsia="Aptos" w:hAnsi="Garamond" w:cstheme="majorBidi"/>
        </w:rPr>
        <w:t xml:space="preserve">), duke mundësuar rritjen e kapaciteteve për zbulimin dhe raportimin e transaksioneve të dyshimta, veçanërisht nga sektori bankar, ekzistojnë mundësi për zgjerimin e </w:t>
      </w:r>
      <w:r w:rsidRPr="002128A6">
        <w:rPr>
          <w:rFonts w:ascii="Garamond" w:eastAsia="Aptos" w:hAnsi="Garamond" w:cstheme="majorBidi"/>
        </w:rPr>
        <w:lastRenderedPageBreak/>
        <w:t>mëtejshëm të angazhimit të të gjithë aktorëve të përfshirë. Në veçanti, forcimi i pjesëmarrjes së profesioneve të caktuara jofinanciare, si avokatët, kontabilistët dhe audituesit ligjorë, do të kontribuonte në rritjen e efektivitetit të masave parandaluese dhe në fuqizimin e integritetit të sistemit kombëtar të parandalimit dhe luftës kundër pastrimit të parave.</w:t>
      </w:r>
    </w:p>
    <w:p w14:paraId="096F5C62" w14:textId="42A12FD8" w:rsidR="0006212A"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Raportet e BE-së dhe </w:t>
      </w:r>
      <w:r w:rsidR="009756AA" w:rsidRPr="002128A6">
        <w:rPr>
          <w:rFonts w:ascii="Garamond" w:eastAsia="Aptos" w:hAnsi="Garamond" w:cstheme="majorBidi"/>
        </w:rPr>
        <w:t>të organizmave të tjerë, si</w:t>
      </w:r>
      <w:r w:rsidRPr="002128A6">
        <w:rPr>
          <w:rFonts w:ascii="Garamond" w:eastAsia="Aptos" w:hAnsi="Garamond" w:cstheme="majorBidi"/>
        </w:rPr>
        <w:t xml:space="preserve"> dhe </w:t>
      </w:r>
      <w:r w:rsidRPr="002128A6">
        <w:rPr>
          <w:rFonts w:ascii="Garamond" w:eastAsia="Times New Roman" w:hAnsi="Garamond" w:cstheme="majorBidi"/>
        </w:rPr>
        <w:t>Strategjia Kombëtare për Parandalimin e Pastrimit të Parave dhe Financimit të Terrorizmit</w:t>
      </w:r>
      <w:r w:rsidRPr="002128A6">
        <w:rPr>
          <w:rFonts w:ascii="Garamond" w:eastAsia="Aptos" w:hAnsi="Garamond" w:cstheme="majorBidi"/>
        </w:rPr>
        <w:t xml:space="preserve"> </w:t>
      </w:r>
      <w:r w:rsidRPr="002128A6">
        <w:rPr>
          <w:rFonts w:ascii="Garamond" w:eastAsia="Times New Roman" w:hAnsi="Garamond" w:cstheme="majorBidi"/>
        </w:rPr>
        <w:t>2024</w:t>
      </w:r>
      <w:r w:rsidR="009756AA" w:rsidRPr="002128A6">
        <w:rPr>
          <w:rFonts w:ascii="Garamond" w:eastAsia="Times New Roman" w:hAnsi="Garamond" w:cstheme="majorBidi"/>
        </w:rPr>
        <w:t xml:space="preserve"> </w:t>
      </w:r>
      <w:r w:rsidRPr="002128A6">
        <w:rPr>
          <w:rFonts w:ascii="Garamond" w:eastAsia="Times New Roman" w:hAnsi="Garamond" w:cstheme="majorBidi"/>
        </w:rPr>
        <w:t>-</w:t>
      </w:r>
      <w:r w:rsidR="009756AA" w:rsidRPr="002128A6">
        <w:rPr>
          <w:rFonts w:ascii="Garamond" w:eastAsia="Times New Roman" w:hAnsi="Garamond" w:cstheme="majorBidi"/>
        </w:rPr>
        <w:t xml:space="preserve"> </w:t>
      </w:r>
      <w:r w:rsidRPr="002128A6">
        <w:rPr>
          <w:rFonts w:ascii="Garamond" w:eastAsia="Times New Roman" w:hAnsi="Garamond" w:cstheme="majorBidi"/>
        </w:rPr>
        <w:t>2030</w:t>
      </w:r>
      <w:r w:rsidR="009756AA" w:rsidRPr="002128A6">
        <w:rPr>
          <w:rFonts w:ascii="Garamond" w:eastAsia="Times New Roman" w:hAnsi="Garamond" w:cstheme="majorBidi"/>
        </w:rPr>
        <w:t xml:space="preserve">, </w:t>
      </w:r>
      <w:r w:rsidRPr="002128A6">
        <w:rPr>
          <w:rFonts w:ascii="Garamond" w:eastAsia="Aptos" w:hAnsi="Garamond" w:cstheme="majorBidi"/>
        </w:rPr>
        <w:t xml:space="preserve">theksojnë nevojën për të kaluar drejt një qasjeje më gjithëpërfshirëse ndaj krimit financiar dhe ekonomik, </w:t>
      </w:r>
      <w:r w:rsidR="009756AA" w:rsidRPr="002128A6">
        <w:rPr>
          <w:rFonts w:ascii="Garamond" w:eastAsia="Aptos" w:hAnsi="Garamond" w:cstheme="majorBidi"/>
        </w:rPr>
        <w:t xml:space="preserve">të bazuar në </w:t>
      </w:r>
      <w:r w:rsidR="00AF1726" w:rsidRPr="002128A6">
        <w:rPr>
          <w:rFonts w:ascii="Garamond" w:eastAsia="Aptos" w:hAnsi="Garamond" w:cstheme="majorBidi"/>
        </w:rPr>
        <w:t>rrezik</w:t>
      </w:r>
      <w:r w:rsidR="009756AA" w:rsidRPr="002128A6">
        <w:rPr>
          <w:rFonts w:ascii="Garamond" w:eastAsia="Aptos" w:hAnsi="Garamond" w:cstheme="majorBidi"/>
        </w:rPr>
        <w:t xml:space="preserve"> dhe n</w:t>
      </w:r>
      <w:r w:rsidRPr="002128A6">
        <w:rPr>
          <w:rFonts w:ascii="Garamond" w:eastAsia="Aptos" w:hAnsi="Garamond" w:cstheme="majorBidi"/>
        </w:rPr>
        <w:t>ë bashkëpunimin më të fortë publik</w:t>
      </w:r>
      <w:r w:rsidR="00A66D46" w:rsidRPr="002128A6">
        <w:rPr>
          <w:rFonts w:ascii="Garamond" w:eastAsia="Aptos" w:hAnsi="Garamond" w:cstheme="majorBidi"/>
        </w:rPr>
        <w:t>-</w:t>
      </w:r>
      <w:r w:rsidRPr="002128A6">
        <w:rPr>
          <w:rFonts w:ascii="Garamond" w:eastAsia="Aptos" w:hAnsi="Garamond" w:cstheme="majorBidi"/>
        </w:rPr>
        <w:t>privat, transparencën e zgjeruar të pronësisë përfituese, integrimin e përmirësuar të të dhënave dhe përdorimin sistematik të inteligjencës financiare në hetime. Adresimi i krimit financiar dhe ekonomik, për këtë arsye, kërkon një qasje të integruar që kombinon mbikëqyrjen parandaluese, inteligjencën financiare, zbatimin rregullator dhe hetimin penal, duke siguruar që flukset e paligjshme financiare të zbulohen herët dhe që themelet ekonomike të krimit të organizuar të ndërpriten efektivisht.</w:t>
      </w:r>
    </w:p>
    <w:p w14:paraId="1037C650" w14:textId="63C39D2D" w:rsidR="0006212A" w:rsidRPr="002128A6" w:rsidRDefault="0006212A"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Në </w:t>
      </w:r>
      <w:r w:rsidR="002A7459" w:rsidRPr="002128A6">
        <w:rPr>
          <w:rFonts w:ascii="Garamond" w:eastAsia="Aptos" w:hAnsi="Garamond" w:cstheme="majorBidi"/>
        </w:rPr>
        <w:t>mënyrë të përmbledhur</w:t>
      </w:r>
      <w:r w:rsidRPr="002128A6">
        <w:rPr>
          <w:rFonts w:ascii="Garamond" w:eastAsia="Aptos" w:hAnsi="Garamond" w:cstheme="majorBidi"/>
        </w:rPr>
        <w:t>, vlerësimi i kërcënim</w:t>
      </w:r>
      <w:r w:rsidR="009756AA" w:rsidRPr="002128A6">
        <w:rPr>
          <w:rFonts w:ascii="Garamond" w:eastAsia="Aptos" w:hAnsi="Garamond" w:cstheme="majorBidi"/>
        </w:rPr>
        <w:t>eve</w:t>
      </w:r>
      <w:r w:rsidRPr="002128A6">
        <w:rPr>
          <w:rFonts w:ascii="Garamond" w:eastAsia="Aptos" w:hAnsi="Garamond" w:cstheme="majorBidi"/>
        </w:rPr>
        <w:t xml:space="preserve"> tregon se mjedisi </w:t>
      </w:r>
      <w:r w:rsidR="009756AA" w:rsidRPr="002128A6">
        <w:rPr>
          <w:rFonts w:ascii="Garamond" w:eastAsia="Aptos" w:hAnsi="Garamond" w:cstheme="majorBidi"/>
        </w:rPr>
        <w:t>kriminal</w:t>
      </w:r>
      <w:r w:rsidRPr="002128A6">
        <w:rPr>
          <w:rFonts w:ascii="Garamond" w:eastAsia="Aptos" w:hAnsi="Garamond" w:cstheme="majorBidi"/>
        </w:rPr>
        <w:t xml:space="preserve"> </w:t>
      </w:r>
      <w:r w:rsidR="009756AA" w:rsidRPr="002128A6">
        <w:rPr>
          <w:rFonts w:ascii="Garamond" w:eastAsia="Aptos" w:hAnsi="Garamond" w:cstheme="majorBidi"/>
        </w:rPr>
        <w:t>n</w:t>
      </w:r>
      <w:r w:rsidRPr="002128A6">
        <w:rPr>
          <w:rFonts w:ascii="Garamond" w:eastAsia="Aptos" w:hAnsi="Garamond" w:cstheme="majorBidi"/>
        </w:rPr>
        <w:t xml:space="preserve">ë Shqipëri </w:t>
      </w:r>
      <w:r w:rsidR="009756AA" w:rsidRPr="002128A6">
        <w:rPr>
          <w:rFonts w:ascii="Garamond" w:eastAsia="Aptos" w:hAnsi="Garamond" w:cstheme="majorBidi"/>
        </w:rPr>
        <w:t>shënohet nga</w:t>
      </w:r>
      <w:r w:rsidRPr="002128A6">
        <w:rPr>
          <w:rFonts w:ascii="Garamond" w:eastAsia="Aptos" w:hAnsi="Garamond" w:cstheme="majorBidi"/>
        </w:rPr>
        <w:t xml:space="preserve"> rrjete</w:t>
      </w:r>
      <w:r w:rsidR="00AF1726" w:rsidRPr="002128A6">
        <w:rPr>
          <w:rFonts w:ascii="Garamond" w:eastAsia="Aptos" w:hAnsi="Garamond" w:cstheme="majorBidi"/>
        </w:rPr>
        <w:t xml:space="preserve"> të organizatave</w:t>
      </w:r>
      <w:r w:rsidRPr="002128A6">
        <w:rPr>
          <w:rFonts w:ascii="Garamond" w:eastAsia="Aptos" w:hAnsi="Garamond" w:cstheme="majorBidi"/>
        </w:rPr>
        <w:t xml:space="preserve"> kriminale </w:t>
      </w:r>
      <w:r w:rsidR="009756AA" w:rsidRPr="002128A6">
        <w:rPr>
          <w:rFonts w:ascii="Garamond" w:eastAsia="Aptos" w:hAnsi="Garamond" w:cstheme="majorBidi"/>
        </w:rPr>
        <w:t>q</w:t>
      </w:r>
      <w:r w:rsidRPr="002128A6">
        <w:rPr>
          <w:rFonts w:ascii="Garamond" w:eastAsia="Aptos" w:hAnsi="Garamond" w:cstheme="majorBidi"/>
        </w:rPr>
        <w:t>ë përshtat</w:t>
      </w:r>
      <w:r w:rsidR="009756AA" w:rsidRPr="002128A6">
        <w:rPr>
          <w:rFonts w:ascii="Garamond" w:eastAsia="Aptos" w:hAnsi="Garamond" w:cstheme="majorBidi"/>
        </w:rPr>
        <w:t>en</w:t>
      </w:r>
      <w:r w:rsidRPr="002128A6">
        <w:rPr>
          <w:rFonts w:ascii="Garamond" w:eastAsia="Aptos" w:hAnsi="Garamond" w:cstheme="majorBidi"/>
        </w:rPr>
        <w:t>, transnacionale dhe teknologjikisht të avancuara. Arritjet e strategjisë 2021</w:t>
      </w:r>
      <w:r w:rsidR="00E10EF6" w:rsidRPr="002128A6">
        <w:rPr>
          <w:rFonts w:ascii="Garamond" w:eastAsia="Aptos" w:hAnsi="Garamond" w:cstheme="majorBidi"/>
        </w:rPr>
        <w:t xml:space="preserve"> </w:t>
      </w:r>
      <w:r w:rsidRPr="002128A6">
        <w:rPr>
          <w:rFonts w:ascii="Garamond" w:eastAsia="Aptos" w:hAnsi="Garamond" w:cstheme="majorBidi"/>
        </w:rPr>
        <w:t>-</w:t>
      </w:r>
      <w:r w:rsidR="00E10EF6" w:rsidRPr="002128A6">
        <w:rPr>
          <w:rFonts w:ascii="Garamond" w:eastAsia="Aptos" w:hAnsi="Garamond" w:cstheme="majorBidi"/>
        </w:rPr>
        <w:t xml:space="preserve"> </w:t>
      </w:r>
      <w:r w:rsidRPr="002128A6">
        <w:rPr>
          <w:rFonts w:ascii="Garamond" w:eastAsia="Aptos" w:hAnsi="Garamond" w:cstheme="majorBidi"/>
        </w:rPr>
        <w:t>2025 demonstrojnë kapacitetin e vendit për reformë dhe harmonizim me normat ndërkombëtare, megjithatë</w:t>
      </w:r>
      <w:r w:rsidR="00E10EF6" w:rsidRPr="002128A6">
        <w:rPr>
          <w:rFonts w:ascii="Garamond" w:eastAsia="Aptos" w:hAnsi="Garamond" w:cstheme="majorBidi"/>
        </w:rPr>
        <w:t>,</w:t>
      </w:r>
      <w:r w:rsidRPr="002128A6">
        <w:rPr>
          <w:rFonts w:ascii="Garamond" w:eastAsia="Aptos" w:hAnsi="Garamond" w:cstheme="majorBidi"/>
        </w:rPr>
        <w:t xml:space="preserve"> sfidat sistemike të vazhdueshme mbeten. Në këtë sfond strategjia prioritizon: </w:t>
      </w:r>
    </w:p>
    <w:p w14:paraId="4422BD5F" w14:textId="5B07E6B3"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Calibri"/>
          <w:kern w:val="0"/>
        </w:rPr>
        <w:t xml:space="preserve">­ </w:t>
      </w:r>
      <w:r w:rsidRPr="002128A6">
        <w:rPr>
          <w:rFonts w:ascii="Garamond" w:hAnsi="Garamond" w:cs="Garamond"/>
          <w:b/>
          <w:bCs/>
          <w:kern w:val="0"/>
        </w:rPr>
        <w:t>Forcimin e mjeteve administrative dhe rregullatore për të plotësuar zbatimin.</w:t>
      </w:r>
      <w:r w:rsidRPr="002128A6">
        <w:rPr>
          <w:rFonts w:ascii="Garamond" w:hAnsi="Garamond" w:cs="Garamond"/>
          <w:kern w:val="0"/>
        </w:rPr>
        <w:t xml:space="preserve"> Kjo përfshin forcimin e mekanizmave të fortë mbikëqyrës dhe kornizave rregullatore për të mbyllur boshllëqet që krimi i organizuar mund të shfrytëzojë. Duke përforcuar këto struktura, krahas zbatimit tradicional, autoritetet mund të sigurojnë një përgjigje më holistike dhe efektive ndaj aktivitetit kriminal.</w:t>
      </w:r>
    </w:p>
    <w:p w14:paraId="03C7C7F9" w14:textId="4574590F"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Calibri"/>
          <w:kern w:val="0"/>
        </w:rPr>
        <w:t xml:space="preserve">­ </w:t>
      </w:r>
      <w:r w:rsidRPr="002128A6">
        <w:rPr>
          <w:rFonts w:ascii="Garamond" w:hAnsi="Garamond" w:cs="Garamond"/>
          <w:b/>
          <w:bCs/>
          <w:kern w:val="0"/>
        </w:rPr>
        <w:t>Konsolidimin e ndërprerjes financiare, rikuperimin e aseteve dhe transparencën e pronarit përfitues</w:t>
      </w:r>
      <w:r w:rsidRPr="002128A6">
        <w:rPr>
          <w:rFonts w:ascii="Garamond" w:hAnsi="Garamond" w:cs="Garamond"/>
          <w:kern w:val="0"/>
        </w:rPr>
        <w:t>. Çelësi për goditjen e rrjeteve kriminale është prioritizimi i hetimeve financiare, gjurmimi i unifikuar i aseteve. Kjo qasje pengon flukset e paligjshme financiare dhe fshehjen e aseteve pas strukturave komplekse të biznesit.</w:t>
      </w:r>
    </w:p>
    <w:p w14:paraId="224F427F" w14:textId="0B24FA4B"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Calibri"/>
          <w:kern w:val="0"/>
        </w:rPr>
        <w:t xml:space="preserve">­ </w:t>
      </w:r>
      <w:r w:rsidRPr="002128A6">
        <w:rPr>
          <w:rFonts w:ascii="Garamond" w:hAnsi="Garamond" w:cs="Garamond"/>
          <w:b/>
          <w:bCs/>
          <w:kern w:val="0"/>
        </w:rPr>
        <w:t xml:space="preserve">Përmirësimin e kapaciteteve </w:t>
      </w:r>
      <w:r w:rsidR="00F54824" w:rsidRPr="002128A6">
        <w:rPr>
          <w:rFonts w:ascii="Garamond" w:hAnsi="Garamond" w:cs="Garamond"/>
          <w:b/>
          <w:bCs/>
          <w:kern w:val="0"/>
        </w:rPr>
        <w:t>digjital</w:t>
      </w:r>
      <w:r w:rsidRPr="002128A6">
        <w:rPr>
          <w:rFonts w:ascii="Garamond" w:hAnsi="Garamond" w:cs="Garamond"/>
          <w:b/>
          <w:bCs/>
          <w:kern w:val="0"/>
        </w:rPr>
        <w:t>e dhe kibernetike</w:t>
      </w:r>
      <w:r w:rsidRPr="002128A6">
        <w:rPr>
          <w:rFonts w:ascii="Garamond" w:hAnsi="Garamond" w:cs="Garamond"/>
          <w:kern w:val="0"/>
        </w:rPr>
        <w:t xml:space="preserve">. Zhvillimi i aftësive të avancuara kriminalistike </w:t>
      </w:r>
      <w:r w:rsidR="00F54824" w:rsidRPr="002128A6">
        <w:rPr>
          <w:rFonts w:ascii="Garamond" w:hAnsi="Garamond" w:cs="Garamond"/>
          <w:kern w:val="0"/>
        </w:rPr>
        <w:t>digjital</w:t>
      </w:r>
      <w:r w:rsidRPr="002128A6">
        <w:rPr>
          <w:rFonts w:ascii="Garamond" w:hAnsi="Garamond" w:cs="Garamond"/>
          <w:kern w:val="0"/>
        </w:rPr>
        <w:t xml:space="preserve">e dhe inteligjencës kibernetike është thelbësor për të luftuar kundër krimeve gjithnjë e më të sofistikuara, të mundësuara nga teknologjia kibernetike, si dhe për të mundësuar zbulim, hetim dhe përgjigje të shpejtë ndaj kërcënimeve </w:t>
      </w:r>
      <w:r w:rsidR="00F54824" w:rsidRPr="002128A6">
        <w:rPr>
          <w:rFonts w:ascii="Garamond" w:hAnsi="Garamond" w:cs="Garamond"/>
          <w:kern w:val="0"/>
        </w:rPr>
        <w:t>digjital</w:t>
      </w:r>
      <w:r w:rsidRPr="002128A6">
        <w:rPr>
          <w:rFonts w:ascii="Garamond" w:hAnsi="Garamond" w:cs="Garamond"/>
          <w:kern w:val="0"/>
        </w:rPr>
        <w:t>e.</w:t>
      </w:r>
    </w:p>
    <w:p w14:paraId="55B6CDF7" w14:textId="2CB6537D"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Calibri"/>
          <w:kern w:val="0"/>
        </w:rPr>
        <w:t xml:space="preserve">­ </w:t>
      </w:r>
      <w:r w:rsidRPr="002128A6">
        <w:rPr>
          <w:rFonts w:ascii="Garamond" w:hAnsi="Garamond" w:cs="Garamond"/>
          <w:b/>
          <w:bCs/>
          <w:kern w:val="0"/>
        </w:rPr>
        <w:t>Përmirësimin e koordinimit ndërinstitucional, integrimit të të dhënave dhe profesionalizimit</w:t>
      </w:r>
      <w:r w:rsidRPr="002128A6">
        <w:rPr>
          <w:rFonts w:ascii="Garamond" w:hAnsi="Garamond" w:cs="Garamond"/>
          <w:kern w:val="0"/>
        </w:rPr>
        <w:t>. Përmirësimi i bashkëpunimit midis agjencive dhe integrimi i sistemeve të tyre të të dhënave do të promovojë operacione më efektive të udhëhequra nga inteligjenca. Zhvillimi profesional dhe trajnimi në të gjitha institucionet janë gjithashtu thelbësore për ruajtjen e standardeve të larta dhe efektivitetit operacional.</w:t>
      </w:r>
    </w:p>
    <w:p w14:paraId="61084FAD" w14:textId="362346C7"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Calibri"/>
          <w:kern w:val="0"/>
        </w:rPr>
        <w:t xml:space="preserve">­ </w:t>
      </w:r>
      <w:r w:rsidRPr="002128A6">
        <w:rPr>
          <w:rFonts w:ascii="Garamond" w:hAnsi="Garamond" w:cs="Garamond"/>
          <w:b/>
          <w:bCs/>
          <w:kern w:val="0"/>
        </w:rPr>
        <w:t>Përforcimin e sistemeve të integritetit, veçanërisht në sektorët me rrezik të lartë</w:t>
      </w:r>
      <w:r w:rsidRPr="002128A6">
        <w:rPr>
          <w:rFonts w:ascii="Garamond" w:hAnsi="Garamond" w:cs="Garamond"/>
          <w:kern w:val="0"/>
        </w:rPr>
        <w:t>. Zbatimi i kontrolleve të rrepta dhe rritja e mbikëqyrjes në fusha si menaxhimi i kufijve, dhe prokurimi ndihmon në parandalimin e korrupsionit dhe ruan besueshmërinë e institucioneve publike.</w:t>
      </w:r>
    </w:p>
    <w:p w14:paraId="16E57C9D" w14:textId="68718FCB"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Calibri"/>
          <w:kern w:val="0"/>
        </w:rPr>
        <w:t xml:space="preserve">­ </w:t>
      </w:r>
      <w:r w:rsidRPr="002128A6">
        <w:rPr>
          <w:rFonts w:ascii="Garamond" w:hAnsi="Garamond" w:cs="Garamond"/>
          <w:b/>
          <w:bCs/>
          <w:kern w:val="0"/>
        </w:rPr>
        <w:t>Zgjerimin e masave të parandalimit dhe rezistencës</w:t>
      </w:r>
      <w:r w:rsidRPr="002128A6">
        <w:rPr>
          <w:rFonts w:ascii="Garamond" w:hAnsi="Garamond" w:cs="Garamond"/>
          <w:kern w:val="0"/>
        </w:rPr>
        <w:t>. Fokusi në nismat në nivel komunitar dhe ndërhyrjet proaktive synojn</w:t>
      </w:r>
      <w:r w:rsidR="003E09D7" w:rsidRPr="002128A6">
        <w:rPr>
          <w:rFonts w:ascii="Garamond" w:hAnsi="Garamond" w:cs="Garamond"/>
          <w:kern w:val="0"/>
        </w:rPr>
        <w:t>ë</w:t>
      </w:r>
      <w:r w:rsidRPr="002128A6">
        <w:rPr>
          <w:rFonts w:ascii="Garamond" w:hAnsi="Garamond" w:cs="Garamond"/>
          <w:kern w:val="0"/>
        </w:rPr>
        <w:t xml:space="preserve"> reduktimin e rekrutimit të personave në krimin e organizuar dhe forcimin e mbrojtjeve shoqërore kundër ndikimit kriminal.</w:t>
      </w:r>
    </w:p>
    <w:p w14:paraId="7CEA4190" w14:textId="475FE53B"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Calibri"/>
          <w:kern w:val="0"/>
        </w:rPr>
        <w:t xml:space="preserve">­ </w:t>
      </w:r>
      <w:r w:rsidRPr="002128A6">
        <w:rPr>
          <w:rFonts w:ascii="Garamond" w:hAnsi="Garamond" w:cs="Garamond"/>
          <w:b/>
          <w:bCs/>
          <w:kern w:val="0"/>
        </w:rPr>
        <w:t>Thellimin e bashkëpunimit ndërkombëtar dhe pajtueshmërisë me standardet e BE-së dhe ato ndërkombëtare</w:t>
      </w:r>
      <w:r w:rsidRPr="002128A6">
        <w:rPr>
          <w:rFonts w:ascii="Garamond" w:hAnsi="Garamond" w:cs="Garamond"/>
          <w:kern w:val="0"/>
        </w:rPr>
        <w:t>. Forcimi i partneriteteve ndërkufitare dhe harmonizimi me praktikat më të mira ndërkombëtare është jetësor për adresimin efektiv të krimit transnacional dhe mbështetjen e aspiratave të Shqipërisë për integrimin evropian.</w:t>
      </w:r>
    </w:p>
    <w:p w14:paraId="4F054C22" w14:textId="7336B1B9" w:rsidR="004D1BF6" w:rsidRPr="002128A6" w:rsidRDefault="004D1BF6" w:rsidP="0025426C">
      <w:pPr>
        <w:spacing w:after="0" w:line="240" w:lineRule="auto"/>
        <w:ind w:firstLine="284"/>
        <w:jc w:val="both"/>
        <w:rPr>
          <w:rFonts w:ascii="Garamond" w:hAnsi="Garamond" w:cstheme="majorBidi"/>
          <w:bCs/>
        </w:rPr>
      </w:pPr>
      <w:r w:rsidRPr="002128A6">
        <w:rPr>
          <w:rFonts w:ascii="Garamond" w:hAnsi="Garamond" w:cstheme="majorBidi"/>
          <w:bCs/>
        </w:rPr>
        <w:t>N</w:t>
      </w:r>
      <w:r w:rsidR="00D3312D" w:rsidRPr="002128A6">
        <w:rPr>
          <w:rFonts w:ascii="Garamond" w:hAnsi="Garamond" w:cstheme="majorBidi"/>
          <w:bCs/>
        </w:rPr>
        <w:t>ë</w:t>
      </w:r>
      <w:r w:rsidRPr="002128A6">
        <w:rPr>
          <w:rFonts w:ascii="Garamond" w:hAnsi="Garamond" w:cstheme="majorBidi"/>
          <w:bCs/>
        </w:rPr>
        <w:t xml:space="preserve"> raport progresin e Komisionit Evropian për vitin 2025, B</w:t>
      </w:r>
      <w:r w:rsidR="00D3312D" w:rsidRPr="002128A6">
        <w:rPr>
          <w:rFonts w:ascii="Garamond" w:hAnsi="Garamond" w:cstheme="majorBidi"/>
          <w:bCs/>
        </w:rPr>
        <w:t xml:space="preserve">ashkimi </w:t>
      </w:r>
      <w:r w:rsidRPr="002128A6">
        <w:rPr>
          <w:rFonts w:ascii="Garamond" w:hAnsi="Garamond" w:cstheme="majorBidi"/>
          <w:bCs/>
        </w:rPr>
        <w:t>E</w:t>
      </w:r>
      <w:r w:rsidR="00D3312D" w:rsidRPr="002128A6">
        <w:rPr>
          <w:rFonts w:ascii="Garamond" w:hAnsi="Garamond" w:cstheme="majorBidi"/>
          <w:bCs/>
        </w:rPr>
        <w:t>vropian</w:t>
      </w:r>
      <w:r w:rsidRPr="002128A6">
        <w:rPr>
          <w:rFonts w:ascii="Garamond" w:hAnsi="Garamond" w:cstheme="majorBidi"/>
          <w:bCs/>
        </w:rPr>
        <w:t xml:space="preserve"> ka vlerësuar</w:t>
      </w:r>
      <w:r w:rsidR="00D3312D" w:rsidRPr="002128A6">
        <w:rPr>
          <w:rFonts w:ascii="Garamond" w:hAnsi="Garamond" w:cstheme="majorBidi"/>
          <w:bCs/>
        </w:rPr>
        <w:t xml:space="preserve"> progresin e </w:t>
      </w:r>
      <w:r w:rsidR="003E09D7" w:rsidRPr="002128A6">
        <w:rPr>
          <w:rFonts w:ascii="Garamond" w:hAnsi="Garamond" w:cstheme="majorBidi"/>
          <w:bCs/>
        </w:rPr>
        <w:t>Shqipërisë</w:t>
      </w:r>
      <w:r w:rsidR="00D3312D" w:rsidRPr="002128A6">
        <w:rPr>
          <w:rFonts w:ascii="Garamond" w:hAnsi="Garamond" w:cstheme="majorBidi"/>
          <w:bCs/>
        </w:rPr>
        <w:t xml:space="preserve"> nëpërmjet harmonizimit të kuadrit ligjor si dhe</w:t>
      </w:r>
      <w:r w:rsidRPr="002128A6">
        <w:rPr>
          <w:rFonts w:ascii="Garamond" w:hAnsi="Garamond" w:cstheme="majorBidi"/>
          <w:bCs/>
        </w:rPr>
        <w:t xml:space="preserve"> përparimi</w:t>
      </w:r>
      <w:r w:rsidR="00D3312D" w:rsidRPr="002128A6">
        <w:rPr>
          <w:rFonts w:ascii="Garamond" w:hAnsi="Garamond" w:cstheme="majorBidi"/>
          <w:bCs/>
        </w:rPr>
        <w:t>t</w:t>
      </w:r>
      <w:r w:rsidRPr="002128A6">
        <w:rPr>
          <w:rFonts w:ascii="Garamond" w:hAnsi="Garamond" w:cstheme="majorBidi"/>
          <w:bCs/>
        </w:rPr>
        <w:t xml:space="preserve"> në ngritjen dhe </w:t>
      </w:r>
      <w:r w:rsidRPr="002128A6">
        <w:rPr>
          <w:rFonts w:ascii="Garamond" w:hAnsi="Garamond" w:cstheme="majorBidi"/>
          <w:bCs/>
        </w:rPr>
        <w:lastRenderedPageBreak/>
        <w:t xml:space="preserve">zhvillimin e strukturave si </w:t>
      </w:r>
      <w:r w:rsidR="00CF0C91" w:rsidRPr="002128A6">
        <w:rPr>
          <w:rFonts w:ascii="Garamond" w:hAnsi="Garamond" w:cstheme="majorBidi"/>
          <w:bCs/>
        </w:rPr>
        <w:t>Zyra e Rikuperimit të Aseteve (</w:t>
      </w:r>
      <w:r w:rsidRPr="002128A6">
        <w:rPr>
          <w:rFonts w:ascii="Garamond" w:hAnsi="Garamond" w:cstheme="majorBidi"/>
          <w:bCs/>
        </w:rPr>
        <w:t>ARO</w:t>
      </w:r>
      <w:r w:rsidR="00CF0C91" w:rsidRPr="002128A6">
        <w:rPr>
          <w:rFonts w:ascii="Garamond" w:hAnsi="Garamond" w:cstheme="majorBidi"/>
          <w:bCs/>
        </w:rPr>
        <w:t>)</w:t>
      </w:r>
      <w:r w:rsidRPr="002128A6">
        <w:rPr>
          <w:rFonts w:ascii="Garamond" w:hAnsi="Garamond" w:cstheme="majorBidi"/>
          <w:bCs/>
        </w:rPr>
        <w:t>, SPAK dhe BKH</w:t>
      </w:r>
      <w:r w:rsidR="00D3312D" w:rsidRPr="002128A6">
        <w:rPr>
          <w:rFonts w:ascii="Garamond" w:hAnsi="Garamond" w:cstheme="majorBidi"/>
          <w:bCs/>
        </w:rPr>
        <w:t xml:space="preserve"> d</w:t>
      </w:r>
      <w:r w:rsidRPr="002128A6">
        <w:rPr>
          <w:rFonts w:ascii="Garamond" w:hAnsi="Garamond" w:cstheme="majorBidi"/>
          <w:bCs/>
        </w:rPr>
        <w:t>he rritjen e aksesit në bazat e të dhënave</w:t>
      </w:r>
      <w:r w:rsidR="00D3312D" w:rsidRPr="002128A6">
        <w:rPr>
          <w:rFonts w:ascii="Garamond" w:hAnsi="Garamond" w:cstheme="majorBidi"/>
          <w:bCs/>
        </w:rPr>
        <w:t xml:space="preserve">. </w:t>
      </w:r>
    </w:p>
    <w:p w14:paraId="5A9CDB69" w14:textId="49BAFEE1" w:rsidR="000963E0" w:rsidRPr="002128A6" w:rsidRDefault="004D1BF6" w:rsidP="0025426C">
      <w:pPr>
        <w:spacing w:after="0" w:line="240" w:lineRule="auto"/>
        <w:ind w:firstLine="284"/>
        <w:jc w:val="both"/>
        <w:rPr>
          <w:rFonts w:ascii="Garamond" w:hAnsi="Garamond" w:cstheme="majorBidi"/>
          <w:bCs/>
          <w:i/>
          <w:iCs/>
        </w:rPr>
      </w:pPr>
      <w:r w:rsidRPr="002128A6">
        <w:rPr>
          <w:rFonts w:ascii="Garamond" w:hAnsi="Garamond" w:cstheme="majorBidi"/>
          <w:bCs/>
        </w:rPr>
        <w:t>Gjithashtu,</w:t>
      </w:r>
      <w:r w:rsidR="00F54824" w:rsidRPr="002128A6">
        <w:rPr>
          <w:rFonts w:ascii="Garamond" w:hAnsi="Garamond" w:cstheme="majorBidi"/>
          <w:bCs/>
        </w:rPr>
        <w:t xml:space="preserve"> </w:t>
      </w:r>
      <w:r w:rsidR="00BA6D9A" w:rsidRPr="002128A6">
        <w:rPr>
          <w:rFonts w:ascii="Garamond" w:hAnsi="Garamond" w:cstheme="majorBidi"/>
          <w:bCs/>
        </w:rPr>
        <w:t>raporti</w:t>
      </w:r>
      <w:r w:rsidR="00C73FC1" w:rsidRPr="002128A6">
        <w:rPr>
          <w:rFonts w:ascii="Garamond" w:hAnsi="Garamond" w:cstheme="majorBidi"/>
          <w:bCs/>
        </w:rPr>
        <w:t xml:space="preserve"> i</w:t>
      </w:r>
      <w:r w:rsidR="00BA6D9A" w:rsidRPr="002128A6">
        <w:rPr>
          <w:rFonts w:ascii="Garamond" w:hAnsi="Garamond" w:cstheme="majorBidi"/>
          <w:bCs/>
        </w:rPr>
        <w:t xml:space="preserve"> progresit </w:t>
      </w:r>
      <w:r w:rsidR="00C73FC1" w:rsidRPr="002128A6">
        <w:rPr>
          <w:rFonts w:ascii="Garamond" w:hAnsi="Garamond" w:cstheme="majorBidi"/>
          <w:bCs/>
        </w:rPr>
        <w:t>i</w:t>
      </w:r>
      <w:r w:rsidR="00BA6D9A" w:rsidRPr="002128A6">
        <w:rPr>
          <w:rFonts w:ascii="Garamond" w:hAnsi="Garamond" w:cstheme="majorBidi"/>
          <w:bCs/>
        </w:rPr>
        <w:t xml:space="preserve"> Komisionit E</w:t>
      </w:r>
      <w:r w:rsidR="00A66D46" w:rsidRPr="002128A6">
        <w:rPr>
          <w:rFonts w:ascii="Garamond" w:hAnsi="Garamond" w:cstheme="majorBidi"/>
          <w:bCs/>
        </w:rPr>
        <w:t>vropian</w:t>
      </w:r>
      <w:r w:rsidR="00BA6D9A" w:rsidRPr="002128A6">
        <w:rPr>
          <w:rFonts w:ascii="Garamond" w:hAnsi="Garamond" w:cstheme="majorBidi"/>
          <w:bCs/>
        </w:rPr>
        <w:t xml:space="preserve"> </w:t>
      </w:r>
      <w:r w:rsidR="00C73FC1" w:rsidRPr="002128A6">
        <w:rPr>
          <w:rFonts w:ascii="Garamond" w:hAnsi="Garamond" w:cstheme="majorBidi"/>
          <w:bCs/>
        </w:rPr>
        <w:t xml:space="preserve">për vitin </w:t>
      </w:r>
      <w:r w:rsidR="00BA6D9A" w:rsidRPr="002128A6">
        <w:rPr>
          <w:rFonts w:ascii="Garamond" w:hAnsi="Garamond" w:cstheme="majorBidi"/>
          <w:bCs/>
        </w:rPr>
        <w:t xml:space="preserve">2024 </w:t>
      </w:r>
      <w:r w:rsidR="00C73FC1" w:rsidRPr="002128A6">
        <w:rPr>
          <w:rFonts w:ascii="Garamond" w:hAnsi="Garamond" w:cstheme="majorBidi"/>
          <w:bCs/>
        </w:rPr>
        <w:t>kons</w:t>
      </w:r>
      <w:r w:rsidRPr="002128A6">
        <w:rPr>
          <w:rFonts w:ascii="Garamond" w:hAnsi="Garamond" w:cstheme="majorBidi"/>
          <w:bCs/>
        </w:rPr>
        <w:t>t</w:t>
      </w:r>
      <w:r w:rsidR="00C73FC1" w:rsidRPr="002128A6">
        <w:rPr>
          <w:rFonts w:ascii="Garamond" w:hAnsi="Garamond" w:cstheme="majorBidi"/>
          <w:bCs/>
        </w:rPr>
        <w:t xml:space="preserve">aton </w:t>
      </w:r>
      <w:r w:rsidR="00BA6D9A" w:rsidRPr="002128A6">
        <w:rPr>
          <w:rFonts w:ascii="Garamond" w:hAnsi="Garamond" w:cstheme="majorBidi"/>
          <w:bCs/>
        </w:rPr>
        <w:t xml:space="preserve">se </w:t>
      </w:r>
      <w:r w:rsidR="00BA6D9A" w:rsidRPr="002128A6">
        <w:rPr>
          <w:rFonts w:ascii="Garamond" w:hAnsi="Garamond" w:cstheme="majorBidi"/>
          <w:bCs/>
          <w:i/>
          <w:iCs/>
        </w:rPr>
        <w:t>“Shqipëria ka bërë progres në luftën kundër krimit të organizuar duke forcuar kapacitetet e Strukturës së Posaçme kundër Korrupsionit dhe Krimit të Organizuar, duke përmirësuar përdorimin e hetimeve paralele financiare dhe duke ndryshuar kornizën ligjore për substancat psikotrope.”</w:t>
      </w:r>
    </w:p>
    <w:p w14:paraId="7233A828" w14:textId="15C410EC" w:rsidR="00C238CB" w:rsidRPr="002128A6" w:rsidRDefault="00DC494C" w:rsidP="0025426C">
      <w:pPr>
        <w:spacing w:after="0" w:line="240" w:lineRule="auto"/>
        <w:ind w:firstLine="284"/>
        <w:jc w:val="both"/>
        <w:rPr>
          <w:rFonts w:ascii="Garamond" w:hAnsi="Garamond" w:cstheme="majorBidi"/>
          <w:bCs/>
        </w:rPr>
      </w:pPr>
      <w:r w:rsidRPr="002128A6">
        <w:rPr>
          <w:rFonts w:ascii="Garamond" w:hAnsi="Garamond" w:cstheme="majorBidi"/>
          <w:bCs/>
        </w:rPr>
        <w:t xml:space="preserve">Në </w:t>
      </w:r>
      <w:r w:rsidRPr="002128A6">
        <w:rPr>
          <w:rFonts w:ascii="Garamond" w:hAnsi="Garamond" w:cstheme="majorBidi"/>
          <w:b/>
        </w:rPr>
        <w:t xml:space="preserve">raportin më të fundit </w:t>
      </w:r>
      <w:r w:rsidR="00533812" w:rsidRPr="002128A6">
        <w:rPr>
          <w:rFonts w:ascii="Garamond" w:hAnsi="Garamond" w:cstheme="majorBidi"/>
          <w:b/>
        </w:rPr>
        <w:t xml:space="preserve">të Europol </w:t>
      </w:r>
      <w:r w:rsidRPr="002128A6">
        <w:rPr>
          <w:rFonts w:ascii="Garamond" w:hAnsi="Garamond" w:cstheme="majorBidi"/>
          <w:b/>
        </w:rPr>
        <w:t xml:space="preserve">SOCTA </w:t>
      </w:r>
      <w:r w:rsidR="00A1252B" w:rsidRPr="002128A6">
        <w:rPr>
          <w:rFonts w:ascii="Garamond" w:hAnsi="Garamond" w:cstheme="majorBidi"/>
          <w:b/>
        </w:rPr>
        <w:t xml:space="preserve">për vitin </w:t>
      </w:r>
      <w:r w:rsidRPr="002128A6">
        <w:rPr>
          <w:rFonts w:ascii="Garamond" w:hAnsi="Garamond" w:cstheme="majorBidi"/>
          <w:b/>
        </w:rPr>
        <w:t>2025</w:t>
      </w:r>
      <w:r w:rsidRPr="002128A6">
        <w:rPr>
          <w:rFonts w:ascii="Garamond" w:hAnsi="Garamond" w:cstheme="majorBidi"/>
          <w:bCs/>
        </w:rPr>
        <w:t>,</w:t>
      </w:r>
      <w:r w:rsidR="00533812" w:rsidRPr="002128A6">
        <w:rPr>
          <w:rFonts w:ascii="Garamond" w:hAnsi="Garamond" w:cstheme="majorBidi"/>
          <w:bCs/>
        </w:rPr>
        <w:t xml:space="preserve"> për Evropën,</w:t>
      </w:r>
      <w:r w:rsidRPr="002128A6">
        <w:rPr>
          <w:rFonts w:ascii="Garamond" w:hAnsi="Garamond" w:cstheme="majorBidi"/>
          <w:bCs/>
        </w:rPr>
        <w:t xml:space="preserve"> </w:t>
      </w:r>
      <w:r w:rsidR="00C238CB" w:rsidRPr="002128A6">
        <w:rPr>
          <w:rFonts w:ascii="Garamond" w:hAnsi="Garamond" w:cstheme="majorBidi"/>
          <w:bCs/>
        </w:rPr>
        <w:t>theksohet se krimi i organizuar sot nuk kufizohet më vetëm në botën fizike, por është gjithnjë e më i pranishëm në hapësirën digjitale dhe po përshpejtohet nga zhvillimi i inteligjencës artificiale dhe teknologjive të reja.</w:t>
      </w:r>
    </w:p>
    <w:p w14:paraId="696B3FD5" w14:textId="68FC0448" w:rsidR="00C238CB" w:rsidRPr="002128A6" w:rsidRDefault="00C238CB" w:rsidP="0025426C">
      <w:pPr>
        <w:spacing w:after="0" w:line="240" w:lineRule="auto"/>
        <w:ind w:firstLine="284"/>
        <w:jc w:val="both"/>
        <w:rPr>
          <w:rFonts w:ascii="Garamond" w:hAnsi="Garamond" w:cstheme="majorBidi"/>
          <w:bCs/>
        </w:rPr>
      </w:pPr>
      <w:r w:rsidRPr="002128A6">
        <w:rPr>
          <w:rFonts w:ascii="Garamond" w:hAnsi="Garamond" w:cstheme="majorBidi"/>
          <w:bCs/>
        </w:rPr>
        <w:t>Ky transformim e bën krimin më “dinamik”, më të shpejtë dhe më të vështirë për t’u zbuluar. Rrjetet kriminale përdorin internetin për rekrutim, komunikim, mashtrime dhe shpërndarje aktivitetesh ilegale, ndërsa teknologjitë e avancuara u mundësojnë të veprojnë në mënyrë më të sofistikuar dhe në shkallë më të gjerë.</w:t>
      </w:r>
    </w:p>
    <w:p w14:paraId="1425D452" w14:textId="58EB415F" w:rsidR="00C238CB" w:rsidRPr="002128A6" w:rsidRDefault="00C238CB" w:rsidP="0025426C">
      <w:pPr>
        <w:spacing w:after="0" w:line="240" w:lineRule="auto"/>
        <w:ind w:firstLine="284"/>
        <w:jc w:val="both"/>
        <w:rPr>
          <w:rFonts w:ascii="Garamond" w:hAnsi="Garamond" w:cstheme="majorBidi"/>
          <w:bCs/>
        </w:rPr>
      </w:pPr>
      <w:r w:rsidRPr="002128A6">
        <w:rPr>
          <w:rFonts w:ascii="Garamond" w:hAnsi="Garamond" w:cstheme="majorBidi"/>
          <w:bCs/>
        </w:rPr>
        <w:t xml:space="preserve">Raporti identifikon shtatë fusha kryesore të krimit që përbëjnë kërcënimin më të madh për BE-në: sulmet kibernetike, mashtrimet </w:t>
      </w:r>
      <w:r w:rsidR="008F549F" w:rsidRPr="002128A6">
        <w:rPr>
          <w:rFonts w:ascii="Garamond" w:hAnsi="Garamond" w:cstheme="majorBidi"/>
          <w:bCs/>
          <w:i/>
          <w:iCs/>
        </w:rPr>
        <w:t>online</w:t>
      </w:r>
      <w:r w:rsidRPr="002128A6">
        <w:rPr>
          <w:rFonts w:ascii="Garamond" w:hAnsi="Garamond" w:cstheme="majorBidi"/>
          <w:bCs/>
        </w:rPr>
        <w:t>, shfrytëzimi seksual i fëmijëve në internet, kontrabanda e migrantëve, trafikimi i drogës, trafikimi i armëve dhe krimi i lidhur me mbetjet. Secila prej këtyre fushave po zhvillohet dhe po përshtatet me teknologjinë, duke u bërë më komplekse dhe më e rrezikshme.</w:t>
      </w:r>
    </w:p>
    <w:p w14:paraId="138BC3E8" w14:textId="0946153B" w:rsidR="00C238CB" w:rsidRPr="002128A6" w:rsidRDefault="00C238CB" w:rsidP="0025426C">
      <w:pPr>
        <w:spacing w:after="0" w:line="240" w:lineRule="auto"/>
        <w:ind w:firstLine="284"/>
        <w:jc w:val="both"/>
        <w:rPr>
          <w:rFonts w:ascii="Garamond" w:hAnsi="Garamond" w:cstheme="majorBidi"/>
          <w:bCs/>
        </w:rPr>
      </w:pPr>
      <w:r w:rsidRPr="002128A6">
        <w:rPr>
          <w:rFonts w:ascii="Garamond" w:hAnsi="Garamond" w:cstheme="majorBidi"/>
          <w:bCs/>
        </w:rPr>
        <w:t>Përveç kësaj, krimi i organizuar përdor një sërë taktikash të përbashkëta si pastrimi i parave përmes sistemeve digjitale, infiltrimi në biznese legale, korrupsioni dhe përdorimi i të rinjve për të kryer veprime kriminale. Këto metoda e forcojnë edhe më shumë aftësinë e rrjeteve kriminale për t’u zgjeruar dhe për t’i shpëtuar ligjit.</w:t>
      </w:r>
    </w:p>
    <w:p w14:paraId="1EB7F117" w14:textId="7BD6681A" w:rsidR="00D2192A" w:rsidRPr="002128A6" w:rsidRDefault="00D2192A" w:rsidP="0025426C">
      <w:pPr>
        <w:spacing w:after="0" w:line="240" w:lineRule="auto"/>
        <w:ind w:firstLine="284"/>
        <w:jc w:val="both"/>
        <w:rPr>
          <w:rFonts w:ascii="Garamond" w:hAnsi="Garamond" w:cstheme="majorBidi"/>
          <w:bCs/>
        </w:rPr>
      </w:pPr>
      <w:r w:rsidRPr="002128A6">
        <w:rPr>
          <w:rFonts w:ascii="Garamond" w:hAnsi="Garamond" w:cstheme="majorBidi"/>
          <w:bCs/>
        </w:rPr>
        <w:t xml:space="preserve">Në shumë vende, dhuna e lidhur me krimin e organizuar po rritet. Kjo dhunë nuk është vetëm fizike, por edhe digjitale, e koordinuar përmes komunikimeve të enkriptuara. Konkurrenca midis grupeve për kontrollin e tregjeve ilegale e përkeqëson situatën, ndërsa komunikimi </w:t>
      </w:r>
      <w:r w:rsidR="008F549F" w:rsidRPr="002128A6">
        <w:rPr>
          <w:rFonts w:ascii="Garamond" w:hAnsi="Garamond" w:cstheme="majorBidi"/>
          <w:bCs/>
          <w:i/>
          <w:iCs/>
        </w:rPr>
        <w:t>online</w:t>
      </w:r>
      <w:r w:rsidRPr="002128A6">
        <w:rPr>
          <w:rFonts w:ascii="Garamond" w:hAnsi="Garamond" w:cstheme="majorBidi"/>
          <w:bCs/>
        </w:rPr>
        <w:t xml:space="preserve"> e bën më të shpejtë rekrutimin dhe organizimin.</w:t>
      </w:r>
    </w:p>
    <w:p w14:paraId="11A8B66E" w14:textId="77777777" w:rsidR="00D2192A" w:rsidRPr="002128A6" w:rsidRDefault="00D2192A" w:rsidP="0025426C">
      <w:pPr>
        <w:spacing w:after="0" w:line="240" w:lineRule="auto"/>
        <w:ind w:firstLine="284"/>
        <w:jc w:val="both"/>
        <w:rPr>
          <w:rFonts w:ascii="Garamond" w:hAnsi="Garamond" w:cstheme="majorBidi"/>
          <w:bCs/>
        </w:rPr>
      </w:pPr>
      <w:r w:rsidRPr="002128A6">
        <w:rPr>
          <w:rFonts w:ascii="Garamond" w:hAnsi="Garamond" w:cstheme="majorBidi"/>
          <w:bCs/>
        </w:rPr>
        <w:t>Të rinjtë shpesh shfrytëzohen në këtë sistem, pasi janë më të lehtë për t’u manipuluar dhe përdoren si ekzekutues në nivelet më të ulëta, duke mbrojtur kështu udhëheqësit e vërtetë të rrjeteve kriminale.</w:t>
      </w:r>
    </w:p>
    <w:p w14:paraId="106B60D9" w14:textId="77777777" w:rsidR="00D2192A" w:rsidRPr="002128A6" w:rsidRDefault="00D2192A" w:rsidP="0025426C">
      <w:pPr>
        <w:spacing w:after="0" w:line="240" w:lineRule="auto"/>
        <w:ind w:firstLine="284"/>
        <w:jc w:val="both"/>
        <w:rPr>
          <w:rFonts w:ascii="Garamond" w:hAnsi="Garamond" w:cstheme="majorBidi"/>
          <w:bCs/>
        </w:rPr>
      </w:pPr>
      <w:r w:rsidRPr="002128A6">
        <w:rPr>
          <w:rFonts w:ascii="Garamond" w:hAnsi="Garamond" w:cstheme="majorBidi"/>
          <w:bCs/>
        </w:rPr>
        <w:t>Këto fenomene nuk njohin kufij shtetërorë. Rrjetet kriminale përshtaten me krizat globale, konfliktet dhe ndryshimet ekonomike për të gjetur mundësi të reja dhe për të ndryshuar mënyrat e tyre të veprimit.</w:t>
      </w:r>
    </w:p>
    <w:p w14:paraId="026F11DE" w14:textId="77777777" w:rsidR="00D2192A" w:rsidRPr="002128A6" w:rsidRDefault="00D2192A" w:rsidP="0025426C">
      <w:pPr>
        <w:spacing w:after="0" w:line="240" w:lineRule="auto"/>
        <w:ind w:firstLine="284"/>
        <w:jc w:val="both"/>
        <w:rPr>
          <w:rFonts w:ascii="Garamond" w:hAnsi="Garamond" w:cstheme="majorBidi"/>
          <w:bCs/>
        </w:rPr>
      </w:pPr>
      <w:r w:rsidRPr="002128A6">
        <w:rPr>
          <w:rFonts w:ascii="Garamond" w:hAnsi="Garamond" w:cstheme="majorBidi"/>
          <w:bCs/>
        </w:rPr>
        <w:t>Në këtë kontekst, institucionet evropiane, përfshirë Europol, theksojnë rëndësinë e një qasjeje të bazuar në inteligjencë. Qëllimi është të parashikohen kërcënimet dhe të kuptohet evoluimi i krimit përpara se ai të shkaktojë dëme më të mëdha.</w:t>
      </w:r>
    </w:p>
    <w:p w14:paraId="0BF64346" w14:textId="327664B9" w:rsidR="004D1BF6" w:rsidRPr="002128A6" w:rsidRDefault="00D2192A" w:rsidP="0025426C">
      <w:pPr>
        <w:spacing w:after="0" w:line="240" w:lineRule="auto"/>
        <w:ind w:firstLine="284"/>
        <w:jc w:val="both"/>
        <w:rPr>
          <w:rFonts w:ascii="Garamond" w:hAnsi="Garamond" w:cstheme="majorBidi"/>
          <w:bCs/>
        </w:rPr>
      </w:pPr>
      <w:r w:rsidRPr="002128A6">
        <w:rPr>
          <w:rFonts w:ascii="Garamond" w:hAnsi="Garamond" w:cstheme="majorBidi"/>
          <w:bCs/>
        </w:rPr>
        <w:t>Në përfundim, lufta kundër krimit të organizuar nuk është më vetëm reagim ndaj ngjarjeve të ndodhura, por një përpjekje e vazhdueshme për të qëndruar përpara rrjeteve kriminale që përshtaten dhe evoluojnë vazhdimisht.</w:t>
      </w:r>
    </w:p>
    <w:p w14:paraId="1B68DBB6" w14:textId="5AC5FDA0" w:rsidR="00690235" w:rsidRPr="002128A6" w:rsidRDefault="009B251F" w:rsidP="0025426C">
      <w:pPr>
        <w:pStyle w:val="Heading3"/>
        <w:spacing w:before="0" w:after="0" w:line="240" w:lineRule="auto"/>
        <w:ind w:firstLine="284"/>
        <w:jc w:val="both"/>
        <w:rPr>
          <w:rFonts w:ascii="Garamond" w:hAnsi="Garamond"/>
          <w:bCs/>
          <w:color w:val="auto"/>
          <w:sz w:val="24"/>
          <w:szCs w:val="24"/>
        </w:rPr>
      </w:pPr>
      <w:bookmarkStart w:id="39" w:name="_Toc227770709"/>
      <w:bookmarkStart w:id="40" w:name="_Toc233371579"/>
      <w:r w:rsidRPr="002128A6">
        <w:rPr>
          <w:rFonts w:ascii="Garamond" w:eastAsia="Times New Roman" w:hAnsi="Garamond"/>
          <w:bCs/>
          <w:color w:val="auto"/>
          <w:kern w:val="0"/>
          <w:sz w:val="24"/>
          <w:szCs w:val="24"/>
          <w14:ligatures w14:val="none"/>
        </w:rPr>
        <w:t xml:space="preserve">1.5 </w:t>
      </w:r>
      <w:r w:rsidRPr="002128A6">
        <w:rPr>
          <w:rFonts w:ascii="Garamond" w:hAnsi="Garamond"/>
          <w:bCs/>
          <w:color w:val="auto"/>
          <w:sz w:val="24"/>
          <w:szCs w:val="24"/>
        </w:rPr>
        <w:t>KORNIZA INSTITUCIONALE NË FUQI, LIDHJA ME DOKUMENTET STRATEGJIKE DHE PRIORITETET</w:t>
      </w:r>
      <w:bookmarkEnd w:id="39"/>
      <w:bookmarkEnd w:id="40"/>
      <w:r w:rsidRPr="002128A6">
        <w:rPr>
          <w:rFonts w:ascii="Garamond" w:hAnsi="Garamond"/>
          <w:bCs/>
          <w:color w:val="auto"/>
          <w:sz w:val="24"/>
          <w:szCs w:val="24"/>
        </w:rPr>
        <w:t xml:space="preserve"> </w:t>
      </w:r>
    </w:p>
    <w:p w14:paraId="1D7E3B42" w14:textId="77777777" w:rsidR="008259E3" w:rsidRPr="002128A6" w:rsidRDefault="008259E3"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Angazhimi i Shqipërisë për të luftuar krimin e organizuar dhe veprat penale të rënda ka evoluar në mënyrë të konsiderueshme gjatë dekadës së fundit. Korniza aktuale institucionale është produkt i reformave të vazhdueshme, bashkëpunimit ndërkombëtar dhe mësimeve të nxjerra nga ciklet e mëparshme strategjike. </w:t>
      </w:r>
    </w:p>
    <w:p w14:paraId="2E07D314" w14:textId="6CB186DD" w:rsidR="00B80EC5" w:rsidRPr="002128A6" w:rsidRDefault="00A3216D"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Përgjigj</w:t>
      </w:r>
      <w:r w:rsidR="00985C87">
        <w:rPr>
          <w:rFonts w:ascii="Garamond" w:eastAsia="Aptos" w:hAnsi="Garamond" w:cstheme="majorBidi"/>
        </w:rPr>
        <w:t>j</w:t>
      </w:r>
      <w:r w:rsidRPr="002128A6">
        <w:rPr>
          <w:rFonts w:ascii="Garamond" w:eastAsia="Aptos" w:hAnsi="Garamond" w:cstheme="majorBidi"/>
        </w:rPr>
        <w:t>a e vendit ndaj krimit të organizuar dhe veprave penale të rënda mbështetet nga një kornizë institucionale shumënivel</w:t>
      </w:r>
      <w:r w:rsidR="006F2C2F" w:rsidRPr="002128A6">
        <w:rPr>
          <w:rFonts w:ascii="Garamond" w:eastAsia="Aptos" w:hAnsi="Garamond" w:cstheme="majorBidi"/>
        </w:rPr>
        <w:t>ëshe</w:t>
      </w:r>
      <w:r w:rsidRPr="002128A6">
        <w:rPr>
          <w:rFonts w:ascii="Garamond" w:eastAsia="Aptos" w:hAnsi="Garamond" w:cstheme="majorBidi"/>
        </w:rPr>
        <w:t xml:space="preserve">, e </w:t>
      </w:r>
      <w:r w:rsidR="006F2C2F" w:rsidRPr="002128A6">
        <w:rPr>
          <w:rFonts w:ascii="Garamond" w:eastAsia="Aptos" w:hAnsi="Garamond" w:cstheme="majorBidi"/>
        </w:rPr>
        <w:t>rrënjosur</w:t>
      </w:r>
      <w:r w:rsidRPr="002128A6">
        <w:rPr>
          <w:rFonts w:ascii="Garamond" w:eastAsia="Aptos" w:hAnsi="Garamond" w:cstheme="majorBidi"/>
        </w:rPr>
        <w:t xml:space="preserve"> në prioritetet kombëtare dhe e harmonizuar me detyrimet ndërkombëtare. Strategjia për </w:t>
      </w:r>
      <w:r w:rsidR="006F2C2F" w:rsidRPr="002128A6">
        <w:rPr>
          <w:rFonts w:ascii="Garamond" w:eastAsia="Aptos" w:hAnsi="Garamond" w:cstheme="majorBidi"/>
        </w:rPr>
        <w:t xml:space="preserve">periudhën </w:t>
      </w:r>
      <w:r w:rsidRPr="002128A6">
        <w:rPr>
          <w:rFonts w:ascii="Garamond" w:eastAsia="Aptos" w:hAnsi="Garamond" w:cstheme="majorBidi"/>
        </w:rPr>
        <w:t>2026</w:t>
      </w:r>
      <w:r w:rsidR="0046138C" w:rsidRPr="002128A6">
        <w:rPr>
          <w:rFonts w:ascii="Garamond" w:eastAsia="Aptos" w:hAnsi="Garamond" w:cstheme="majorBidi"/>
        </w:rPr>
        <w:t>–</w:t>
      </w:r>
      <w:r w:rsidRPr="002128A6">
        <w:rPr>
          <w:rFonts w:ascii="Garamond" w:eastAsia="Aptos" w:hAnsi="Garamond" w:cstheme="majorBidi"/>
        </w:rPr>
        <w:t xml:space="preserve">2030 </w:t>
      </w:r>
      <w:r w:rsidR="006F2C2F" w:rsidRPr="002128A6">
        <w:rPr>
          <w:rFonts w:ascii="Garamond" w:eastAsia="Aptos" w:hAnsi="Garamond" w:cstheme="majorBidi"/>
        </w:rPr>
        <w:t xml:space="preserve">bazohet </w:t>
      </w:r>
      <w:r w:rsidRPr="002128A6">
        <w:rPr>
          <w:rFonts w:ascii="Garamond" w:eastAsia="Aptos" w:hAnsi="Garamond" w:cstheme="majorBidi"/>
        </w:rPr>
        <w:t xml:space="preserve">në mësimet e nxjerra, duke kërkuar të balancojë zbatimin me parandalimin, ndërprerjen financiare dhe </w:t>
      </w:r>
      <w:r w:rsidR="006F2C2F" w:rsidRPr="002128A6">
        <w:rPr>
          <w:rFonts w:ascii="Garamond" w:eastAsia="Aptos" w:hAnsi="Garamond" w:cstheme="majorBidi"/>
        </w:rPr>
        <w:t>rezistenc</w:t>
      </w:r>
      <w:r w:rsidRPr="002128A6">
        <w:rPr>
          <w:rFonts w:ascii="Garamond" w:eastAsia="Aptos" w:hAnsi="Garamond" w:cstheme="majorBidi"/>
        </w:rPr>
        <w:t>ë</w:t>
      </w:r>
      <w:r w:rsidR="006F2C2F" w:rsidRPr="002128A6">
        <w:rPr>
          <w:rFonts w:ascii="Garamond" w:eastAsia="Aptos" w:hAnsi="Garamond" w:cstheme="majorBidi"/>
        </w:rPr>
        <w:t>n</w:t>
      </w:r>
      <w:r w:rsidRPr="002128A6">
        <w:rPr>
          <w:rFonts w:ascii="Garamond" w:eastAsia="Aptos" w:hAnsi="Garamond" w:cstheme="majorBidi"/>
        </w:rPr>
        <w:t xml:space="preserve"> institucionale dhe shoqërore. Sfidat kyçe mbeten, veçanërisht në integrimin e të dhënave, profesionalizimin dhe </w:t>
      </w:r>
      <w:r w:rsidRPr="002128A6">
        <w:rPr>
          <w:rFonts w:ascii="Garamond" w:eastAsia="Aptos" w:hAnsi="Garamond" w:cstheme="majorBidi"/>
        </w:rPr>
        <w:lastRenderedPageBreak/>
        <w:t>shpërndarjen e burimeve, por harmonizimi strategjik me MSA, OZHQ dhe qëllimet kombëtare të politikave ofron një bazë të fortë për progres të vazhdueshëm. Bashkëpunimi nd</w:t>
      </w:r>
      <w:r w:rsidR="00E8776A" w:rsidRPr="002128A6">
        <w:rPr>
          <w:rFonts w:ascii="Garamond" w:eastAsia="Aptos" w:hAnsi="Garamond" w:cstheme="majorBidi"/>
        </w:rPr>
        <w:t>ërinstitucion</w:t>
      </w:r>
      <w:r w:rsidRPr="002128A6">
        <w:rPr>
          <w:rFonts w:ascii="Garamond" w:eastAsia="Aptos" w:hAnsi="Garamond" w:cstheme="majorBidi"/>
        </w:rPr>
        <w:t xml:space="preserve">al dhe zhvillimi i kapaciteteve janë në qendër të përpjekjeve të Shqipërisë, për të siguruar që vendi të jetë si i përgatitur ashtu edhe i </w:t>
      </w:r>
      <w:r w:rsidR="00134395" w:rsidRPr="002128A6">
        <w:rPr>
          <w:rFonts w:ascii="Garamond" w:eastAsia="Aptos" w:hAnsi="Garamond" w:cstheme="majorBidi"/>
        </w:rPr>
        <w:t>aftë p</w:t>
      </w:r>
      <w:r w:rsidRPr="002128A6">
        <w:rPr>
          <w:rFonts w:ascii="Garamond" w:eastAsia="Aptos" w:hAnsi="Garamond" w:cstheme="majorBidi"/>
        </w:rPr>
        <w:t>ë</w:t>
      </w:r>
      <w:r w:rsidR="00134395" w:rsidRPr="002128A6">
        <w:rPr>
          <w:rFonts w:ascii="Garamond" w:eastAsia="Aptos" w:hAnsi="Garamond" w:cstheme="majorBidi"/>
        </w:rPr>
        <w:t>r</w:t>
      </w:r>
      <w:r w:rsidRPr="002128A6">
        <w:rPr>
          <w:rFonts w:ascii="Garamond" w:eastAsia="Aptos" w:hAnsi="Garamond" w:cstheme="majorBidi"/>
        </w:rPr>
        <w:t xml:space="preserve"> luftën e vazhdueshme kundër krimit të organizuar.</w:t>
      </w:r>
    </w:p>
    <w:p w14:paraId="2EBE4526" w14:textId="21A9DB30" w:rsidR="00744195" w:rsidRPr="002128A6" w:rsidRDefault="00744195" w:rsidP="0025426C">
      <w:pPr>
        <w:pStyle w:val="Heading2"/>
        <w:spacing w:before="0" w:after="0" w:line="240" w:lineRule="auto"/>
        <w:ind w:firstLine="284"/>
        <w:jc w:val="both"/>
        <w:rPr>
          <w:rFonts w:ascii="Garamond" w:eastAsia="Times New Roman" w:hAnsi="Garamond"/>
          <w:b/>
          <w:bCs/>
          <w:color w:val="auto"/>
          <w:sz w:val="24"/>
          <w:szCs w:val="24"/>
        </w:rPr>
      </w:pPr>
      <w:bookmarkStart w:id="41" w:name="_Toc233371580"/>
      <w:r w:rsidRPr="002128A6">
        <w:rPr>
          <w:rFonts w:ascii="Garamond" w:eastAsia="Times New Roman" w:hAnsi="Garamond"/>
          <w:b/>
          <w:bCs/>
          <w:color w:val="auto"/>
          <w:sz w:val="24"/>
          <w:szCs w:val="24"/>
        </w:rPr>
        <w:t>Lidhjet me strategji të tjera sektoriale</w:t>
      </w:r>
      <w:r w:rsidR="00134395" w:rsidRPr="002128A6">
        <w:rPr>
          <w:rFonts w:ascii="Garamond" w:eastAsia="Times New Roman" w:hAnsi="Garamond"/>
          <w:b/>
          <w:bCs/>
          <w:color w:val="auto"/>
          <w:sz w:val="24"/>
          <w:szCs w:val="24"/>
        </w:rPr>
        <w:t xml:space="preserve"> dhe dokumente </w:t>
      </w:r>
      <w:r w:rsidR="00CF0C91" w:rsidRPr="002128A6">
        <w:rPr>
          <w:rFonts w:ascii="Garamond" w:eastAsia="Times New Roman" w:hAnsi="Garamond"/>
          <w:b/>
          <w:bCs/>
          <w:color w:val="auto"/>
          <w:sz w:val="24"/>
          <w:szCs w:val="24"/>
        </w:rPr>
        <w:t>vlerësimi të rrezikut</w:t>
      </w:r>
      <w:bookmarkEnd w:id="41"/>
    </w:p>
    <w:p w14:paraId="546F8A49" w14:textId="4D0BCB42" w:rsidR="00744195" w:rsidRPr="002128A6" w:rsidRDefault="00744195" w:rsidP="0025426C">
      <w:pPr>
        <w:spacing w:after="0" w:line="240" w:lineRule="auto"/>
        <w:ind w:firstLine="284"/>
        <w:jc w:val="both"/>
        <w:rPr>
          <w:rFonts w:ascii="Garamond" w:eastAsia="Arial" w:hAnsi="Garamond" w:cstheme="majorBidi"/>
        </w:rPr>
      </w:pPr>
      <w:r w:rsidRPr="002128A6">
        <w:rPr>
          <w:rFonts w:ascii="Garamond" w:eastAsia="Arial" w:hAnsi="Garamond" w:cstheme="majorBidi"/>
        </w:rPr>
        <w:t>Kjo Strategji vepron brenda një ekosistemi të ndërlidhur të politikave kombëtare. Ndërfaqet kryesore përmblidhen në tabelën më poshtë dhe detajohen më tej në aktivitetet e koordinimit dhe protokollet e përcaktuara në Planin e Veprimit.</w:t>
      </w:r>
    </w:p>
    <w:p w14:paraId="588174CC" w14:textId="77777777" w:rsidR="005C4835" w:rsidRPr="002128A6" w:rsidRDefault="005C4835" w:rsidP="0025426C">
      <w:pPr>
        <w:spacing w:after="0" w:line="240" w:lineRule="auto"/>
        <w:ind w:firstLine="284"/>
        <w:jc w:val="both"/>
        <w:rPr>
          <w:rFonts w:ascii="Garamond" w:hAnsi="Garamond" w:cstheme="majorBid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F54824" w:rsidRPr="002128A6" w14:paraId="5EB27125"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shd w:val="clear" w:color="auto" w:fill="1F3864"/>
            <w:tcMar>
              <w:top w:w="90" w:type="dxa"/>
              <w:left w:w="120" w:type="dxa"/>
              <w:bottom w:w="90" w:type="dxa"/>
              <w:right w:w="120" w:type="dxa"/>
            </w:tcMar>
          </w:tcPr>
          <w:p w14:paraId="5618F74C" w14:textId="15C54C46" w:rsidR="00744195" w:rsidRPr="002128A6" w:rsidRDefault="00744195" w:rsidP="000E3629">
            <w:pPr>
              <w:spacing w:after="0" w:line="240" w:lineRule="auto"/>
              <w:jc w:val="both"/>
              <w:rPr>
                <w:rFonts w:ascii="Garamond" w:hAnsi="Garamond" w:cstheme="majorBidi"/>
                <w:sz w:val="22"/>
              </w:rPr>
            </w:pPr>
            <w:r w:rsidRPr="002128A6">
              <w:rPr>
                <w:rFonts w:ascii="Garamond" w:eastAsia="Arial" w:hAnsi="Garamond" w:cstheme="majorBidi"/>
                <w:b/>
                <w:bCs/>
                <w:sz w:val="22"/>
              </w:rPr>
              <w:t>Strategjia/Programi</w:t>
            </w:r>
          </w:p>
        </w:tc>
        <w:tc>
          <w:tcPr>
            <w:tcW w:w="5760" w:type="dxa"/>
            <w:tcBorders>
              <w:top w:val="single" w:sz="4" w:space="0" w:color="BFBFBF"/>
              <w:left w:val="single" w:sz="4" w:space="0" w:color="BFBFBF"/>
              <w:bottom w:val="single" w:sz="4" w:space="0" w:color="BFBFBF"/>
              <w:right w:val="single" w:sz="4" w:space="0" w:color="BFBFBF"/>
            </w:tcBorders>
            <w:shd w:val="clear" w:color="auto" w:fill="1F3864"/>
            <w:tcMar>
              <w:top w:w="90" w:type="dxa"/>
              <w:left w:w="120" w:type="dxa"/>
              <w:bottom w:w="90" w:type="dxa"/>
              <w:right w:w="120" w:type="dxa"/>
            </w:tcMar>
          </w:tcPr>
          <w:p w14:paraId="16D40437" w14:textId="7B9A17EB" w:rsidR="00744195" w:rsidRPr="002128A6" w:rsidRDefault="00744195" w:rsidP="000E3629">
            <w:pPr>
              <w:spacing w:after="0" w:line="240" w:lineRule="auto"/>
              <w:jc w:val="both"/>
              <w:rPr>
                <w:rFonts w:ascii="Garamond" w:hAnsi="Garamond" w:cstheme="majorBidi"/>
                <w:sz w:val="22"/>
              </w:rPr>
            </w:pPr>
            <w:r w:rsidRPr="002128A6">
              <w:rPr>
                <w:rFonts w:ascii="Garamond" w:eastAsia="Arial" w:hAnsi="Garamond" w:cstheme="majorBidi"/>
                <w:b/>
                <w:bCs/>
                <w:sz w:val="22"/>
              </w:rPr>
              <w:t>Ndë</w:t>
            </w:r>
            <w:r w:rsidR="006F2C2F" w:rsidRPr="002128A6">
              <w:rPr>
                <w:rFonts w:ascii="Garamond" w:eastAsia="Arial" w:hAnsi="Garamond" w:cstheme="majorBidi"/>
                <w:b/>
                <w:bCs/>
                <w:sz w:val="22"/>
              </w:rPr>
              <w:t>r</w:t>
            </w:r>
            <w:r w:rsidR="004241D0" w:rsidRPr="002128A6">
              <w:rPr>
                <w:rFonts w:ascii="Garamond" w:eastAsia="Arial" w:hAnsi="Garamond" w:cstheme="majorBidi"/>
                <w:b/>
                <w:bCs/>
                <w:sz w:val="22"/>
              </w:rPr>
              <w:t>lidh</w:t>
            </w:r>
            <w:r w:rsidRPr="002128A6">
              <w:rPr>
                <w:rFonts w:ascii="Garamond" w:eastAsia="Arial" w:hAnsi="Garamond" w:cstheme="majorBidi"/>
                <w:b/>
                <w:bCs/>
                <w:sz w:val="22"/>
              </w:rPr>
              <w:t>ja me këtë Strategji</w:t>
            </w:r>
          </w:p>
        </w:tc>
      </w:tr>
      <w:tr w:rsidR="00F54824" w:rsidRPr="002128A6" w14:paraId="67577B64"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2258851" w14:textId="77777777" w:rsidR="001C3D28" w:rsidRPr="002128A6" w:rsidRDefault="001C3D28" w:rsidP="000E3629">
            <w:pPr>
              <w:pStyle w:val="NormalWeb"/>
              <w:spacing w:before="0" w:beforeAutospacing="0" w:after="0" w:afterAutospacing="0"/>
              <w:jc w:val="both"/>
              <w:rPr>
                <w:rFonts w:ascii="Garamond" w:hAnsi="Garamond" w:cstheme="majorBidi"/>
                <w:sz w:val="22"/>
              </w:rPr>
            </w:pPr>
            <w:r w:rsidRPr="002128A6">
              <w:rPr>
                <w:rFonts w:ascii="Garamond" w:hAnsi="Garamond" w:cstheme="majorBidi"/>
                <w:b/>
                <w:bCs/>
                <w:sz w:val="22"/>
              </w:rPr>
              <w:t>Strategjia e Sigurisë Kombëtare</w:t>
            </w:r>
            <w:r w:rsidRPr="002128A6">
              <w:rPr>
                <w:rFonts w:ascii="Garamond" w:hAnsi="Garamond" w:cstheme="majorBidi"/>
                <w:sz w:val="22"/>
              </w:rPr>
              <w:t>;</w:t>
            </w:r>
          </w:p>
          <w:p w14:paraId="0148BCB7" w14:textId="77777777" w:rsidR="001C3D28" w:rsidRPr="002128A6" w:rsidRDefault="001C3D28" w:rsidP="000E3629">
            <w:pPr>
              <w:spacing w:after="0" w:line="240" w:lineRule="auto"/>
              <w:jc w:val="both"/>
              <w:rPr>
                <w:rFonts w:ascii="Garamond" w:eastAsia="Arial" w:hAnsi="Garamond" w:cstheme="majorBidi"/>
                <w:b/>
                <w:bCs/>
                <w:sz w:val="22"/>
              </w:rPr>
            </w:pP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E7C7313" w14:textId="169E19E5" w:rsidR="001C3D28" w:rsidRPr="002128A6" w:rsidRDefault="004C03C3" w:rsidP="000E3629">
            <w:pPr>
              <w:spacing w:after="0" w:line="240" w:lineRule="auto"/>
              <w:jc w:val="both"/>
              <w:rPr>
                <w:rFonts w:ascii="Garamond" w:hAnsi="Garamond" w:cs="Times New Roman"/>
                <w:sz w:val="22"/>
              </w:rPr>
            </w:pPr>
            <w:r w:rsidRPr="002128A6">
              <w:rPr>
                <w:rFonts w:ascii="Garamond" w:hAnsi="Garamond" w:cs="Times New Roman"/>
                <w:sz w:val="22"/>
              </w:rPr>
              <w:t>Masat për mbrojtjen e viktimave të krimit forcojnë aksesin në drejtësi, mbështetjen dhe rehabilitimin e tyre, duke rritur besimin në institucionet ligjzbatuese, ndërsa masat për parandalimin dhe luftën kundër krimit të organizuar dhe krimeve të rënda kontribuojnë në reduktimin e viktimizimit dhe garantimin e një mjedisi më të sigurt për individët dhe komunitetin.</w:t>
            </w:r>
          </w:p>
        </w:tc>
      </w:tr>
      <w:tr w:rsidR="00F54824" w:rsidRPr="002128A6" w14:paraId="10307FFB"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5B66AE4" w14:textId="3E472B08" w:rsidR="001C3D28" w:rsidRPr="002128A6" w:rsidRDefault="001C3D28" w:rsidP="000E3629">
            <w:pPr>
              <w:pStyle w:val="NormalWeb"/>
              <w:spacing w:before="0" w:beforeAutospacing="0" w:after="0" w:afterAutospacing="0"/>
              <w:jc w:val="both"/>
              <w:rPr>
                <w:rFonts w:ascii="Garamond" w:hAnsi="Garamond" w:cstheme="majorBidi"/>
                <w:b/>
                <w:bCs/>
                <w:sz w:val="22"/>
              </w:rPr>
            </w:pPr>
            <w:r w:rsidRPr="002128A6">
              <w:rPr>
                <w:rFonts w:ascii="Garamond" w:hAnsi="Garamond" w:cstheme="majorBidi"/>
                <w:b/>
                <w:bCs/>
                <w:sz w:val="22"/>
              </w:rPr>
              <w:t xml:space="preserve">Udhërrëfyesi për Shtetin e së Drejtës </w:t>
            </w:r>
            <w:r w:rsidR="00E31806" w:rsidRPr="002128A6">
              <w:rPr>
                <w:rFonts w:ascii="Garamond" w:hAnsi="Garamond" w:cstheme="majorBidi"/>
                <w:b/>
                <w:bCs/>
                <w:sz w:val="22"/>
              </w:rPr>
              <w:t xml:space="preserve">Kapitullin </w:t>
            </w:r>
            <w:r w:rsidRPr="002128A6">
              <w:rPr>
                <w:rFonts w:ascii="Garamond" w:hAnsi="Garamond" w:cstheme="majorBidi"/>
                <w:b/>
                <w:bCs/>
                <w:sz w:val="22"/>
              </w:rPr>
              <w:t>24</w:t>
            </w:r>
          </w:p>
          <w:p w14:paraId="226E7FEF" w14:textId="77777777" w:rsidR="001C3D28" w:rsidRPr="002128A6" w:rsidRDefault="001C3D28" w:rsidP="000E3629">
            <w:pPr>
              <w:pStyle w:val="NormalWeb"/>
              <w:spacing w:before="0" w:beforeAutospacing="0" w:after="0" w:afterAutospacing="0"/>
              <w:jc w:val="both"/>
              <w:rPr>
                <w:rFonts w:ascii="Garamond" w:hAnsi="Garamond" w:cstheme="majorBidi"/>
                <w:b/>
                <w:bCs/>
                <w:sz w:val="22"/>
              </w:rPr>
            </w:pP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42EBDB5" w14:textId="0DEACC28" w:rsidR="001C3D28" w:rsidRPr="002128A6" w:rsidRDefault="004C03C3" w:rsidP="000E3629">
            <w:pPr>
              <w:spacing w:after="0" w:line="240" w:lineRule="auto"/>
              <w:jc w:val="both"/>
              <w:rPr>
                <w:rFonts w:ascii="Garamond" w:hAnsi="Garamond" w:cs="Times New Roman"/>
                <w:sz w:val="22"/>
              </w:rPr>
            </w:pPr>
            <w:r w:rsidRPr="002128A6">
              <w:rPr>
                <w:rFonts w:ascii="Garamond" w:hAnsi="Garamond" w:cs="Times New Roman"/>
                <w:sz w:val="22"/>
              </w:rPr>
              <w:t>Prioritetet kryesore në luftën kundër krimit të organizuar, trafikimit, pastrimit të parave, korrupsionit dhe forcimin e bashkëpunimit ndërinstitucional e ndërkombëtar në fushën e sigurisë.</w:t>
            </w:r>
          </w:p>
        </w:tc>
      </w:tr>
      <w:tr w:rsidR="00F54824" w:rsidRPr="002128A6" w14:paraId="2CDC7E98"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EAB76FF" w14:textId="6E6C1562" w:rsidR="00744195" w:rsidRPr="002128A6" w:rsidRDefault="00744195" w:rsidP="000E3629">
            <w:pPr>
              <w:spacing w:after="0" w:line="240" w:lineRule="auto"/>
              <w:jc w:val="both"/>
              <w:rPr>
                <w:rFonts w:ascii="Garamond" w:hAnsi="Garamond" w:cstheme="majorBidi"/>
                <w:sz w:val="22"/>
              </w:rPr>
            </w:pPr>
            <w:r w:rsidRPr="002128A6">
              <w:rPr>
                <w:rFonts w:ascii="Garamond" w:eastAsia="Arial" w:hAnsi="Garamond" w:cstheme="majorBidi"/>
                <w:b/>
                <w:bCs/>
                <w:sz w:val="22"/>
              </w:rPr>
              <w:t>Strategjia Ndërsektoriale kundër Korrupsionit 2024</w:t>
            </w:r>
            <w:r w:rsidR="005C4835" w:rsidRPr="002128A6">
              <w:rPr>
                <w:rFonts w:ascii="Garamond" w:eastAsia="Arial" w:hAnsi="Garamond" w:cstheme="majorBidi"/>
                <w:b/>
                <w:bCs/>
                <w:sz w:val="22"/>
              </w:rPr>
              <w:t>–</w:t>
            </w:r>
            <w:r w:rsidRPr="002128A6">
              <w:rPr>
                <w:rFonts w:ascii="Garamond" w:eastAsia="Arial" w:hAnsi="Garamond" w:cstheme="majorBidi"/>
                <w:b/>
                <w:bCs/>
                <w:sz w:val="22"/>
              </w:rPr>
              <w:t>2030 (SNKK)</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3011DAF" w14:textId="69A5A6A7" w:rsidR="00744195" w:rsidRPr="002128A6" w:rsidRDefault="00B11897" w:rsidP="000E3629">
            <w:pPr>
              <w:spacing w:after="0" w:line="240" w:lineRule="auto"/>
              <w:jc w:val="both"/>
              <w:rPr>
                <w:rFonts w:ascii="Garamond" w:hAnsi="Garamond" w:cs="Times New Roman"/>
                <w:sz w:val="22"/>
              </w:rPr>
            </w:pPr>
            <w:r w:rsidRPr="002128A6">
              <w:rPr>
                <w:rFonts w:ascii="Garamond" w:hAnsi="Garamond" w:cs="Times New Roman"/>
                <w:sz w:val="22"/>
              </w:rPr>
              <w:t>Angazhime të përbashkëta: masat antikorrupsion mbrojnë integritetin institucional që kërkohet për parandalimin dhe ndjekjen efektive të krimit të korrupsionit, ndërsa masat kundër krimit të organizuar kontribuojnë në kufizimin e ndikimeve kriminale që mund të favorizojnë korrupsionin.</w:t>
            </w:r>
          </w:p>
        </w:tc>
      </w:tr>
      <w:tr w:rsidR="00F54824" w:rsidRPr="002128A6" w14:paraId="536868F8"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1F153A7" w14:textId="698A85DC"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b/>
                <w:bCs/>
                <w:sz w:val="22"/>
              </w:rPr>
              <w:t>Strategjia Kombëtare për Zhvillim dhe Integrim Evropian 2030 (SKZHIE)</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222FD9E" w14:textId="4EF79A58"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sz w:val="22"/>
              </w:rPr>
              <w:t xml:space="preserve">Shtylla 1 </w:t>
            </w:r>
            <w:r w:rsidR="00AF7A15" w:rsidRPr="002128A6">
              <w:rPr>
                <w:rFonts w:ascii="Garamond" w:eastAsia="Arial" w:hAnsi="Garamond" w:cstheme="majorBidi"/>
                <w:sz w:val="22"/>
              </w:rPr>
              <w:t>“</w:t>
            </w:r>
            <w:r w:rsidRPr="002128A6">
              <w:rPr>
                <w:rFonts w:ascii="Garamond" w:eastAsia="Arial" w:hAnsi="Garamond" w:cstheme="majorBidi"/>
                <w:sz w:val="22"/>
              </w:rPr>
              <w:t>Demokracia dhe forcimi i institucioneve dhe qeverisja e mirë</w:t>
            </w:r>
            <w:r w:rsidR="00F112E4" w:rsidRPr="002128A6">
              <w:rPr>
                <w:rFonts w:ascii="Garamond" w:eastAsia="Arial" w:hAnsi="Garamond" w:cstheme="majorBidi"/>
                <w:sz w:val="22"/>
              </w:rPr>
              <w:t>”</w:t>
            </w:r>
            <w:r w:rsidRPr="002128A6">
              <w:rPr>
                <w:rFonts w:ascii="Garamond" w:eastAsia="Arial" w:hAnsi="Garamond" w:cstheme="majorBidi"/>
                <w:sz w:val="22"/>
              </w:rPr>
              <w:t xml:space="preserve"> kornizon kontributin e sundimit të ligjit të Strategjisë.</w:t>
            </w:r>
          </w:p>
        </w:tc>
      </w:tr>
      <w:tr w:rsidR="00F54824" w:rsidRPr="002128A6" w14:paraId="2D43B120"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78FD260" w14:textId="5FAC9DA1" w:rsidR="00D2192A" w:rsidRPr="002128A6" w:rsidRDefault="00D2192A" w:rsidP="000E3629">
            <w:pPr>
              <w:spacing w:after="0" w:line="240" w:lineRule="auto"/>
              <w:jc w:val="both"/>
              <w:rPr>
                <w:rFonts w:ascii="Garamond" w:hAnsi="Garamond" w:cstheme="majorBidi"/>
                <w:b/>
                <w:bCs/>
                <w:sz w:val="22"/>
              </w:rPr>
            </w:pPr>
            <w:r w:rsidRPr="002128A6">
              <w:rPr>
                <w:rFonts w:ascii="Garamond" w:hAnsi="Garamond" w:cstheme="majorBidi"/>
                <w:b/>
                <w:bCs/>
                <w:sz w:val="22"/>
              </w:rPr>
              <w:t>Programi Kombëtar për Integrim Evropian 2024</w:t>
            </w:r>
            <w:r w:rsidR="00602FC2" w:rsidRPr="002128A6">
              <w:rPr>
                <w:rFonts w:ascii="Garamond" w:hAnsi="Garamond" w:cstheme="majorBidi"/>
                <w:b/>
                <w:bCs/>
                <w:sz w:val="22"/>
              </w:rPr>
              <w:t>–</w:t>
            </w:r>
            <w:r w:rsidRPr="002128A6">
              <w:rPr>
                <w:rFonts w:ascii="Garamond" w:hAnsi="Garamond" w:cstheme="majorBidi"/>
                <w:b/>
                <w:bCs/>
                <w:sz w:val="22"/>
              </w:rPr>
              <w:t>2026 (PKIE)</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3869661" w14:textId="2E86E239" w:rsidR="00D2192A" w:rsidRPr="002128A6" w:rsidRDefault="00D2192A" w:rsidP="000E3629">
            <w:pPr>
              <w:spacing w:after="0" w:line="240" w:lineRule="auto"/>
              <w:jc w:val="both"/>
              <w:rPr>
                <w:rFonts w:ascii="Garamond" w:hAnsi="Garamond" w:cstheme="majorBidi"/>
                <w:sz w:val="22"/>
              </w:rPr>
            </w:pPr>
            <w:r w:rsidRPr="002128A6">
              <w:rPr>
                <w:rFonts w:ascii="Garamond" w:hAnsi="Garamond" w:cstheme="majorBidi"/>
                <w:sz w:val="22"/>
              </w:rPr>
              <w:t xml:space="preserve">Angazhimet e Strategjisë janë të ngulitura në produktet e PKIE-së për Kapitullin 24 </w:t>
            </w:r>
            <w:r w:rsidR="00AF7A15" w:rsidRPr="002128A6">
              <w:rPr>
                <w:rFonts w:ascii="Garamond" w:hAnsi="Garamond" w:cstheme="majorBidi"/>
                <w:sz w:val="22"/>
              </w:rPr>
              <w:t>“</w:t>
            </w:r>
            <w:r w:rsidRPr="002128A6">
              <w:rPr>
                <w:rFonts w:ascii="Garamond" w:hAnsi="Garamond" w:cstheme="majorBidi"/>
                <w:sz w:val="22"/>
              </w:rPr>
              <w:t>Drejtësia, Liria dhe Siguria</w:t>
            </w:r>
            <w:r w:rsidR="00AF7A15" w:rsidRPr="002128A6">
              <w:rPr>
                <w:rFonts w:ascii="Garamond" w:hAnsi="Garamond" w:cstheme="majorBidi"/>
                <w:sz w:val="22"/>
              </w:rPr>
              <w:t>”</w:t>
            </w:r>
            <w:r w:rsidRPr="002128A6">
              <w:rPr>
                <w:rFonts w:ascii="Garamond" w:hAnsi="Garamond" w:cstheme="majorBidi"/>
                <w:sz w:val="22"/>
              </w:rPr>
              <w:t>.</w:t>
            </w:r>
          </w:p>
        </w:tc>
      </w:tr>
      <w:tr w:rsidR="00F54824" w:rsidRPr="002128A6" w14:paraId="750BBF38"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8EEE0B5" w14:textId="48342CA1"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b/>
                <w:bCs/>
                <w:sz w:val="22"/>
              </w:rPr>
              <w:t>Strategjia Ndërsektoriale për Pastrimin e Parave dhe Financimin e Terrorizmit</w:t>
            </w:r>
            <w:r w:rsidR="007E5974" w:rsidRPr="002128A6">
              <w:rPr>
                <w:rFonts w:ascii="Garamond" w:eastAsia="Arial" w:hAnsi="Garamond" w:cstheme="majorBidi"/>
                <w:b/>
                <w:bCs/>
                <w:sz w:val="22"/>
              </w:rPr>
              <w:t xml:space="preserve"> (2024</w:t>
            </w:r>
            <w:r w:rsidR="00602FC2" w:rsidRPr="002128A6">
              <w:rPr>
                <w:rFonts w:ascii="Garamond" w:eastAsia="Arial" w:hAnsi="Garamond" w:cstheme="majorBidi"/>
                <w:b/>
                <w:bCs/>
                <w:sz w:val="22"/>
              </w:rPr>
              <w:t>–</w:t>
            </w:r>
            <w:r w:rsidR="007E5974" w:rsidRPr="002128A6">
              <w:rPr>
                <w:rFonts w:ascii="Garamond" w:eastAsia="Arial" w:hAnsi="Garamond" w:cstheme="majorBidi"/>
                <w:b/>
                <w:bCs/>
                <w:sz w:val="22"/>
              </w:rPr>
              <w:t>2030)</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F2F4F8E" w14:textId="025E5EE3"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sz w:val="22"/>
              </w:rPr>
              <w:t xml:space="preserve">Objektivat Specifikë 1.5 dhe 2.3 zbatojnë komponentët e inteligjencës financiare dhe </w:t>
            </w:r>
            <w:r w:rsidR="00067733" w:rsidRPr="002128A6">
              <w:rPr>
                <w:rFonts w:ascii="Garamond" w:eastAsia="Arial" w:hAnsi="Garamond" w:cstheme="majorBidi"/>
                <w:sz w:val="22"/>
              </w:rPr>
              <w:t>PPP</w:t>
            </w:r>
            <w:r w:rsidRPr="002128A6">
              <w:rPr>
                <w:rFonts w:ascii="Garamond" w:eastAsia="Arial" w:hAnsi="Garamond" w:cstheme="majorBidi"/>
                <w:sz w:val="22"/>
              </w:rPr>
              <w:t>/</w:t>
            </w:r>
            <w:r w:rsidR="00067733" w:rsidRPr="002128A6">
              <w:rPr>
                <w:rFonts w:ascii="Garamond" w:eastAsia="Arial" w:hAnsi="Garamond" w:cstheme="majorBidi"/>
                <w:sz w:val="22"/>
              </w:rPr>
              <w:t>FT</w:t>
            </w:r>
            <w:r w:rsidRPr="002128A6">
              <w:rPr>
                <w:rFonts w:ascii="Garamond" w:eastAsia="Arial" w:hAnsi="Garamond" w:cstheme="majorBidi"/>
                <w:sz w:val="22"/>
              </w:rPr>
              <w:t xml:space="preserve"> në koordinim me këtë strategji plotësuese.</w:t>
            </w:r>
          </w:p>
        </w:tc>
      </w:tr>
      <w:tr w:rsidR="00F54824" w:rsidRPr="002128A6" w14:paraId="69DAC037"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EB3AFDE" w14:textId="49547EBC"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b/>
                <w:bCs/>
                <w:sz w:val="22"/>
              </w:rPr>
              <w:t>Strategjia për Parandalimin e Ekstremizmit të Dhunshëm (QKEDH)</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E6EC079" w14:textId="59EE4E99"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sz w:val="22"/>
              </w:rPr>
              <w:t>Koordinuar përmes QKEDH mbi rrugët e radikalizimit që ndërpriten me rekrutimin në krimin e organizuar.</w:t>
            </w:r>
          </w:p>
        </w:tc>
      </w:tr>
      <w:tr w:rsidR="00F54824" w:rsidRPr="002128A6" w14:paraId="65E4C28C"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80CEB28" w14:textId="1D83CE77"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b/>
                <w:bCs/>
                <w:sz w:val="22"/>
              </w:rPr>
              <w:t>Strategjia e Menaxhimit të Integruar të Kufijve</w:t>
            </w:r>
            <w:r w:rsidR="001C3D28" w:rsidRPr="002128A6">
              <w:rPr>
                <w:rFonts w:ascii="Garamond" w:eastAsia="Arial" w:hAnsi="Garamond" w:cstheme="majorBidi"/>
                <w:b/>
                <w:bCs/>
                <w:sz w:val="22"/>
              </w:rPr>
              <w:t xml:space="preserve"> </w:t>
            </w:r>
            <w:r w:rsidR="007E5974" w:rsidRPr="002128A6">
              <w:rPr>
                <w:rFonts w:ascii="Garamond" w:eastAsia="Arial" w:hAnsi="Garamond" w:cstheme="majorBidi"/>
                <w:b/>
                <w:bCs/>
                <w:sz w:val="22"/>
              </w:rPr>
              <w:t>(2021</w:t>
            </w:r>
            <w:r w:rsidR="003C1BB0" w:rsidRPr="002128A6">
              <w:rPr>
                <w:rFonts w:ascii="Garamond" w:eastAsia="Arial" w:hAnsi="Garamond" w:cstheme="majorBidi"/>
                <w:b/>
                <w:bCs/>
                <w:sz w:val="22"/>
              </w:rPr>
              <w:t>–</w:t>
            </w:r>
            <w:r w:rsidR="007E5974" w:rsidRPr="002128A6">
              <w:rPr>
                <w:rFonts w:ascii="Garamond" w:eastAsia="Arial" w:hAnsi="Garamond" w:cstheme="majorBidi"/>
                <w:b/>
                <w:bCs/>
                <w:sz w:val="22"/>
              </w:rPr>
              <w:t>2027)</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2A60398" w14:textId="622733B6"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sz w:val="22"/>
              </w:rPr>
              <w:t xml:space="preserve">Korniza e përbashkët operacionale për kufijtë, doganat dhe kontrollet e migracionit që mbështet </w:t>
            </w:r>
            <w:r w:rsidR="003C1BB0" w:rsidRPr="002128A6">
              <w:rPr>
                <w:rFonts w:ascii="Garamond" w:eastAsia="Arial" w:hAnsi="Garamond" w:cstheme="majorBidi"/>
                <w:sz w:val="22"/>
              </w:rPr>
              <w:t xml:space="preserve">objektivat specifikë </w:t>
            </w:r>
            <w:r w:rsidRPr="002128A6">
              <w:rPr>
                <w:rFonts w:ascii="Garamond" w:eastAsia="Arial" w:hAnsi="Garamond" w:cstheme="majorBidi"/>
                <w:sz w:val="22"/>
              </w:rPr>
              <w:t>2.1, 2.2 dhe 2.9.</w:t>
            </w:r>
          </w:p>
        </w:tc>
      </w:tr>
      <w:tr w:rsidR="00F54824" w:rsidRPr="002128A6" w14:paraId="342CFE3B"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7F32E50" w14:textId="4B4AA0CE" w:rsidR="001C3D28" w:rsidRPr="002128A6" w:rsidRDefault="001C3D28" w:rsidP="000E3629">
            <w:pPr>
              <w:pStyle w:val="NormalWeb"/>
              <w:spacing w:before="0" w:beforeAutospacing="0" w:after="0" w:afterAutospacing="0"/>
              <w:jc w:val="both"/>
              <w:rPr>
                <w:rFonts w:ascii="Garamond" w:hAnsi="Garamond" w:cstheme="majorBidi"/>
                <w:b/>
                <w:bCs/>
                <w:sz w:val="22"/>
              </w:rPr>
            </w:pPr>
            <w:r w:rsidRPr="002128A6">
              <w:rPr>
                <w:rFonts w:ascii="Garamond" w:hAnsi="Garamond" w:cstheme="majorBidi"/>
                <w:b/>
                <w:bCs/>
                <w:sz w:val="22"/>
              </w:rPr>
              <w:t>Strategjia Kombëtare për Migracionin dhe Plani i Veprimit 2024</w:t>
            </w:r>
            <w:r w:rsidR="003C1BB0" w:rsidRPr="002128A6">
              <w:rPr>
                <w:rFonts w:ascii="Garamond" w:eastAsia="Arial" w:hAnsi="Garamond" w:cstheme="majorBidi"/>
                <w:b/>
                <w:bCs/>
                <w:sz w:val="22"/>
              </w:rPr>
              <w:t>–</w:t>
            </w:r>
            <w:r w:rsidRPr="002128A6">
              <w:rPr>
                <w:rFonts w:ascii="Garamond" w:hAnsi="Garamond" w:cstheme="majorBidi"/>
                <w:b/>
                <w:bCs/>
                <w:sz w:val="22"/>
              </w:rPr>
              <w:t>2030</w:t>
            </w:r>
          </w:p>
          <w:p w14:paraId="47284A5B" w14:textId="77777777" w:rsidR="001C3D28" w:rsidRPr="002128A6" w:rsidRDefault="001C3D28" w:rsidP="000E3629">
            <w:pPr>
              <w:spacing w:after="0" w:line="240" w:lineRule="auto"/>
              <w:jc w:val="both"/>
              <w:rPr>
                <w:rFonts w:ascii="Garamond" w:eastAsia="Arial" w:hAnsi="Garamond" w:cstheme="majorBidi"/>
                <w:b/>
                <w:bCs/>
                <w:sz w:val="22"/>
              </w:rPr>
            </w:pP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FB95634" w14:textId="75F611AE" w:rsidR="009B73B7" w:rsidRPr="002128A6" w:rsidRDefault="009B73B7" w:rsidP="000E3629">
            <w:pPr>
              <w:spacing w:after="0" w:line="240" w:lineRule="auto"/>
              <w:jc w:val="both"/>
              <w:rPr>
                <w:rFonts w:ascii="Garamond" w:eastAsia="Arial" w:hAnsi="Garamond" w:cstheme="majorBidi"/>
                <w:sz w:val="22"/>
              </w:rPr>
            </w:pPr>
            <w:r w:rsidRPr="002128A6">
              <w:rPr>
                <w:rFonts w:ascii="Garamond" w:eastAsia="Arial" w:hAnsi="Garamond" w:cstheme="majorBidi"/>
                <w:sz w:val="22"/>
              </w:rPr>
              <w:t xml:space="preserve">Forcimi i bashkëpunimit në menaxhimin e migracionit, kontrollin kufitar dhe mbrojtjen e migrantëve, sigurinë e tyre fizike dhe ligjore, si dhe në parandalimin e migracionit të parregullt dhe trafikimit të qenieve njerëzore. </w:t>
            </w:r>
          </w:p>
        </w:tc>
      </w:tr>
      <w:tr w:rsidR="00F54824" w:rsidRPr="002128A6" w14:paraId="27CFD22C"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FD80F84" w14:textId="0907E2F2" w:rsidR="001C3D28" w:rsidRPr="002128A6" w:rsidRDefault="001C3D28" w:rsidP="000E3629">
            <w:pPr>
              <w:pStyle w:val="NormalWeb"/>
              <w:spacing w:before="0" w:beforeAutospacing="0" w:after="0" w:afterAutospacing="0"/>
              <w:jc w:val="both"/>
              <w:rPr>
                <w:rFonts w:ascii="Garamond" w:hAnsi="Garamond" w:cstheme="majorBidi"/>
                <w:b/>
                <w:bCs/>
                <w:sz w:val="22"/>
              </w:rPr>
            </w:pPr>
            <w:r w:rsidRPr="002128A6">
              <w:rPr>
                <w:rFonts w:ascii="Garamond" w:hAnsi="Garamond" w:cstheme="majorBidi"/>
                <w:b/>
                <w:bCs/>
                <w:sz w:val="22"/>
              </w:rPr>
              <w:lastRenderedPageBreak/>
              <w:t>Strategjia Ndërsektoriale për Mbrojtjen e Viktimave të Krimit 2024</w:t>
            </w:r>
            <w:r w:rsidR="003C1BB0" w:rsidRPr="002128A6">
              <w:rPr>
                <w:rFonts w:ascii="Garamond" w:eastAsia="Arial" w:hAnsi="Garamond" w:cstheme="majorBidi"/>
                <w:b/>
                <w:bCs/>
                <w:sz w:val="22"/>
              </w:rPr>
              <w:t>–</w:t>
            </w:r>
            <w:r w:rsidRPr="002128A6">
              <w:rPr>
                <w:rFonts w:ascii="Garamond" w:hAnsi="Garamond" w:cstheme="majorBidi"/>
                <w:b/>
                <w:bCs/>
                <w:sz w:val="22"/>
              </w:rPr>
              <w:t>2030</w:t>
            </w:r>
          </w:p>
          <w:p w14:paraId="14085718" w14:textId="54C5000E" w:rsidR="00D2192A" w:rsidRPr="002128A6" w:rsidRDefault="00D2192A" w:rsidP="000E3629">
            <w:pPr>
              <w:spacing w:after="0" w:line="240" w:lineRule="auto"/>
              <w:jc w:val="both"/>
              <w:rPr>
                <w:rFonts w:ascii="Garamond" w:hAnsi="Garamond" w:cstheme="majorBidi"/>
                <w:b/>
                <w:bCs/>
                <w:sz w:val="22"/>
              </w:rPr>
            </w:pP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F01EC38" w14:textId="3DAC6474" w:rsidR="00D2192A" w:rsidRPr="002128A6" w:rsidRDefault="0013502B" w:rsidP="000E3629">
            <w:pPr>
              <w:spacing w:after="0" w:line="240" w:lineRule="auto"/>
              <w:jc w:val="both"/>
              <w:rPr>
                <w:rFonts w:ascii="Garamond" w:hAnsi="Garamond" w:cstheme="majorBidi"/>
                <w:sz w:val="22"/>
              </w:rPr>
            </w:pPr>
            <w:r w:rsidRPr="002128A6">
              <w:rPr>
                <w:rFonts w:ascii="Garamond" w:hAnsi="Garamond" w:cstheme="majorBidi"/>
                <w:sz w:val="22"/>
              </w:rPr>
              <w:t>Mbi forcimin e mbrojtjes së viktimave, përmirësimin e aksesit në drejtësi dhe rritjen e efektivitetit të institucioneve në parandalimin, identifikimin dhe ndjekjen e veprave penale, veçanërisht atyre që lidhen me krimin e organizuar.</w:t>
            </w:r>
          </w:p>
        </w:tc>
      </w:tr>
      <w:tr w:rsidR="00F54824" w:rsidRPr="002128A6" w14:paraId="5DB8E2D5"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F60C988" w14:textId="2F56B731" w:rsidR="001C3D28" w:rsidRPr="002128A6" w:rsidRDefault="001C3D28" w:rsidP="000E3629">
            <w:pPr>
              <w:spacing w:after="0" w:line="240" w:lineRule="auto"/>
              <w:jc w:val="both"/>
              <w:rPr>
                <w:rFonts w:ascii="Garamond" w:eastAsia="Arial" w:hAnsi="Garamond" w:cstheme="majorBidi"/>
                <w:b/>
                <w:bCs/>
                <w:sz w:val="22"/>
              </w:rPr>
            </w:pPr>
            <w:r w:rsidRPr="002128A6">
              <w:rPr>
                <w:rFonts w:ascii="Garamond" w:eastAsia="Arial" w:hAnsi="Garamond" w:cstheme="majorBidi"/>
                <w:b/>
                <w:bCs/>
                <w:sz w:val="22"/>
              </w:rPr>
              <w:t>Strategjia Kombëtare për Luft</w:t>
            </w:r>
            <w:r w:rsidR="0013502B" w:rsidRPr="002128A6">
              <w:rPr>
                <w:rFonts w:ascii="Garamond" w:eastAsia="Arial" w:hAnsi="Garamond" w:cstheme="majorBidi"/>
                <w:b/>
                <w:bCs/>
                <w:sz w:val="22"/>
              </w:rPr>
              <w:t>ën</w:t>
            </w:r>
            <w:r w:rsidRPr="002128A6">
              <w:rPr>
                <w:rFonts w:ascii="Garamond" w:eastAsia="Arial" w:hAnsi="Garamond" w:cstheme="majorBidi"/>
                <w:b/>
                <w:bCs/>
                <w:sz w:val="22"/>
              </w:rPr>
              <w:t xml:space="preserve"> e Trafikimit të Personave</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F201B02" w14:textId="087A2CCC" w:rsidR="001C3D28" w:rsidRPr="002128A6" w:rsidRDefault="001C3D28" w:rsidP="000E3629">
            <w:pPr>
              <w:spacing w:after="0" w:line="240" w:lineRule="auto"/>
              <w:jc w:val="both"/>
              <w:rPr>
                <w:rFonts w:ascii="Garamond" w:eastAsia="Arial" w:hAnsi="Garamond" w:cstheme="majorBidi"/>
                <w:sz w:val="22"/>
              </w:rPr>
            </w:pPr>
            <w:r w:rsidRPr="002128A6">
              <w:rPr>
                <w:rFonts w:ascii="Garamond" w:eastAsia="Arial" w:hAnsi="Garamond" w:cstheme="majorBidi"/>
                <w:sz w:val="22"/>
              </w:rPr>
              <w:t>Koordinim i drejtpërdrejtë për identifikimin, mbështetjen dhe riintegrimin e viktimave nën Objektivat Specifikë 1.3 dhe 2.2.</w:t>
            </w:r>
          </w:p>
        </w:tc>
      </w:tr>
      <w:tr w:rsidR="00F54824" w:rsidRPr="002128A6" w14:paraId="203F8A3E"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ABEB3CE" w14:textId="0E9A04CE"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b/>
                <w:bCs/>
                <w:sz w:val="22"/>
              </w:rPr>
              <w:t>Strategjia</w:t>
            </w:r>
            <w:r w:rsidR="00CF0C91" w:rsidRPr="002128A6">
              <w:rPr>
                <w:rFonts w:ascii="Garamond" w:eastAsia="Arial" w:hAnsi="Garamond" w:cstheme="majorBidi"/>
                <w:b/>
                <w:bCs/>
                <w:sz w:val="22"/>
              </w:rPr>
              <w:t xml:space="preserve"> </w:t>
            </w:r>
            <w:r w:rsidRPr="002128A6">
              <w:rPr>
                <w:rFonts w:ascii="Garamond" w:eastAsia="Arial" w:hAnsi="Garamond" w:cstheme="majorBidi"/>
                <w:b/>
                <w:bCs/>
                <w:sz w:val="22"/>
              </w:rPr>
              <w:t>Ndërsektoriale e Drejtësisë 2021</w:t>
            </w:r>
            <w:r w:rsidR="003C1BB0" w:rsidRPr="002128A6">
              <w:rPr>
                <w:rFonts w:ascii="Garamond" w:eastAsia="Arial" w:hAnsi="Garamond" w:cstheme="majorBidi"/>
                <w:b/>
                <w:bCs/>
                <w:sz w:val="22"/>
              </w:rPr>
              <w:t>–</w:t>
            </w:r>
            <w:r w:rsidRPr="002128A6">
              <w:rPr>
                <w:rFonts w:ascii="Garamond" w:eastAsia="Arial" w:hAnsi="Garamond" w:cstheme="majorBidi"/>
                <w:b/>
                <w:bCs/>
                <w:sz w:val="22"/>
              </w:rPr>
              <w:t>2025</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104CD2A" w14:textId="22F78EC7" w:rsidR="00D2192A" w:rsidRPr="002128A6" w:rsidRDefault="00D2192A" w:rsidP="000E3629">
            <w:pPr>
              <w:spacing w:after="0" w:line="240" w:lineRule="auto"/>
              <w:jc w:val="both"/>
              <w:rPr>
                <w:rFonts w:ascii="Garamond" w:hAnsi="Garamond" w:cstheme="majorBidi"/>
                <w:sz w:val="22"/>
              </w:rPr>
            </w:pPr>
            <w:r w:rsidRPr="002128A6">
              <w:rPr>
                <w:rFonts w:ascii="Garamond" w:eastAsia="Arial" w:hAnsi="Garamond" w:cstheme="majorBidi"/>
                <w:sz w:val="22"/>
              </w:rPr>
              <w:t>Angazhime të përbashkëta për menaxhimin e çështjeve, kapacitetet e ndjekjes penale dhe zbatimin e vendimeve gjyqësore.</w:t>
            </w:r>
          </w:p>
        </w:tc>
      </w:tr>
      <w:tr w:rsidR="00D2192A" w:rsidRPr="002128A6" w14:paraId="50D8E78C" w14:textId="77777777" w:rsidTr="005C4835">
        <w:trPr>
          <w:trHeight w:val="20"/>
        </w:trPr>
        <w:tc>
          <w:tcPr>
            <w:tcW w:w="36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50E614F" w14:textId="45B710BA" w:rsidR="00D2192A" w:rsidRPr="002128A6" w:rsidRDefault="00D2192A" w:rsidP="000E3629">
            <w:pPr>
              <w:spacing w:after="0" w:line="240" w:lineRule="auto"/>
              <w:jc w:val="both"/>
              <w:rPr>
                <w:rFonts w:ascii="Garamond" w:eastAsia="Arial" w:hAnsi="Garamond" w:cstheme="majorBidi"/>
                <w:b/>
                <w:bCs/>
                <w:sz w:val="22"/>
              </w:rPr>
            </w:pPr>
            <w:r w:rsidRPr="002128A6">
              <w:rPr>
                <w:rFonts w:ascii="Garamond" w:eastAsia="Arial" w:hAnsi="Garamond" w:cstheme="majorBidi"/>
                <w:b/>
                <w:bCs/>
                <w:sz w:val="22"/>
              </w:rPr>
              <w:t xml:space="preserve">Vlerësimi Kombëtar i Riskut </w:t>
            </w:r>
            <w:r w:rsidR="00CF0C91" w:rsidRPr="002128A6">
              <w:rPr>
                <w:rFonts w:ascii="Garamond" w:eastAsia="Arial" w:hAnsi="Garamond" w:cstheme="majorBidi"/>
                <w:b/>
                <w:bCs/>
                <w:sz w:val="22"/>
              </w:rPr>
              <w:t>të</w:t>
            </w:r>
            <w:r w:rsidRPr="002128A6">
              <w:rPr>
                <w:rFonts w:ascii="Garamond" w:eastAsia="Arial" w:hAnsi="Garamond" w:cstheme="majorBidi"/>
                <w:b/>
                <w:bCs/>
                <w:sz w:val="22"/>
              </w:rPr>
              <w:t xml:space="preserve"> </w:t>
            </w:r>
            <w:r w:rsidR="00CF0C91" w:rsidRPr="002128A6">
              <w:rPr>
                <w:rFonts w:ascii="Garamond" w:eastAsia="Arial" w:hAnsi="Garamond" w:cstheme="majorBidi"/>
                <w:b/>
                <w:bCs/>
                <w:sz w:val="22"/>
              </w:rPr>
              <w:t>P</w:t>
            </w:r>
            <w:r w:rsidRPr="002128A6">
              <w:rPr>
                <w:rFonts w:ascii="Garamond" w:eastAsia="Arial" w:hAnsi="Garamond" w:cstheme="majorBidi"/>
                <w:b/>
                <w:bCs/>
                <w:sz w:val="22"/>
              </w:rPr>
              <w:t>astrimi</w:t>
            </w:r>
            <w:r w:rsidR="00CF0C91" w:rsidRPr="002128A6">
              <w:rPr>
                <w:rFonts w:ascii="Garamond" w:eastAsia="Arial" w:hAnsi="Garamond" w:cstheme="majorBidi"/>
                <w:b/>
                <w:bCs/>
                <w:sz w:val="22"/>
              </w:rPr>
              <w:t>t</w:t>
            </w:r>
            <w:r w:rsidRPr="002128A6">
              <w:rPr>
                <w:rFonts w:ascii="Garamond" w:eastAsia="Arial" w:hAnsi="Garamond" w:cstheme="majorBidi"/>
                <w:b/>
                <w:bCs/>
                <w:sz w:val="22"/>
              </w:rPr>
              <w:t xml:space="preserve"> </w:t>
            </w:r>
            <w:r w:rsidR="00CF0C91" w:rsidRPr="002128A6">
              <w:rPr>
                <w:rFonts w:ascii="Garamond" w:eastAsia="Arial" w:hAnsi="Garamond" w:cstheme="majorBidi"/>
                <w:b/>
                <w:bCs/>
                <w:sz w:val="22"/>
              </w:rPr>
              <w:t>të</w:t>
            </w:r>
            <w:r w:rsidRPr="002128A6">
              <w:rPr>
                <w:rFonts w:ascii="Garamond" w:eastAsia="Arial" w:hAnsi="Garamond" w:cstheme="majorBidi"/>
                <w:b/>
                <w:bCs/>
                <w:sz w:val="22"/>
              </w:rPr>
              <w:t xml:space="preserve"> </w:t>
            </w:r>
            <w:r w:rsidR="00CF0C91" w:rsidRPr="002128A6">
              <w:rPr>
                <w:rFonts w:ascii="Garamond" w:eastAsia="Arial" w:hAnsi="Garamond" w:cstheme="majorBidi"/>
                <w:b/>
                <w:bCs/>
                <w:sz w:val="22"/>
              </w:rPr>
              <w:t>P</w:t>
            </w:r>
            <w:r w:rsidRPr="002128A6">
              <w:rPr>
                <w:rFonts w:ascii="Garamond" w:eastAsia="Arial" w:hAnsi="Garamond" w:cstheme="majorBidi"/>
                <w:b/>
                <w:bCs/>
                <w:sz w:val="22"/>
              </w:rPr>
              <w:t xml:space="preserve">arave dhe </w:t>
            </w:r>
            <w:r w:rsidR="00CF0C91" w:rsidRPr="002128A6">
              <w:rPr>
                <w:rFonts w:ascii="Garamond" w:eastAsia="Arial" w:hAnsi="Garamond" w:cstheme="majorBidi"/>
                <w:b/>
                <w:bCs/>
                <w:sz w:val="22"/>
              </w:rPr>
              <w:t>F</w:t>
            </w:r>
            <w:r w:rsidRPr="002128A6">
              <w:rPr>
                <w:rFonts w:ascii="Garamond" w:eastAsia="Arial" w:hAnsi="Garamond" w:cstheme="majorBidi"/>
                <w:b/>
                <w:bCs/>
                <w:sz w:val="22"/>
              </w:rPr>
              <w:t>inancimi</w:t>
            </w:r>
            <w:r w:rsidR="00CF0C91" w:rsidRPr="002128A6">
              <w:rPr>
                <w:rFonts w:ascii="Garamond" w:eastAsia="Arial" w:hAnsi="Garamond" w:cstheme="majorBidi"/>
                <w:b/>
                <w:bCs/>
                <w:sz w:val="22"/>
              </w:rPr>
              <w:t>t</w:t>
            </w:r>
            <w:r w:rsidRPr="002128A6">
              <w:rPr>
                <w:rFonts w:ascii="Garamond" w:eastAsia="Arial" w:hAnsi="Garamond" w:cstheme="majorBidi"/>
                <w:b/>
                <w:bCs/>
                <w:sz w:val="22"/>
              </w:rPr>
              <w:t xml:space="preserve"> </w:t>
            </w:r>
            <w:r w:rsidR="00CF0C91" w:rsidRPr="002128A6">
              <w:rPr>
                <w:rFonts w:ascii="Garamond" w:eastAsia="Arial" w:hAnsi="Garamond" w:cstheme="majorBidi"/>
                <w:b/>
                <w:bCs/>
                <w:sz w:val="22"/>
              </w:rPr>
              <w:t>të T</w:t>
            </w:r>
            <w:r w:rsidRPr="002128A6">
              <w:rPr>
                <w:rFonts w:ascii="Garamond" w:eastAsia="Arial" w:hAnsi="Garamond" w:cstheme="majorBidi"/>
                <w:b/>
                <w:bCs/>
                <w:sz w:val="22"/>
              </w:rPr>
              <w:t>errorizmit</w:t>
            </w:r>
            <w:r w:rsidR="00CF0C91" w:rsidRPr="002128A6">
              <w:rPr>
                <w:rFonts w:ascii="Garamond" w:eastAsia="Arial" w:hAnsi="Garamond" w:cstheme="majorBidi"/>
                <w:b/>
                <w:bCs/>
                <w:sz w:val="22"/>
              </w:rPr>
              <w:t xml:space="preserve"> në Shqipëri</w:t>
            </w:r>
          </w:p>
        </w:tc>
        <w:tc>
          <w:tcPr>
            <w:tcW w:w="57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3B7E4FF" w14:textId="581D107D" w:rsidR="00D2192A" w:rsidRPr="002128A6" w:rsidRDefault="00D2192A" w:rsidP="000E3629">
            <w:pPr>
              <w:spacing w:after="0" w:line="240" w:lineRule="auto"/>
              <w:jc w:val="both"/>
              <w:rPr>
                <w:rFonts w:ascii="Garamond" w:eastAsia="Arial" w:hAnsi="Garamond" w:cstheme="majorBidi"/>
                <w:sz w:val="22"/>
              </w:rPr>
            </w:pPr>
            <w:r w:rsidRPr="002128A6">
              <w:rPr>
                <w:rFonts w:ascii="Garamond" w:eastAsia="Arial" w:hAnsi="Garamond" w:cstheme="majorBidi"/>
                <w:sz w:val="22"/>
              </w:rPr>
              <w:t>Identifikimi i</w:t>
            </w:r>
            <w:r w:rsidR="00F54824" w:rsidRPr="002128A6">
              <w:rPr>
                <w:rFonts w:ascii="Garamond" w:eastAsia="Arial" w:hAnsi="Garamond" w:cstheme="majorBidi"/>
                <w:sz w:val="22"/>
              </w:rPr>
              <w:t xml:space="preserve"> </w:t>
            </w:r>
            <w:r w:rsidRPr="002128A6">
              <w:rPr>
                <w:rFonts w:ascii="Garamond" w:eastAsia="Arial" w:hAnsi="Garamond" w:cstheme="majorBidi"/>
                <w:sz w:val="22"/>
              </w:rPr>
              <w:t>rreziqeve kryesore me të cilat mund të përballet vendi në kuadër të PP/FT</w:t>
            </w:r>
            <w:r w:rsidR="00E31806" w:rsidRPr="002128A6">
              <w:rPr>
                <w:rFonts w:ascii="Garamond" w:eastAsia="Arial" w:hAnsi="Garamond" w:cstheme="majorBidi"/>
                <w:sz w:val="22"/>
              </w:rPr>
              <w:t>.</w:t>
            </w:r>
          </w:p>
        </w:tc>
      </w:tr>
    </w:tbl>
    <w:p w14:paraId="4172D8E7" w14:textId="77777777" w:rsidR="00B80EC5" w:rsidRPr="002128A6" w:rsidRDefault="00B80EC5" w:rsidP="0025426C">
      <w:pPr>
        <w:spacing w:after="0" w:line="240" w:lineRule="auto"/>
        <w:ind w:firstLine="284"/>
        <w:jc w:val="both"/>
        <w:rPr>
          <w:rFonts w:ascii="Garamond" w:eastAsia="Aptos" w:hAnsi="Garamond" w:cstheme="majorBidi"/>
        </w:rPr>
      </w:pPr>
    </w:p>
    <w:p w14:paraId="0EB40DE0" w14:textId="02F2DA63" w:rsidR="008259E3" w:rsidRPr="002128A6" w:rsidRDefault="008259E3" w:rsidP="0025426C">
      <w:pPr>
        <w:keepNext/>
        <w:keepLines/>
        <w:spacing w:after="0" w:line="240" w:lineRule="auto"/>
        <w:ind w:firstLine="284"/>
        <w:jc w:val="both"/>
        <w:outlineLvl w:val="3"/>
        <w:rPr>
          <w:rFonts w:ascii="Garamond" w:eastAsia="Times New Roman" w:hAnsi="Garamond" w:cstheme="majorBidi"/>
          <w:b/>
          <w:bCs/>
        </w:rPr>
      </w:pPr>
      <w:r w:rsidRPr="002128A6">
        <w:rPr>
          <w:rFonts w:ascii="Garamond" w:eastAsia="Times New Roman" w:hAnsi="Garamond" w:cstheme="majorBidi"/>
          <w:b/>
          <w:bCs/>
        </w:rPr>
        <w:t xml:space="preserve">Lidhja midis dokumentit strategjik dhe Marrëveshjes së Stabilizim-Asociimit dhe </w:t>
      </w:r>
      <w:r w:rsidR="00A00935" w:rsidRPr="002128A6">
        <w:rPr>
          <w:rFonts w:ascii="Garamond" w:eastAsia="Times New Roman" w:hAnsi="Garamond" w:cstheme="majorBidi"/>
          <w:b/>
          <w:bCs/>
          <w:i/>
          <w:iCs/>
        </w:rPr>
        <w:t>Acquis</w:t>
      </w:r>
      <w:r w:rsidR="00A00935" w:rsidRPr="002128A6">
        <w:rPr>
          <w:rFonts w:ascii="Garamond" w:eastAsia="Times New Roman" w:hAnsi="Garamond" w:cstheme="majorBidi"/>
          <w:b/>
          <w:bCs/>
        </w:rPr>
        <w:t xml:space="preserve"> </w:t>
      </w:r>
      <w:r w:rsidR="000C11D7" w:rsidRPr="002128A6">
        <w:rPr>
          <w:rFonts w:ascii="Garamond" w:eastAsia="Times New Roman" w:hAnsi="Garamond" w:cstheme="majorBidi"/>
          <w:b/>
          <w:bCs/>
        </w:rPr>
        <w:t>t</w:t>
      </w:r>
      <w:r w:rsidRPr="002128A6">
        <w:rPr>
          <w:rFonts w:ascii="Garamond" w:eastAsia="Times New Roman" w:hAnsi="Garamond" w:cstheme="majorBidi"/>
          <w:b/>
          <w:bCs/>
        </w:rPr>
        <w:t>ë BE-së</w:t>
      </w:r>
    </w:p>
    <w:p w14:paraId="2C84F503" w14:textId="5A45C32E" w:rsidR="008259E3" w:rsidRPr="002128A6" w:rsidRDefault="008259E3" w:rsidP="0025426C">
      <w:pPr>
        <w:autoSpaceDE w:val="0"/>
        <w:autoSpaceDN w:val="0"/>
        <w:adjustRightInd w:val="0"/>
        <w:spacing w:after="0" w:line="240" w:lineRule="auto"/>
        <w:ind w:firstLine="284"/>
        <w:jc w:val="both"/>
        <w:rPr>
          <w:rFonts w:ascii="Garamond" w:eastAsia="Aptos" w:hAnsi="Garamond" w:cstheme="majorBidi"/>
        </w:rPr>
      </w:pPr>
      <w:r w:rsidRPr="002128A6">
        <w:rPr>
          <w:rFonts w:ascii="Garamond" w:eastAsia="Aptos" w:hAnsi="Garamond" w:cstheme="majorBidi"/>
        </w:rPr>
        <w:t>Lufta kundër krimit të organizuar, midis Republikës së Shqipërisë dhe BE-së, parashikohet në nenet 4, 82, 84 dhe 85 të Marrëveshjes së Stabilizim-Asociimit. Bashkëpunimi në fushën e luft</w:t>
      </w:r>
      <w:r w:rsidR="00DB4354" w:rsidRPr="002128A6">
        <w:rPr>
          <w:rFonts w:ascii="Garamond" w:eastAsia="Aptos" w:hAnsi="Garamond" w:cstheme="majorBidi"/>
        </w:rPr>
        <w:t>ës kundër</w:t>
      </w:r>
      <w:r w:rsidRPr="002128A6">
        <w:rPr>
          <w:rFonts w:ascii="Garamond" w:eastAsia="Aptos" w:hAnsi="Garamond" w:cstheme="majorBidi"/>
        </w:rPr>
        <w:t xml:space="preserve"> trafikimit të paligjshëm, midis Republikës së Shqipërisë dhe BE-së, parashikohet në nenet 4 dhe 85 të Marrëveshjes së Stabilizim-Asociimit. Bashkëpunimi në fushën e luftës kundër pastrimit të parave midis Republikës së Shqipërisë dhe BE-së parashikohet në nenet 4 dhe 82 të Marrëveshjes së Stabilizim-Asociimit.</w:t>
      </w:r>
    </w:p>
    <w:p w14:paraId="03B83522" w14:textId="04BF679A" w:rsidR="008259E3" w:rsidRPr="002128A6" w:rsidRDefault="008259E3"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Për më tepër, nenet 5, 82 dhe 84 të Marrëveshjes së Stabilizim-Asociimit parashikojnë bashkëpunim midis Republikës së Shqipërisë dhe BE-së në fushën e luftës kundër terrorizmit. Nenet 83 dhe 85 të </w:t>
      </w:r>
      <w:r w:rsidR="00DB4354" w:rsidRPr="002128A6">
        <w:rPr>
          <w:rFonts w:ascii="Garamond" w:eastAsia="Aptos" w:hAnsi="Garamond" w:cstheme="majorBidi"/>
        </w:rPr>
        <w:t xml:space="preserve">saj </w:t>
      </w:r>
      <w:r w:rsidRPr="002128A6">
        <w:rPr>
          <w:rFonts w:ascii="Garamond" w:eastAsia="Aptos" w:hAnsi="Garamond" w:cstheme="majorBidi"/>
        </w:rPr>
        <w:t>sigurojnë bashkëpunimin në luftën kundër drogës. Angazhimet në fushën e doganave janë ndërmarrë në përputhje me detyrimet që rrjedhin nga Marrëveshja e Stabilizim-Asociimit, siç përcaktohet në nenet 14, 15, 34, 43 dhe 97. Bashkëpunimi në fushën e çështjeve penale specifikohet në nenin 85 të Marrëveshjes së Stabilizim-Asociimit.</w:t>
      </w:r>
    </w:p>
    <w:p w14:paraId="76DBD850" w14:textId="6E0E6758" w:rsidR="00744195" w:rsidRPr="002128A6" w:rsidRDefault="00744195" w:rsidP="0025426C">
      <w:pPr>
        <w:spacing w:after="0" w:line="240" w:lineRule="auto"/>
        <w:ind w:firstLine="284"/>
        <w:jc w:val="both"/>
        <w:rPr>
          <w:rFonts w:ascii="Garamond" w:eastAsia="Arial" w:hAnsi="Garamond" w:cstheme="majorBidi"/>
        </w:rPr>
      </w:pPr>
      <w:r w:rsidRPr="002128A6">
        <w:rPr>
          <w:rFonts w:ascii="Garamond" w:eastAsia="Arial" w:hAnsi="Garamond" w:cstheme="majorBidi"/>
        </w:rPr>
        <w:t xml:space="preserve">Objektivat Specifikë janë </w:t>
      </w:r>
      <w:r w:rsidR="00C90A06" w:rsidRPr="002128A6">
        <w:rPr>
          <w:rFonts w:ascii="Garamond" w:eastAsia="Arial" w:hAnsi="Garamond" w:cstheme="majorBidi"/>
        </w:rPr>
        <w:t xml:space="preserve">të </w:t>
      </w:r>
      <w:r w:rsidRPr="002128A6">
        <w:rPr>
          <w:rFonts w:ascii="Garamond" w:eastAsia="Arial" w:hAnsi="Garamond" w:cstheme="majorBidi"/>
        </w:rPr>
        <w:t>hartuar</w:t>
      </w:r>
      <w:r w:rsidR="00C90A06" w:rsidRPr="002128A6">
        <w:rPr>
          <w:rFonts w:ascii="Garamond" w:eastAsia="Arial" w:hAnsi="Garamond" w:cstheme="majorBidi"/>
        </w:rPr>
        <w:t>a</w:t>
      </w:r>
      <w:r w:rsidRPr="002128A6">
        <w:rPr>
          <w:rFonts w:ascii="Garamond" w:eastAsia="Arial" w:hAnsi="Garamond" w:cstheme="majorBidi"/>
        </w:rPr>
        <w:t xml:space="preserve"> në </w:t>
      </w:r>
      <w:r w:rsidR="00C90A06" w:rsidRPr="002128A6">
        <w:rPr>
          <w:rFonts w:ascii="Garamond" w:eastAsia="Arial" w:hAnsi="Garamond" w:cstheme="majorBidi"/>
        </w:rPr>
        <w:t>ndë</w:t>
      </w:r>
      <w:r w:rsidR="00CA7C10" w:rsidRPr="002128A6">
        <w:rPr>
          <w:rFonts w:ascii="Garamond" w:eastAsia="Arial" w:hAnsi="Garamond" w:cstheme="majorBidi"/>
        </w:rPr>
        <w:t>r</w:t>
      </w:r>
      <w:r w:rsidRPr="002128A6">
        <w:rPr>
          <w:rFonts w:ascii="Garamond" w:eastAsia="Arial" w:hAnsi="Garamond" w:cstheme="majorBidi"/>
        </w:rPr>
        <w:t>lidhje me Direktivat, Rregulloret dhe Vendimet Kornizë kryesore në tabelën më poshtë.</w:t>
      </w:r>
    </w:p>
    <w:p w14:paraId="399F964D" w14:textId="77777777" w:rsidR="00E31806" w:rsidRPr="002128A6" w:rsidRDefault="00E31806" w:rsidP="0025426C">
      <w:pPr>
        <w:spacing w:after="0" w:line="240" w:lineRule="auto"/>
        <w:ind w:firstLine="284"/>
        <w:jc w:val="both"/>
        <w:rPr>
          <w:rFonts w:ascii="Garamond" w:hAnsi="Garamond" w:cstheme="majorBid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F54824" w:rsidRPr="002128A6" w14:paraId="1789E274"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shd w:val="clear" w:color="auto" w:fill="1F3864"/>
            <w:tcMar>
              <w:top w:w="90" w:type="dxa"/>
              <w:left w:w="120" w:type="dxa"/>
              <w:bottom w:w="90" w:type="dxa"/>
              <w:right w:w="120" w:type="dxa"/>
            </w:tcMar>
          </w:tcPr>
          <w:p w14:paraId="6B0679FC"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Instrumenti i BE-së</w:t>
            </w:r>
          </w:p>
        </w:tc>
        <w:tc>
          <w:tcPr>
            <w:tcW w:w="5160" w:type="dxa"/>
            <w:tcBorders>
              <w:top w:val="single" w:sz="4" w:space="0" w:color="BFBFBF"/>
              <w:left w:val="single" w:sz="4" w:space="0" w:color="BFBFBF"/>
              <w:bottom w:val="single" w:sz="4" w:space="0" w:color="BFBFBF"/>
              <w:right w:val="single" w:sz="4" w:space="0" w:color="BFBFBF"/>
            </w:tcBorders>
            <w:shd w:val="clear" w:color="auto" w:fill="1F3864"/>
            <w:tcMar>
              <w:top w:w="90" w:type="dxa"/>
              <w:left w:w="120" w:type="dxa"/>
              <w:bottom w:w="90" w:type="dxa"/>
              <w:right w:w="120" w:type="dxa"/>
            </w:tcMar>
          </w:tcPr>
          <w:p w14:paraId="72829B3A" w14:textId="38C9E613" w:rsidR="00744195" w:rsidRPr="002128A6" w:rsidRDefault="00DB4354"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Lidhja me</w:t>
            </w:r>
            <w:r w:rsidR="00744195" w:rsidRPr="002128A6">
              <w:rPr>
                <w:rFonts w:ascii="Garamond" w:eastAsia="Arial" w:hAnsi="Garamond" w:cstheme="majorBidi"/>
                <w:b/>
                <w:bCs/>
                <w:sz w:val="20"/>
                <w:szCs w:val="20"/>
              </w:rPr>
              <w:t xml:space="preserve"> për Strategjinë</w:t>
            </w:r>
          </w:p>
        </w:tc>
      </w:tr>
      <w:tr w:rsidR="00F54824" w:rsidRPr="002128A6" w14:paraId="6B69A628"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FC142A7" w14:textId="77768E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i/>
                <w:iCs/>
                <w:sz w:val="20"/>
                <w:szCs w:val="20"/>
              </w:rPr>
              <w:t xml:space="preserve">Acquis </w:t>
            </w:r>
            <w:r w:rsidR="00DB4354" w:rsidRPr="002128A6">
              <w:rPr>
                <w:rFonts w:ascii="Garamond" w:eastAsia="Arial" w:hAnsi="Garamond" w:cstheme="majorBidi"/>
                <w:b/>
                <w:bCs/>
                <w:sz w:val="20"/>
                <w:szCs w:val="20"/>
              </w:rPr>
              <w:t>i</w:t>
            </w:r>
            <w:r w:rsidRPr="002128A6">
              <w:rPr>
                <w:rFonts w:ascii="Garamond" w:eastAsia="Arial" w:hAnsi="Garamond" w:cstheme="majorBidi"/>
                <w:b/>
                <w:bCs/>
                <w:sz w:val="20"/>
                <w:szCs w:val="20"/>
              </w:rPr>
              <w:t xml:space="preserve"> BE-së</w:t>
            </w:r>
            <w:r w:rsidR="00DB4354" w:rsidRPr="002128A6">
              <w:rPr>
                <w:rFonts w:ascii="Garamond" w:eastAsia="Arial" w:hAnsi="Garamond" w:cstheme="majorBidi"/>
                <w:b/>
                <w:bCs/>
                <w:sz w:val="20"/>
                <w:szCs w:val="20"/>
              </w:rPr>
              <w:t>,</w:t>
            </w:r>
            <w:r w:rsidRPr="002128A6">
              <w:rPr>
                <w:rFonts w:ascii="Garamond" w:eastAsia="Arial" w:hAnsi="Garamond" w:cstheme="majorBidi"/>
                <w:b/>
                <w:bCs/>
                <w:sz w:val="20"/>
                <w:szCs w:val="20"/>
              </w:rPr>
              <w:t xml:space="preserve"> </w:t>
            </w:r>
            <w:r w:rsidR="00A00935" w:rsidRPr="002128A6">
              <w:rPr>
                <w:rFonts w:ascii="Garamond" w:eastAsia="Arial" w:hAnsi="Garamond" w:cstheme="majorBidi"/>
                <w:b/>
                <w:bCs/>
                <w:sz w:val="20"/>
                <w:szCs w:val="20"/>
              </w:rPr>
              <w:t xml:space="preserve">kapitulli </w:t>
            </w:r>
            <w:r w:rsidRPr="002128A6">
              <w:rPr>
                <w:rFonts w:ascii="Garamond" w:eastAsia="Arial" w:hAnsi="Garamond" w:cstheme="majorBidi"/>
                <w:b/>
                <w:bCs/>
                <w:sz w:val="20"/>
                <w:szCs w:val="20"/>
              </w:rPr>
              <w:t xml:space="preserve">24 </w:t>
            </w:r>
            <w:r w:rsidR="00106319" w:rsidRPr="002128A6">
              <w:rPr>
                <w:rFonts w:ascii="Garamond" w:eastAsia="Arial" w:hAnsi="Garamond" w:cstheme="majorBidi"/>
                <w:b/>
                <w:bCs/>
                <w:i/>
                <w:iCs/>
                <w:sz w:val="20"/>
                <w:szCs w:val="20"/>
              </w:rPr>
              <w:t>–</w:t>
            </w:r>
            <w:r w:rsidRPr="002128A6">
              <w:rPr>
                <w:rFonts w:ascii="Garamond" w:eastAsia="Arial" w:hAnsi="Garamond" w:cstheme="majorBidi"/>
                <w:b/>
                <w:bCs/>
                <w:sz w:val="20"/>
                <w:szCs w:val="20"/>
              </w:rPr>
              <w:t xml:space="preserve"> Drejtësia, Liria dhe Siguria</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426B138"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Korniza gjithëpërfshirëse e harmonizimit për krimin e organizuar, bashkëpunimin policor dhe gjyqësor.</w:t>
            </w:r>
          </w:p>
        </w:tc>
      </w:tr>
      <w:tr w:rsidR="00F54824" w:rsidRPr="002128A6" w14:paraId="73077483"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F182D30" w14:textId="7074490B"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 xml:space="preserve">Acquis e BE-së </w:t>
            </w:r>
            <w:r w:rsidR="00A00935" w:rsidRPr="002128A6">
              <w:rPr>
                <w:rFonts w:ascii="Garamond" w:eastAsia="Arial" w:hAnsi="Garamond" w:cstheme="majorBidi"/>
                <w:b/>
                <w:bCs/>
                <w:sz w:val="20"/>
                <w:szCs w:val="20"/>
              </w:rPr>
              <w:t xml:space="preserve">kapitulli </w:t>
            </w:r>
            <w:r w:rsidRPr="002128A6">
              <w:rPr>
                <w:rFonts w:ascii="Garamond" w:eastAsia="Arial" w:hAnsi="Garamond" w:cstheme="majorBidi"/>
                <w:b/>
                <w:bCs/>
                <w:sz w:val="20"/>
                <w:szCs w:val="20"/>
              </w:rPr>
              <w:t xml:space="preserve">23 </w:t>
            </w:r>
            <w:r w:rsidR="00106319" w:rsidRPr="002128A6">
              <w:rPr>
                <w:rFonts w:ascii="Garamond" w:eastAsia="Arial" w:hAnsi="Garamond" w:cstheme="majorBidi"/>
                <w:b/>
                <w:bCs/>
                <w:i/>
                <w:iCs/>
                <w:sz w:val="20"/>
                <w:szCs w:val="20"/>
              </w:rPr>
              <w:t>–</w:t>
            </w:r>
            <w:r w:rsidRPr="002128A6">
              <w:rPr>
                <w:rFonts w:ascii="Garamond" w:eastAsia="Arial" w:hAnsi="Garamond" w:cstheme="majorBidi"/>
                <w:b/>
                <w:bCs/>
                <w:sz w:val="20"/>
                <w:szCs w:val="20"/>
              </w:rPr>
              <w:t xml:space="preserve"> Gjyqësori dhe të Drejtat Themelore</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D8A706A"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Prioritete të lidhura për pavarësinë dhe kapacitetin e prokurorisë dhe gjyqësorit, rikuperimin e aseteve dhe mbrojtjen e viktimave dhe dëshmitarëve.</w:t>
            </w:r>
          </w:p>
        </w:tc>
      </w:tr>
      <w:tr w:rsidR="00F54824" w:rsidRPr="002128A6" w14:paraId="42D3E750"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00DB5E9"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Vendimi Kornizë i Këshillit 2008/841/JHA për luftën kundër krimit të organizuar</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90869E9"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Përkufizimet e ligjit penal kombëtar dhe dispozitat rënduese për pjesëmarrje në një organizatë kriminale.</w:t>
            </w:r>
          </w:p>
        </w:tc>
      </w:tr>
      <w:tr w:rsidR="00F54824" w:rsidRPr="002128A6" w14:paraId="7A57DD3D"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65DBD1B"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Direktiva 2014/42/BE për ngrirjen dhe konfiskimin e instrumenteve dhe të ardhurave nga krimi</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52C94DD" w14:textId="12AB7091"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Pikë</w:t>
            </w:r>
            <w:r w:rsidR="00DB4354" w:rsidRPr="002128A6">
              <w:rPr>
                <w:rFonts w:ascii="Garamond" w:eastAsia="Arial" w:hAnsi="Garamond" w:cstheme="majorBidi"/>
                <w:sz w:val="20"/>
                <w:szCs w:val="20"/>
              </w:rPr>
              <w:t xml:space="preserve"> </w:t>
            </w:r>
            <w:r w:rsidRPr="002128A6">
              <w:rPr>
                <w:rFonts w:ascii="Garamond" w:eastAsia="Arial" w:hAnsi="Garamond" w:cstheme="majorBidi"/>
                <w:sz w:val="20"/>
                <w:szCs w:val="20"/>
              </w:rPr>
              <w:t xml:space="preserve">referimi </w:t>
            </w:r>
            <w:r w:rsidR="00DB4354" w:rsidRPr="002128A6">
              <w:rPr>
                <w:rFonts w:ascii="Garamond" w:eastAsia="Arial" w:hAnsi="Garamond" w:cstheme="majorBidi"/>
                <w:sz w:val="20"/>
                <w:szCs w:val="20"/>
              </w:rPr>
              <w:t>e</w:t>
            </w:r>
            <w:r w:rsidRPr="002128A6">
              <w:rPr>
                <w:rFonts w:ascii="Garamond" w:eastAsia="Arial" w:hAnsi="Garamond" w:cstheme="majorBidi"/>
                <w:sz w:val="20"/>
                <w:szCs w:val="20"/>
              </w:rPr>
              <w:t xml:space="preserve"> kornizës së rikuperimit të aseteve për OS 1.5 dhe OS 2.6.</w:t>
            </w:r>
          </w:p>
        </w:tc>
      </w:tr>
      <w:tr w:rsidR="00F54824" w:rsidRPr="002128A6" w14:paraId="04FF61DA"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7CF7023"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Rregullorja (BE) 2018/1805 për njohjen reciproke të urdhrave të ngrirjes dhe konfiskimit</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C0DB5AD" w14:textId="3F31D839"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Pikë</w:t>
            </w:r>
            <w:r w:rsidR="00DB4354" w:rsidRPr="002128A6">
              <w:rPr>
                <w:rFonts w:ascii="Garamond" w:eastAsia="Arial" w:hAnsi="Garamond" w:cstheme="majorBidi"/>
                <w:sz w:val="20"/>
                <w:szCs w:val="20"/>
              </w:rPr>
              <w:t xml:space="preserve"> </w:t>
            </w:r>
            <w:r w:rsidRPr="002128A6">
              <w:rPr>
                <w:rFonts w:ascii="Garamond" w:eastAsia="Arial" w:hAnsi="Garamond" w:cstheme="majorBidi"/>
                <w:sz w:val="20"/>
                <w:szCs w:val="20"/>
              </w:rPr>
              <w:t xml:space="preserve">referimi </w:t>
            </w:r>
            <w:r w:rsidR="00DB4354" w:rsidRPr="002128A6">
              <w:rPr>
                <w:rFonts w:ascii="Garamond" w:eastAsia="Arial" w:hAnsi="Garamond" w:cstheme="majorBidi"/>
                <w:sz w:val="20"/>
                <w:szCs w:val="20"/>
              </w:rPr>
              <w:t>e</w:t>
            </w:r>
            <w:r w:rsidRPr="002128A6">
              <w:rPr>
                <w:rFonts w:ascii="Garamond" w:eastAsia="Arial" w:hAnsi="Garamond" w:cstheme="majorBidi"/>
                <w:sz w:val="20"/>
                <w:szCs w:val="20"/>
              </w:rPr>
              <w:t xml:space="preserve"> bashkëpunimit ndërkufitar për rikuperimin e aseteve për OS 3.2.</w:t>
            </w:r>
          </w:p>
        </w:tc>
      </w:tr>
      <w:tr w:rsidR="00F54824" w:rsidRPr="002128A6" w14:paraId="25B22BA4"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4599DEB" w14:textId="3B631989"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lastRenderedPageBreak/>
              <w:t>Direktiva 2011/36/BE për parandalimin dhe luft</w:t>
            </w:r>
            <w:r w:rsidR="00DB4354" w:rsidRPr="002128A6">
              <w:rPr>
                <w:rFonts w:ascii="Garamond" w:eastAsia="Arial" w:hAnsi="Garamond" w:cstheme="majorBidi"/>
                <w:b/>
                <w:bCs/>
                <w:sz w:val="20"/>
                <w:szCs w:val="20"/>
              </w:rPr>
              <w:t>ën kundër</w:t>
            </w:r>
            <w:r w:rsidRPr="002128A6">
              <w:rPr>
                <w:rFonts w:ascii="Garamond" w:eastAsia="Arial" w:hAnsi="Garamond" w:cstheme="majorBidi"/>
                <w:b/>
                <w:bCs/>
                <w:sz w:val="20"/>
                <w:szCs w:val="20"/>
              </w:rPr>
              <w:t xml:space="preserve"> trafikimit të qenieve njerëzore</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D0C2348" w14:textId="3E290CF6"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Pikë</w:t>
            </w:r>
            <w:r w:rsidR="00DB4354" w:rsidRPr="002128A6">
              <w:rPr>
                <w:rFonts w:ascii="Garamond" w:eastAsia="Arial" w:hAnsi="Garamond" w:cstheme="majorBidi"/>
                <w:sz w:val="20"/>
                <w:szCs w:val="20"/>
              </w:rPr>
              <w:t xml:space="preserve"> </w:t>
            </w:r>
            <w:r w:rsidRPr="002128A6">
              <w:rPr>
                <w:rFonts w:ascii="Garamond" w:eastAsia="Arial" w:hAnsi="Garamond" w:cstheme="majorBidi"/>
                <w:sz w:val="20"/>
                <w:szCs w:val="20"/>
              </w:rPr>
              <w:t xml:space="preserve">referimi </w:t>
            </w:r>
            <w:r w:rsidR="00DB4354" w:rsidRPr="002128A6">
              <w:rPr>
                <w:rFonts w:ascii="Garamond" w:eastAsia="Arial" w:hAnsi="Garamond" w:cstheme="majorBidi"/>
                <w:sz w:val="20"/>
                <w:szCs w:val="20"/>
              </w:rPr>
              <w:t>e</w:t>
            </w:r>
            <w:r w:rsidRPr="002128A6">
              <w:rPr>
                <w:rFonts w:ascii="Garamond" w:eastAsia="Arial" w:hAnsi="Garamond" w:cstheme="majorBidi"/>
                <w:sz w:val="20"/>
                <w:szCs w:val="20"/>
              </w:rPr>
              <w:t xml:space="preserve"> mbrojtjes </w:t>
            </w:r>
            <w:r w:rsidR="00DB4354" w:rsidRPr="002128A6">
              <w:rPr>
                <w:rFonts w:ascii="Garamond" w:eastAsia="Arial" w:hAnsi="Garamond" w:cstheme="majorBidi"/>
                <w:sz w:val="20"/>
                <w:szCs w:val="20"/>
              </w:rPr>
              <w:t>s</w:t>
            </w:r>
            <w:r w:rsidRPr="002128A6">
              <w:rPr>
                <w:rFonts w:ascii="Garamond" w:eastAsia="Arial" w:hAnsi="Garamond" w:cstheme="majorBidi"/>
                <w:sz w:val="20"/>
                <w:szCs w:val="20"/>
              </w:rPr>
              <w:t xml:space="preserve">ë orientuar </w:t>
            </w:r>
            <w:r w:rsidR="00DB4354" w:rsidRPr="002128A6">
              <w:rPr>
                <w:rFonts w:ascii="Garamond" w:eastAsia="Arial" w:hAnsi="Garamond" w:cstheme="majorBidi"/>
                <w:sz w:val="20"/>
                <w:szCs w:val="20"/>
              </w:rPr>
              <w:t>drejt</w:t>
            </w:r>
            <w:r w:rsidRPr="002128A6">
              <w:rPr>
                <w:rFonts w:ascii="Garamond" w:eastAsia="Arial" w:hAnsi="Garamond" w:cstheme="majorBidi"/>
                <w:sz w:val="20"/>
                <w:szCs w:val="20"/>
              </w:rPr>
              <w:t xml:space="preserve"> viktim</w:t>
            </w:r>
            <w:r w:rsidR="00DB4354" w:rsidRPr="002128A6">
              <w:rPr>
                <w:rFonts w:ascii="Garamond" w:eastAsia="Arial" w:hAnsi="Garamond" w:cstheme="majorBidi"/>
                <w:sz w:val="20"/>
                <w:szCs w:val="20"/>
              </w:rPr>
              <w:t>ë</w:t>
            </w:r>
            <w:r w:rsidRPr="002128A6">
              <w:rPr>
                <w:rFonts w:ascii="Garamond" w:eastAsia="Arial" w:hAnsi="Garamond" w:cstheme="majorBidi"/>
                <w:sz w:val="20"/>
                <w:szCs w:val="20"/>
              </w:rPr>
              <w:t xml:space="preserve"> për OS 1.3 dhe 2.2.</w:t>
            </w:r>
          </w:p>
        </w:tc>
      </w:tr>
      <w:tr w:rsidR="00F54824" w:rsidRPr="002128A6" w14:paraId="39873A6F"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F410C0B"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Direktiva 2013/40/BE për sulmet ndaj sistemeve të informacionit</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D77D731" w14:textId="73A8B7E0"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Pikë</w:t>
            </w:r>
            <w:r w:rsidR="00DB4354" w:rsidRPr="002128A6">
              <w:rPr>
                <w:rFonts w:ascii="Garamond" w:eastAsia="Arial" w:hAnsi="Garamond" w:cstheme="majorBidi"/>
                <w:sz w:val="20"/>
                <w:szCs w:val="20"/>
              </w:rPr>
              <w:t xml:space="preserve"> </w:t>
            </w:r>
            <w:r w:rsidRPr="002128A6">
              <w:rPr>
                <w:rFonts w:ascii="Garamond" w:eastAsia="Arial" w:hAnsi="Garamond" w:cstheme="majorBidi"/>
                <w:sz w:val="20"/>
                <w:szCs w:val="20"/>
              </w:rPr>
              <w:t xml:space="preserve">referimi </w:t>
            </w:r>
            <w:r w:rsidR="00DB4354" w:rsidRPr="002128A6">
              <w:rPr>
                <w:rFonts w:ascii="Garamond" w:eastAsia="Arial" w:hAnsi="Garamond" w:cstheme="majorBidi"/>
                <w:sz w:val="20"/>
                <w:szCs w:val="20"/>
              </w:rPr>
              <w:t>e</w:t>
            </w:r>
            <w:r w:rsidRPr="002128A6">
              <w:rPr>
                <w:rFonts w:ascii="Garamond" w:eastAsia="Arial" w:hAnsi="Garamond" w:cstheme="majorBidi"/>
                <w:sz w:val="20"/>
                <w:szCs w:val="20"/>
              </w:rPr>
              <w:t xml:space="preserve"> krimit kibernetik për OS 2.4.</w:t>
            </w:r>
          </w:p>
        </w:tc>
      </w:tr>
      <w:tr w:rsidR="00F54824" w:rsidRPr="002128A6" w14:paraId="636DB987"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3D980AE" w14:textId="0E8E77F5" w:rsidR="00744195" w:rsidRPr="002128A6" w:rsidRDefault="00C23984"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 xml:space="preserve">Direktiva 2024/1203/BE e Parlamentit Evropian dhe të Këshillit, datë 11 prill 2024, “Për mbrojtjen e mjedisit përmes së drejtës penale”, e cila shfuqizon </w:t>
            </w:r>
            <w:r w:rsidR="00744195" w:rsidRPr="002128A6">
              <w:rPr>
                <w:rFonts w:ascii="Garamond" w:eastAsia="Arial" w:hAnsi="Garamond" w:cstheme="majorBidi"/>
                <w:b/>
                <w:bCs/>
                <w:sz w:val="20"/>
                <w:szCs w:val="20"/>
              </w:rPr>
              <w:t>Direktiv</w:t>
            </w:r>
            <w:r w:rsidRPr="002128A6">
              <w:rPr>
                <w:rFonts w:ascii="Garamond" w:eastAsia="Arial" w:hAnsi="Garamond" w:cstheme="majorBidi"/>
                <w:b/>
                <w:bCs/>
                <w:sz w:val="20"/>
                <w:szCs w:val="20"/>
              </w:rPr>
              <w:t>ën</w:t>
            </w:r>
            <w:r w:rsidR="00744195" w:rsidRPr="002128A6">
              <w:rPr>
                <w:rFonts w:ascii="Garamond" w:eastAsia="Arial" w:hAnsi="Garamond" w:cstheme="majorBidi"/>
                <w:b/>
                <w:bCs/>
                <w:sz w:val="20"/>
                <w:szCs w:val="20"/>
              </w:rPr>
              <w:t xml:space="preserve"> 2008/99/KE për mbrojtjen e mjedisit përmes ligjit penal</w:t>
            </w:r>
            <w:r w:rsidRPr="002128A6">
              <w:rPr>
                <w:rFonts w:ascii="Garamond" w:eastAsia="Arial" w:hAnsi="Garamond" w:cstheme="majorBidi"/>
                <w:b/>
                <w:bCs/>
                <w:sz w:val="20"/>
                <w:szCs w:val="20"/>
              </w:rPr>
              <w:t>.</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A2A4A36" w14:textId="1A20FA68"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Pikë</w:t>
            </w:r>
            <w:r w:rsidR="00DB4354" w:rsidRPr="002128A6">
              <w:rPr>
                <w:rFonts w:ascii="Garamond" w:eastAsia="Arial" w:hAnsi="Garamond" w:cstheme="majorBidi"/>
                <w:sz w:val="20"/>
                <w:szCs w:val="20"/>
              </w:rPr>
              <w:t xml:space="preserve"> </w:t>
            </w:r>
            <w:r w:rsidRPr="002128A6">
              <w:rPr>
                <w:rFonts w:ascii="Garamond" w:eastAsia="Arial" w:hAnsi="Garamond" w:cstheme="majorBidi"/>
                <w:sz w:val="20"/>
                <w:szCs w:val="20"/>
              </w:rPr>
              <w:t xml:space="preserve">referimi </w:t>
            </w:r>
            <w:r w:rsidR="00DB4354" w:rsidRPr="002128A6">
              <w:rPr>
                <w:rFonts w:ascii="Garamond" w:eastAsia="Arial" w:hAnsi="Garamond" w:cstheme="majorBidi"/>
                <w:sz w:val="20"/>
                <w:szCs w:val="20"/>
              </w:rPr>
              <w:t>e</w:t>
            </w:r>
            <w:r w:rsidRPr="002128A6">
              <w:rPr>
                <w:rFonts w:ascii="Garamond" w:eastAsia="Arial" w:hAnsi="Garamond" w:cstheme="majorBidi"/>
                <w:sz w:val="20"/>
                <w:szCs w:val="20"/>
              </w:rPr>
              <w:t xml:space="preserve"> krimit mjedisor për OS 2.8.</w:t>
            </w:r>
          </w:p>
        </w:tc>
      </w:tr>
      <w:tr w:rsidR="00744195" w:rsidRPr="002128A6" w14:paraId="64D05EBA" w14:textId="77777777" w:rsidTr="00E31806">
        <w:trPr>
          <w:trHeight w:val="20"/>
        </w:trPr>
        <w:tc>
          <w:tcPr>
            <w:tcW w:w="4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3736DED" w14:textId="77777777"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Marrëveshja e Stabilizim-Asociimit (MSA), Nenet 4, 78, 82, 83, 84, 85</w:t>
            </w:r>
          </w:p>
        </w:tc>
        <w:tc>
          <w:tcPr>
            <w:tcW w:w="5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E4CD690" w14:textId="5296F35E" w:rsidR="00744195" w:rsidRPr="002128A6" w:rsidRDefault="00744195"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Bashkëpunimi në luft</w:t>
            </w:r>
            <w:r w:rsidR="00DB4354" w:rsidRPr="002128A6">
              <w:rPr>
                <w:rFonts w:ascii="Garamond" w:eastAsia="Arial" w:hAnsi="Garamond" w:cstheme="majorBidi"/>
                <w:sz w:val="20"/>
                <w:szCs w:val="20"/>
              </w:rPr>
              <w:t>ën kundër</w:t>
            </w:r>
            <w:r w:rsidRPr="002128A6">
              <w:rPr>
                <w:rFonts w:ascii="Garamond" w:eastAsia="Arial" w:hAnsi="Garamond" w:cstheme="majorBidi"/>
                <w:sz w:val="20"/>
                <w:szCs w:val="20"/>
              </w:rPr>
              <w:t xml:space="preserve"> trafikimit të paligjshëm, pastrimit të parave, terrorizmit, drogave dhe në çështjet penale.</w:t>
            </w:r>
          </w:p>
        </w:tc>
      </w:tr>
    </w:tbl>
    <w:p w14:paraId="32666461" w14:textId="77777777" w:rsidR="00D3312D" w:rsidRPr="002128A6" w:rsidRDefault="00D3312D" w:rsidP="0025426C">
      <w:pPr>
        <w:keepNext/>
        <w:keepLines/>
        <w:spacing w:after="0" w:line="240" w:lineRule="auto"/>
        <w:ind w:firstLine="284"/>
        <w:jc w:val="both"/>
        <w:outlineLvl w:val="3"/>
        <w:rPr>
          <w:rFonts w:ascii="Garamond" w:eastAsia="Times New Roman" w:hAnsi="Garamond" w:cstheme="majorBidi"/>
          <w:b/>
          <w:bCs/>
        </w:rPr>
      </w:pPr>
    </w:p>
    <w:p w14:paraId="4CDAFFF0" w14:textId="12F74031" w:rsidR="008259E3" w:rsidRPr="002128A6" w:rsidRDefault="008259E3" w:rsidP="0025426C">
      <w:pPr>
        <w:keepNext/>
        <w:keepLines/>
        <w:spacing w:after="0" w:line="240" w:lineRule="auto"/>
        <w:ind w:firstLine="284"/>
        <w:jc w:val="both"/>
        <w:outlineLvl w:val="3"/>
        <w:rPr>
          <w:rFonts w:ascii="Garamond" w:eastAsia="Times New Roman" w:hAnsi="Garamond" w:cstheme="majorBidi"/>
          <w:b/>
          <w:bCs/>
        </w:rPr>
      </w:pPr>
      <w:r w:rsidRPr="002128A6">
        <w:rPr>
          <w:rFonts w:ascii="Garamond" w:eastAsia="Times New Roman" w:hAnsi="Garamond" w:cstheme="majorBidi"/>
          <w:b/>
          <w:bCs/>
        </w:rPr>
        <w:t xml:space="preserve">Lidhja midis dokumentit strategjik dhe Objektivave të Zhvillimit të Qëndrueshëm </w:t>
      </w:r>
    </w:p>
    <w:p w14:paraId="089988EF" w14:textId="0A39808B" w:rsidR="008259E3" w:rsidRPr="002128A6" w:rsidRDefault="008259E3" w:rsidP="0025426C">
      <w:pPr>
        <w:spacing w:after="0" w:line="240" w:lineRule="auto"/>
        <w:ind w:firstLine="284"/>
        <w:jc w:val="both"/>
        <w:rPr>
          <w:rFonts w:ascii="Garamond" w:eastAsia="Aptos" w:hAnsi="Garamond" w:cstheme="majorBidi"/>
          <w:kern w:val="0"/>
          <w14:ligatures w14:val="none"/>
        </w:rPr>
      </w:pPr>
      <w:r w:rsidRPr="002128A6">
        <w:rPr>
          <w:rFonts w:ascii="Garamond" w:eastAsia="Aptos" w:hAnsi="Garamond" w:cstheme="majorBidi"/>
          <w:kern w:val="0"/>
          <w14:ligatures w14:val="none"/>
        </w:rPr>
        <w:t xml:space="preserve">Strategjia parashikon qëllimet dhe objektivat e formuluara në kuadër të përmbushjes së Objektivave të Zhvillimit të Qëndrueshëm 2030 dhe Agjendës 2030, </w:t>
      </w:r>
      <w:r w:rsidR="00DB4354" w:rsidRPr="002128A6">
        <w:rPr>
          <w:rFonts w:ascii="Garamond" w:eastAsia="Aptos" w:hAnsi="Garamond" w:cstheme="majorBidi"/>
          <w:kern w:val="0"/>
          <w14:ligatures w14:val="none"/>
        </w:rPr>
        <w:t>konkretisht</w:t>
      </w:r>
      <w:r w:rsidRPr="002128A6">
        <w:rPr>
          <w:rFonts w:ascii="Garamond" w:eastAsia="Aptos" w:hAnsi="Garamond" w:cstheme="majorBidi"/>
          <w:kern w:val="0"/>
          <w14:ligatures w14:val="none"/>
        </w:rPr>
        <w:t xml:space="preserve"> me Objektivin 16 të Zhvillimit të Qëndrueshëm “Promovimi i shoqërive paqësore dhe gjithëpërfshirëse për zhvillim të qëndrueshëm, ofrimi i aksesit në drejtësi për të gjithë dhe ndërtimi i institucioneve efektive, llogaridhënëse dhe gjithëpërfshirëse në të gjitha nivelet</w:t>
      </w:r>
      <w:r w:rsidR="00DB4354" w:rsidRPr="002128A6">
        <w:rPr>
          <w:rFonts w:ascii="Garamond" w:eastAsia="Aptos" w:hAnsi="Garamond" w:cstheme="majorBidi"/>
          <w:kern w:val="0"/>
          <w14:ligatures w14:val="none"/>
        </w:rPr>
        <w:t>”</w:t>
      </w:r>
      <w:r w:rsidRPr="002128A6">
        <w:rPr>
          <w:rFonts w:ascii="Garamond" w:eastAsia="Aptos" w:hAnsi="Garamond" w:cstheme="majorBidi"/>
          <w:kern w:val="0"/>
          <w14:ligatures w14:val="none"/>
        </w:rPr>
        <w:t xml:space="preserve">. Ky dokument lidhet specifikisht me: </w:t>
      </w:r>
    </w:p>
    <w:p w14:paraId="4D6711E8" w14:textId="6ECD287F" w:rsidR="0025426C" w:rsidRPr="002128A6" w:rsidRDefault="0025426C" w:rsidP="0025426C">
      <w:pPr>
        <w:spacing w:after="0" w:line="240" w:lineRule="auto"/>
        <w:ind w:firstLine="284"/>
        <w:jc w:val="both"/>
        <w:rPr>
          <w:rFonts w:ascii="Garamond" w:hAnsi="Garamond"/>
        </w:rPr>
      </w:pPr>
      <w:r w:rsidRPr="002128A6">
        <w:rPr>
          <w:rFonts w:ascii="Garamond" w:hAnsi="Garamond" w:cs="Calibri"/>
        </w:rPr>
        <w:t xml:space="preserve">­ </w:t>
      </w:r>
      <w:r w:rsidRPr="002128A6">
        <w:rPr>
          <w:rFonts w:ascii="Garamond" w:hAnsi="Garamond" w:cs="Garamond"/>
        </w:rPr>
        <w:t xml:space="preserve">Nënobjektivin 16.1: “Reduktimi i ndjeshëm i të gjitha formave të dhunës kudo dhe i normave të vdekjes të lidhura me to”; </w:t>
      </w:r>
    </w:p>
    <w:p w14:paraId="0626DEE8" w14:textId="4F9780D4" w:rsidR="0025426C" w:rsidRPr="002128A6" w:rsidRDefault="0025426C" w:rsidP="0025426C">
      <w:pPr>
        <w:spacing w:after="0" w:line="240" w:lineRule="auto"/>
        <w:ind w:firstLine="284"/>
        <w:jc w:val="both"/>
        <w:rPr>
          <w:rFonts w:ascii="Garamond" w:hAnsi="Garamond" w:cs="Garamond"/>
        </w:rPr>
      </w:pPr>
      <w:r w:rsidRPr="002128A6">
        <w:rPr>
          <w:rFonts w:ascii="Garamond" w:hAnsi="Garamond" w:cs="Calibri"/>
        </w:rPr>
        <w:t xml:space="preserve">­ </w:t>
      </w:r>
      <w:r w:rsidRPr="002128A6">
        <w:rPr>
          <w:rFonts w:ascii="Garamond" w:hAnsi="Garamond" w:cs="Garamond"/>
        </w:rPr>
        <w:t xml:space="preserve">Nënobjektivin 16.2 “Dhënia fund e abuzimit, shfrytëzimit, trafikimit dhe të gjitha formave të dhunës dhe torturës ndaj fëmijëve”; </w:t>
      </w:r>
    </w:p>
    <w:p w14:paraId="75DC6673" w14:textId="5E191452" w:rsidR="00A3216D" w:rsidRPr="002128A6" w:rsidRDefault="00E31806" w:rsidP="00E31806">
      <w:pPr>
        <w:spacing w:after="0" w:line="240" w:lineRule="auto"/>
        <w:ind w:firstLine="284"/>
        <w:jc w:val="both"/>
        <w:rPr>
          <w:rFonts w:ascii="Garamond" w:hAnsi="Garamond" w:cs="Garamond"/>
        </w:rPr>
      </w:pPr>
      <w:r w:rsidRPr="002128A6">
        <w:rPr>
          <w:rFonts w:ascii="Garamond" w:hAnsi="Garamond" w:cs="Garamond"/>
        </w:rPr>
        <w:t xml:space="preserve">- </w:t>
      </w:r>
      <w:r w:rsidR="0025426C" w:rsidRPr="002128A6">
        <w:rPr>
          <w:rFonts w:ascii="Garamond" w:hAnsi="Garamond" w:cs="Garamond"/>
        </w:rPr>
        <w:t>Nënobjektivin 16.A “Forcimi i institucioneve përkatëse kombëtare, përfshirë përmes bashkëpunimit ndërkombëtar, për ndërtimin e kapaciteteve në të gjitha nivelet, veçanërisht në vendet</w:t>
      </w:r>
      <w:r w:rsidRPr="002128A6">
        <w:rPr>
          <w:rFonts w:ascii="Garamond" w:hAnsi="Garamond" w:cs="Garamond"/>
        </w:rPr>
        <w:t xml:space="preserve"> </w:t>
      </w:r>
      <w:r w:rsidR="008259E3" w:rsidRPr="002128A6">
        <w:rPr>
          <w:rFonts w:ascii="Garamond" w:eastAsia="Century Schoolbook" w:hAnsi="Garamond" w:cstheme="majorBidi"/>
          <w:lang w:eastAsia="ja-JP"/>
        </w:rPr>
        <w:t>në zhvillim, për parandalimin e dhunës dhe luftimin e terrorizmit dhe krimit</w:t>
      </w:r>
      <w:r w:rsidR="00DB4354" w:rsidRPr="002128A6">
        <w:rPr>
          <w:rFonts w:ascii="Garamond" w:eastAsia="Century Schoolbook" w:hAnsi="Garamond" w:cstheme="majorBidi"/>
          <w:lang w:eastAsia="ja-JP"/>
        </w:rPr>
        <w:t>”</w:t>
      </w:r>
      <w:r w:rsidR="008259E3" w:rsidRPr="002128A6">
        <w:rPr>
          <w:rFonts w:ascii="Garamond" w:eastAsia="Century Schoolbook" w:hAnsi="Garamond" w:cstheme="majorBidi"/>
          <w:lang w:eastAsia="ja-JP"/>
        </w:rPr>
        <w:t xml:space="preserve">. </w:t>
      </w:r>
    </w:p>
    <w:p w14:paraId="038E820C" w14:textId="032D7C2A" w:rsidR="00A65BF3" w:rsidRPr="002128A6" w:rsidRDefault="00A65BF3" w:rsidP="0025426C">
      <w:pPr>
        <w:spacing w:after="0" w:line="240" w:lineRule="auto"/>
        <w:ind w:firstLine="284"/>
        <w:jc w:val="both"/>
        <w:rPr>
          <w:rFonts w:ascii="Garamond" w:eastAsia="Aptos" w:hAnsi="Garamond" w:cstheme="majorBidi"/>
          <w:kern w:val="0"/>
          <w14:ligatures w14:val="none"/>
        </w:rPr>
      </w:pPr>
      <w:r w:rsidRPr="002128A6">
        <w:rPr>
          <w:rFonts w:ascii="Garamond" w:eastAsia="Century Schoolbook" w:hAnsi="Garamond" w:cstheme="majorBidi"/>
          <w:lang w:eastAsia="ja-JP"/>
        </w:rPr>
        <w:t xml:space="preserve">Tabela më poshtë skicon lidhjen dhe kontributin e Objektivave Specifikë </w:t>
      </w:r>
      <w:r w:rsidR="00C90A06" w:rsidRPr="002128A6">
        <w:rPr>
          <w:rFonts w:ascii="Garamond" w:eastAsia="Century Schoolbook" w:hAnsi="Garamond" w:cstheme="majorBidi"/>
          <w:lang w:eastAsia="ja-JP"/>
        </w:rPr>
        <w:t xml:space="preserve">(OS) </w:t>
      </w:r>
      <w:r w:rsidRPr="002128A6">
        <w:rPr>
          <w:rFonts w:ascii="Garamond" w:eastAsia="Century Schoolbook" w:hAnsi="Garamond" w:cstheme="majorBidi"/>
          <w:lang w:eastAsia="ja-JP"/>
        </w:rPr>
        <w:t xml:space="preserve">në </w:t>
      </w:r>
      <w:r w:rsidRPr="002128A6">
        <w:rPr>
          <w:rFonts w:ascii="Garamond" w:eastAsia="Aptos" w:hAnsi="Garamond" w:cstheme="majorBidi"/>
          <w:kern w:val="0"/>
          <w14:ligatures w14:val="none"/>
        </w:rPr>
        <w:t>Objektivat e Zhvillimit të Qëndrueshëm.</w:t>
      </w:r>
    </w:p>
    <w:p w14:paraId="0300F9BB" w14:textId="77777777" w:rsidR="00E31806" w:rsidRPr="002128A6" w:rsidRDefault="00E31806" w:rsidP="0025426C">
      <w:pPr>
        <w:spacing w:after="0" w:line="240" w:lineRule="auto"/>
        <w:ind w:firstLine="284"/>
        <w:jc w:val="both"/>
        <w:rPr>
          <w:rFonts w:ascii="Garamond" w:eastAsia="Century Schoolbook" w:hAnsi="Garamond" w:cstheme="majorBidi"/>
          <w:lang w:eastAsia="ja-JP"/>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F54824" w:rsidRPr="002128A6" w14:paraId="61330AE7" w14:textId="77777777" w:rsidTr="00FF226D">
        <w:trPr>
          <w:trHeight w:val="144"/>
        </w:trPr>
        <w:tc>
          <w:tcPr>
            <w:tcW w:w="1800" w:type="dxa"/>
            <w:tcBorders>
              <w:top w:val="single" w:sz="4" w:space="0" w:color="BFBFBF"/>
              <w:left w:val="single" w:sz="4" w:space="0" w:color="BFBFBF"/>
              <w:bottom w:val="single" w:sz="4" w:space="0" w:color="BFBFBF"/>
              <w:right w:val="single" w:sz="4" w:space="0" w:color="BFBFBF"/>
            </w:tcBorders>
            <w:shd w:val="clear" w:color="auto" w:fill="1F3864"/>
            <w:tcMar>
              <w:top w:w="90" w:type="dxa"/>
              <w:left w:w="120" w:type="dxa"/>
              <w:bottom w:w="90" w:type="dxa"/>
              <w:right w:w="120" w:type="dxa"/>
            </w:tcMar>
          </w:tcPr>
          <w:p w14:paraId="37FE197E" w14:textId="1F1C2B1A"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OZHQ</w:t>
            </w:r>
            <w:r w:rsidR="00DB4354" w:rsidRPr="002128A6">
              <w:rPr>
                <w:rFonts w:ascii="Garamond" w:eastAsia="Arial" w:hAnsi="Garamond" w:cstheme="majorBidi"/>
                <w:b/>
                <w:bCs/>
                <w:sz w:val="20"/>
                <w:szCs w:val="20"/>
              </w:rPr>
              <w:t>-ja e synuar</w:t>
            </w:r>
          </w:p>
        </w:tc>
        <w:tc>
          <w:tcPr>
            <w:tcW w:w="7560" w:type="dxa"/>
            <w:tcBorders>
              <w:top w:val="single" w:sz="4" w:space="0" w:color="BFBFBF"/>
              <w:left w:val="single" w:sz="4" w:space="0" w:color="BFBFBF"/>
              <w:bottom w:val="single" w:sz="4" w:space="0" w:color="BFBFBF"/>
              <w:right w:val="single" w:sz="4" w:space="0" w:color="BFBFBF"/>
            </w:tcBorders>
            <w:shd w:val="clear" w:color="auto" w:fill="1F3864"/>
            <w:tcMar>
              <w:top w:w="90" w:type="dxa"/>
              <w:left w:w="120" w:type="dxa"/>
              <w:bottom w:w="90" w:type="dxa"/>
              <w:right w:w="120" w:type="dxa"/>
            </w:tcMar>
          </w:tcPr>
          <w:p w14:paraId="2A24CF57" w14:textId="77777777"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Kontributi</w:t>
            </w:r>
          </w:p>
        </w:tc>
      </w:tr>
      <w:tr w:rsidR="00F54824" w:rsidRPr="002128A6" w14:paraId="01C37CAE" w14:textId="77777777" w:rsidTr="00FF226D">
        <w:trPr>
          <w:trHeight w:val="144"/>
        </w:trPr>
        <w:tc>
          <w:tcPr>
            <w:tcW w:w="18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E363900" w14:textId="77777777"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OZHQ 16.1</w:t>
            </w:r>
          </w:p>
        </w:tc>
        <w:tc>
          <w:tcPr>
            <w:tcW w:w="75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135A339" w14:textId="606BB35F"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Reduktimi i ndjeshëm i të gjitha formave të dhunës dhe normave të vdekjes të lidhura kudo </w:t>
            </w:r>
            <w:r w:rsidR="00F47A30" w:rsidRPr="002128A6">
              <w:rPr>
                <w:rFonts w:ascii="Garamond" w:eastAsia="Arial" w:hAnsi="Garamond" w:cstheme="majorBidi"/>
                <w:i/>
                <w:iCs/>
                <w:sz w:val="20"/>
                <w:szCs w:val="20"/>
              </w:rPr>
              <w:t>–</w:t>
            </w:r>
            <w:r w:rsidRPr="002128A6">
              <w:rPr>
                <w:rFonts w:ascii="Garamond" w:eastAsia="Arial" w:hAnsi="Garamond" w:cstheme="majorBidi"/>
                <w:sz w:val="20"/>
                <w:szCs w:val="20"/>
              </w:rPr>
              <w:t xml:space="preserve"> Qëllimi</w:t>
            </w:r>
            <w:r w:rsidR="00F47A30" w:rsidRPr="002128A6">
              <w:rPr>
                <w:rFonts w:ascii="Garamond" w:eastAsia="Arial" w:hAnsi="Garamond" w:cstheme="majorBidi"/>
                <w:sz w:val="20"/>
                <w:szCs w:val="20"/>
              </w:rPr>
              <w:t xml:space="preserve"> i</w:t>
            </w:r>
            <w:r w:rsidRPr="002128A6">
              <w:rPr>
                <w:rFonts w:ascii="Garamond" w:eastAsia="Arial" w:hAnsi="Garamond" w:cstheme="majorBidi"/>
                <w:sz w:val="20"/>
                <w:szCs w:val="20"/>
              </w:rPr>
              <w:t xml:space="preserve"> Politik</w:t>
            </w:r>
            <w:r w:rsidR="00F47A30" w:rsidRPr="002128A6">
              <w:rPr>
                <w:rFonts w:ascii="Garamond" w:eastAsia="Arial" w:hAnsi="Garamond" w:cstheme="majorBidi"/>
                <w:sz w:val="20"/>
                <w:szCs w:val="20"/>
              </w:rPr>
              <w:t>ës</w:t>
            </w:r>
            <w:r w:rsidRPr="002128A6">
              <w:rPr>
                <w:rFonts w:ascii="Garamond" w:eastAsia="Arial" w:hAnsi="Garamond" w:cstheme="majorBidi"/>
                <w:sz w:val="20"/>
                <w:szCs w:val="20"/>
              </w:rPr>
              <w:t xml:space="preserve"> II (narkotikët, trafikimi, </w:t>
            </w:r>
            <w:r w:rsidR="00300542" w:rsidRPr="002128A6">
              <w:rPr>
                <w:rFonts w:ascii="Garamond" w:eastAsia="Arial" w:hAnsi="Garamond" w:cstheme="majorBidi"/>
                <w:sz w:val="20"/>
                <w:szCs w:val="20"/>
              </w:rPr>
              <w:t>goditja</w:t>
            </w:r>
            <w:r w:rsidRPr="002128A6">
              <w:rPr>
                <w:rFonts w:ascii="Garamond" w:eastAsia="Arial" w:hAnsi="Garamond" w:cstheme="majorBidi"/>
                <w:sz w:val="20"/>
                <w:szCs w:val="20"/>
              </w:rPr>
              <w:t xml:space="preserve"> </w:t>
            </w:r>
            <w:r w:rsidR="00300542" w:rsidRPr="002128A6">
              <w:rPr>
                <w:rFonts w:ascii="Garamond" w:eastAsia="Arial" w:hAnsi="Garamond" w:cstheme="majorBidi"/>
                <w:sz w:val="20"/>
                <w:szCs w:val="20"/>
              </w:rPr>
              <w:t>e</w:t>
            </w:r>
            <w:r w:rsidRPr="002128A6">
              <w:rPr>
                <w:rFonts w:ascii="Garamond" w:eastAsia="Arial" w:hAnsi="Garamond" w:cstheme="majorBidi"/>
                <w:sz w:val="20"/>
                <w:szCs w:val="20"/>
              </w:rPr>
              <w:t xml:space="preserve"> GKO).</w:t>
            </w:r>
          </w:p>
        </w:tc>
      </w:tr>
      <w:tr w:rsidR="00F54824" w:rsidRPr="002128A6" w14:paraId="27D0B6FB" w14:textId="77777777" w:rsidTr="00FF226D">
        <w:trPr>
          <w:trHeight w:val="144"/>
        </w:trPr>
        <w:tc>
          <w:tcPr>
            <w:tcW w:w="18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392D0D1" w14:textId="77777777"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OZHQ 16.2</w:t>
            </w:r>
          </w:p>
        </w:tc>
        <w:tc>
          <w:tcPr>
            <w:tcW w:w="75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261AA57" w14:textId="5263BA09" w:rsidR="00A65BF3" w:rsidRPr="002128A6" w:rsidRDefault="00354FD2"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Dh</w:t>
            </w:r>
            <w:r w:rsidR="00A65BF3" w:rsidRPr="002128A6">
              <w:rPr>
                <w:rFonts w:ascii="Garamond" w:eastAsia="Arial" w:hAnsi="Garamond" w:cstheme="majorBidi"/>
                <w:sz w:val="20"/>
                <w:szCs w:val="20"/>
              </w:rPr>
              <w:t>ë</w:t>
            </w:r>
            <w:r w:rsidRPr="002128A6">
              <w:rPr>
                <w:rFonts w:ascii="Garamond" w:eastAsia="Arial" w:hAnsi="Garamond" w:cstheme="majorBidi"/>
                <w:sz w:val="20"/>
                <w:szCs w:val="20"/>
              </w:rPr>
              <w:t>nia fund e</w:t>
            </w:r>
            <w:r w:rsidR="00A65BF3" w:rsidRPr="002128A6">
              <w:rPr>
                <w:rFonts w:ascii="Garamond" w:eastAsia="Arial" w:hAnsi="Garamond" w:cstheme="majorBidi"/>
                <w:sz w:val="20"/>
                <w:szCs w:val="20"/>
              </w:rPr>
              <w:t xml:space="preserve"> abuzimit, shfrytëzimit, trafikimit dhe të gjitha formave të dhunës ndaj fëmijëve </w:t>
            </w:r>
            <w:r w:rsidR="00DB4354" w:rsidRPr="002128A6">
              <w:rPr>
                <w:rFonts w:ascii="Garamond" w:eastAsia="Arial" w:hAnsi="Garamond" w:cstheme="majorBidi"/>
                <w:i/>
                <w:iCs/>
                <w:sz w:val="20"/>
                <w:szCs w:val="20"/>
              </w:rPr>
              <w:t>-</w:t>
            </w:r>
            <w:r w:rsidR="00A65BF3" w:rsidRPr="002128A6">
              <w:rPr>
                <w:rFonts w:ascii="Garamond" w:eastAsia="Arial" w:hAnsi="Garamond" w:cstheme="majorBidi"/>
                <w:sz w:val="20"/>
                <w:szCs w:val="20"/>
              </w:rPr>
              <w:t xml:space="preserve"> Objektivat Specifikë 1.3 dhe 2.2.</w:t>
            </w:r>
          </w:p>
        </w:tc>
      </w:tr>
      <w:tr w:rsidR="00F54824" w:rsidRPr="002128A6" w14:paraId="457F402A" w14:textId="77777777" w:rsidTr="00FF226D">
        <w:trPr>
          <w:trHeight w:val="144"/>
        </w:trPr>
        <w:tc>
          <w:tcPr>
            <w:tcW w:w="18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D0879E7" w14:textId="77777777"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OZHQ 16.3</w:t>
            </w:r>
          </w:p>
        </w:tc>
        <w:tc>
          <w:tcPr>
            <w:tcW w:w="75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93947AC" w14:textId="2BECC943"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Promovimi i sundimit të ligjit në nivel kombëtar dhe ndërkombëtar dhe sigurimi i aksesit të barabartë në drejtësi për të gjithë </w:t>
            </w:r>
            <w:r w:rsidR="00E31806" w:rsidRPr="002128A6">
              <w:rPr>
                <w:rFonts w:ascii="Garamond" w:eastAsia="Arial" w:hAnsi="Garamond" w:cstheme="majorBidi"/>
                <w:i/>
                <w:iCs/>
                <w:sz w:val="20"/>
                <w:szCs w:val="20"/>
              </w:rPr>
              <w:t>–</w:t>
            </w:r>
            <w:r w:rsidRPr="002128A6">
              <w:rPr>
                <w:rFonts w:ascii="Garamond" w:eastAsia="Arial" w:hAnsi="Garamond" w:cstheme="majorBidi"/>
                <w:sz w:val="20"/>
                <w:szCs w:val="20"/>
              </w:rPr>
              <w:t xml:space="preserve"> Qëllimi </w:t>
            </w:r>
            <w:r w:rsidR="00F112E4" w:rsidRPr="002128A6">
              <w:rPr>
                <w:rFonts w:ascii="Garamond" w:eastAsia="Arial" w:hAnsi="Garamond" w:cstheme="majorBidi"/>
                <w:sz w:val="20"/>
                <w:szCs w:val="20"/>
              </w:rPr>
              <w:t xml:space="preserve">i </w:t>
            </w:r>
            <w:r w:rsidRPr="002128A6">
              <w:rPr>
                <w:rFonts w:ascii="Garamond" w:eastAsia="Arial" w:hAnsi="Garamond" w:cstheme="majorBidi"/>
                <w:sz w:val="20"/>
                <w:szCs w:val="20"/>
              </w:rPr>
              <w:t>Politik</w:t>
            </w:r>
            <w:r w:rsidR="00F112E4" w:rsidRPr="002128A6">
              <w:rPr>
                <w:rFonts w:ascii="Garamond" w:eastAsia="Arial" w:hAnsi="Garamond" w:cstheme="majorBidi"/>
                <w:sz w:val="20"/>
                <w:szCs w:val="20"/>
              </w:rPr>
              <w:t>ës</w:t>
            </w:r>
            <w:r w:rsidRPr="002128A6">
              <w:rPr>
                <w:rFonts w:ascii="Garamond" w:eastAsia="Arial" w:hAnsi="Garamond" w:cstheme="majorBidi"/>
                <w:sz w:val="20"/>
                <w:szCs w:val="20"/>
              </w:rPr>
              <w:t xml:space="preserve"> II në tërësi dhe OS 2.7.</w:t>
            </w:r>
          </w:p>
        </w:tc>
      </w:tr>
      <w:tr w:rsidR="00F54824" w:rsidRPr="002128A6" w14:paraId="2B37B76E" w14:textId="77777777" w:rsidTr="00FF226D">
        <w:trPr>
          <w:trHeight w:val="144"/>
        </w:trPr>
        <w:tc>
          <w:tcPr>
            <w:tcW w:w="18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DCD6B51" w14:textId="77777777"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OZHQ 16.4</w:t>
            </w:r>
          </w:p>
        </w:tc>
        <w:tc>
          <w:tcPr>
            <w:tcW w:w="75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C9AD706" w14:textId="51D5C3A2"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Reduktimi i ndjeshëm i flukseve të paligjshme financiare dhe të armëve, forcimi i rikuperimit dhe kthimit të aseteve të vjedhura dhe luftimi i të gjitha formave të krimit të organizuar </w:t>
            </w:r>
            <w:r w:rsidR="00DB4354" w:rsidRPr="002128A6">
              <w:rPr>
                <w:rFonts w:ascii="Garamond" w:eastAsia="Arial" w:hAnsi="Garamond" w:cstheme="majorBidi"/>
                <w:i/>
                <w:iCs/>
                <w:sz w:val="20"/>
                <w:szCs w:val="20"/>
              </w:rPr>
              <w:t>-</w:t>
            </w:r>
            <w:r w:rsidRPr="002128A6">
              <w:rPr>
                <w:rFonts w:ascii="Garamond" w:eastAsia="Arial" w:hAnsi="Garamond" w:cstheme="majorBidi"/>
                <w:sz w:val="20"/>
                <w:szCs w:val="20"/>
              </w:rPr>
              <w:t xml:space="preserve"> Objektivat Specifikë 1.5, 2.3, 2.6, 2.9.</w:t>
            </w:r>
          </w:p>
        </w:tc>
      </w:tr>
      <w:tr w:rsidR="00F54824" w:rsidRPr="002128A6" w14:paraId="73E69A62" w14:textId="77777777" w:rsidTr="00FF226D">
        <w:trPr>
          <w:trHeight w:val="144"/>
        </w:trPr>
        <w:tc>
          <w:tcPr>
            <w:tcW w:w="18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384BDEC" w14:textId="77777777"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OZHQ 16.5</w:t>
            </w:r>
          </w:p>
        </w:tc>
        <w:tc>
          <w:tcPr>
            <w:tcW w:w="75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676BABC" w14:textId="41AD5519"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Reduktimi substancial i korrupsionit dhe ryshfetit në të gjitha format e tyre </w:t>
            </w:r>
            <w:r w:rsidR="00DB4354" w:rsidRPr="002128A6">
              <w:rPr>
                <w:rFonts w:ascii="Garamond" w:eastAsia="Arial" w:hAnsi="Garamond" w:cstheme="majorBidi"/>
                <w:i/>
                <w:iCs/>
                <w:sz w:val="20"/>
                <w:szCs w:val="20"/>
              </w:rPr>
              <w:t>-</w:t>
            </w:r>
            <w:r w:rsidRPr="002128A6">
              <w:rPr>
                <w:rFonts w:ascii="Garamond" w:eastAsia="Arial" w:hAnsi="Garamond" w:cstheme="majorBidi"/>
                <w:sz w:val="20"/>
                <w:szCs w:val="20"/>
              </w:rPr>
              <w:t xml:space="preserve"> mbulim i përbashkët me SNKK 2024</w:t>
            </w:r>
            <w:r w:rsidR="00E31806" w:rsidRPr="002128A6">
              <w:rPr>
                <w:rFonts w:ascii="Garamond" w:eastAsia="Arial" w:hAnsi="Garamond" w:cstheme="majorBidi"/>
                <w:sz w:val="20"/>
                <w:szCs w:val="20"/>
              </w:rPr>
              <w:t>–</w:t>
            </w:r>
            <w:r w:rsidRPr="002128A6">
              <w:rPr>
                <w:rFonts w:ascii="Garamond" w:eastAsia="Arial" w:hAnsi="Garamond" w:cstheme="majorBidi"/>
                <w:sz w:val="20"/>
                <w:szCs w:val="20"/>
              </w:rPr>
              <w:t>2030.</w:t>
            </w:r>
          </w:p>
        </w:tc>
      </w:tr>
      <w:tr w:rsidR="00F54824" w:rsidRPr="002128A6" w14:paraId="2C53F271" w14:textId="77777777" w:rsidTr="00FF226D">
        <w:trPr>
          <w:trHeight w:val="144"/>
        </w:trPr>
        <w:tc>
          <w:tcPr>
            <w:tcW w:w="18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0BD8481" w14:textId="77777777"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lastRenderedPageBreak/>
              <w:t>OZHQ 16.A</w:t>
            </w:r>
          </w:p>
        </w:tc>
        <w:tc>
          <w:tcPr>
            <w:tcW w:w="75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1914013" w14:textId="5A3F6CF3"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Forcimi i institucioneve përkatëse kombëtare, përfshirë përmes bashkëpunimit ndërkombëtar, për ndërtimin e kapaciteteve në të gjitha nivelet për parandalimin e dhunës dhe luftimin e terrorizmit dhe krimit </w:t>
            </w:r>
            <w:r w:rsidR="00E31806" w:rsidRPr="002128A6">
              <w:rPr>
                <w:rFonts w:ascii="Garamond" w:eastAsia="Arial" w:hAnsi="Garamond" w:cstheme="majorBidi"/>
                <w:i/>
                <w:iCs/>
                <w:sz w:val="20"/>
                <w:szCs w:val="20"/>
              </w:rPr>
              <w:t>–</w:t>
            </w:r>
            <w:r w:rsidRPr="002128A6">
              <w:rPr>
                <w:rFonts w:ascii="Garamond" w:eastAsia="Arial" w:hAnsi="Garamond" w:cstheme="majorBidi"/>
                <w:sz w:val="20"/>
                <w:szCs w:val="20"/>
              </w:rPr>
              <w:t xml:space="preserve"> Qëllimi </w:t>
            </w:r>
            <w:r w:rsidR="00F112E4" w:rsidRPr="002128A6">
              <w:rPr>
                <w:rFonts w:ascii="Garamond" w:eastAsia="Arial" w:hAnsi="Garamond" w:cstheme="majorBidi"/>
                <w:sz w:val="20"/>
                <w:szCs w:val="20"/>
              </w:rPr>
              <w:t xml:space="preserve">i </w:t>
            </w:r>
            <w:r w:rsidRPr="002128A6">
              <w:rPr>
                <w:rFonts w:ascii="Garamond" w:eastAsia="Arial" w:hAnsi="Garamond" w:cstheme="majorBidi"/>
                <w:sz w:val="20"/>
                <w:szCs w:val="20"/>
              </w:rPr>
              <w:t>Politik</w:t>
            </w:r>
            <w:r w:rsidR="00F112E4" w:rsidRPr="002128A6">
              <w:rPr>
                <w:rFonts w:ascii="Garamond" w:eastAsia="Arial" w:hAnsi="Garamond" w:cstheme="majorBidi"/>
                <w:sz w:val="20"/>
                <w:szCs w:val="20"/>
              </w:rPr>
              <w:t>ës</w:t>
            </w:r>
            <w:r w:rsidRPr="002128A6">
              <w:rPr>
                <w:rFonts w:ascii="Garamond" w:eastAsia="Arial" w:hAnsi="Garamond" w:cstheme="majorBidi"/>
                <w:sz w:val="20"/>
                <w:szCs w:val="20"/>
              </w:rPr>
              <w:t xml:space="preserve"> III dhe OS 1.4.</w:t>
            </w:r>
          </w:p>
        </w:tc>
      </w:tr>
      <w:tr w:rsidR="00A65BF3" w:rsidRPr="002128A6" w14:paraId="36DE2880" w14:textId="77777777" w:rsidTr="00FF226D">
        <w:trPr>
          <w:trHeight w:val="144"/>
        </w:trPr>
        <w:tc>
          <w:tcPr>
            <w:tcW w:w="18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B88B537" w14:textId="77777777"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OZHQ 5.2</w:t>
            </w:r>
          </w:p>
        </w:tc>
        <w:tc>
          <w:tcPr>
            <w:tcW w:w="75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69CC27E" w14:textId="53BA943F" w:rsidR="00A65BF3" w:rsidRPr="002128A6" w:rsidRDefault="00A65BF3"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Eliminimi i të gjitha formave të dhunës ndaj grave dhe vajzave </w:t>
            </w:r>
            <w:r w:rsidR="00DB4354" w:rsidRPr="002128A6">
              <w:rPr>
                <w:rFonts w:ascii="Garamond" w:eastAsia="Arial" w:hAnsi="Garamond" w:cstheme="majorBidi"/>
                <w:i/>
                <w:iCs/>
                <w:sz w:val="20"/>
                <w:szCs w:val="20"/>
              </w:rPr>
              <w:t>-</w:t>
            </w:r>
            <w:r w:rsidRPr="002128A6">
              <w:rPr>
                <w:rFonts w:ascii="Garamond" w:eastAsia="Arial" w:hAnsi="Garamond" w:cstheme="majorBidi"/>
                <w:sz w:val="20"/>
                <w:szCs w:val="20"/>
              </w:rPr>
              <w:t xml:space="preserve"> komponentët e përgjegjshëm ndaj gjinisë të OS 1.1, 1.2, 1.3 dhe 2.2.</w:t>
            </w:r>
          </w:p>
        </w:tc>
      </w:tr>
    </w:tbl>
    <w:p w14:paraId="3FC760AE" w14:textId="77777777" w:rsidR="00A65BF3" w:rsidRPr="002128A6" w:rsidRDefault="00A65BF3" w:rsidP="0025426C">
      <w:pPr>
        <w:spacing w:after="0" w:line="240" w:lineRule="auto"/>
        <w:ind w:firstLine="284"/>
        <w:jc w:val="both"/>
        <w:rPr>
          <w:rFonts w:ascii="Garamond" w:eastAsia="Century Schoolbook" w:hAnsi="Garamond" w:cstheme="majorBidi"/>
          <w:lang w:eastAsia="ja-JP"/>
        </w:rPr>
      </w:pPr>
    </w:p>
    <w:p w14:paraId="36E504CF" w14:textId="77777777" w:rsidR="00D96398" w:rsidRPr="002128A6" w:rsidRDefault="00D96398" w:rsidP="0025426C">
      <w:pPr>
        <w:keepNext/>
        <w:keepLines/>
        <w:spacing w:after="0" w:line="240" w:lineRule="auto"/>
        <w:ind w:firstLine="284"/>
        <w:jc w:val="both"/>
        <w:outlineLvl w:val="3"/>
        <w:rPr>
          <w:rFonts w:ascii="Garamond" w:eastAsia="Times New Roman" w:hAnsi="Garamond" w:cstheme="majorBidi"/>
          <w:b/>
          <w:bCs/>
        </w:rPr>
      </w:pPr>
      <w:r w:rsidRPr="002128A6">
        <w:rPr>
          <w:rFonts w:ascii="Garamond" w:eastAsia="Times New Roman" w:hAnsi="Garamond" w:cstheme="majorBidi"/>
          <w:b/>
          <w:bCs/>
        </w:rPr>
        <w:t>Instrumentet ndërkombëtare dhe kornizat e bashkëpunimit</w:t>
      </w:r>
    </w:p>
    <w:p w14:paraId="0AF64614" w14:textId="200ABDB1" w:rsidR="00D96398" w:rsidRPr="002128A6" w:rsidRDefault="00D96398" w:rsidP="0025426C">
      <w:pPr>
        <w:spacing w:after="0" w:line="240" w:lineRule="auto"/>
        <w:ind w:firstLine="284"/>
        <w:jc w:val="both"/>
        <w:rPr>
          <w:rFonts w:ascii="Garamond" w:eastAsia="Arial" w:hAnsi="Garamond" w:cstheme="majorBidi"/>
        </w:rPr>
      </w:pPr>
      <w:r w:rsidRPr="002128A6">
        <w:rPr>
          <w:rFonts w:ascii="Garamond" w:eastAsia="Arial" w:hAnsi="Garamond" w:cstheme="majorBidi"/>
        </w:rPr>
        <w:t>Përgjigj</w:t>
      </w:r>
      <w:r w:rsidR="006666E8">
        <w:rPr>
          <w:rFonts w:ascii="Garamond" w:eastAsia="Arial" w:hAnsi="Garamond" w:cstheme="majorBidi"/>
        </w:rPr>
        <w:t>j</w:t>
      </w:r>
      <w:r w:rsidRPr="002128A6">
        <w:rPr>
          <w:rFonts w:ascii="Garamond" w:eastAsia="Arial" w:hAnsi="Garamond" w:cstheme="majorBidi"/>
        </w:rPr>
        <w:t>a e Shqipërisë ndaj krimit të organizuar është e ngulitur në një rrjet të marrëveshjeve ndërkombëtare dhe kornizave operacionale. Instrumentet kryesore dhe platformat janë listuar më poshtë; pasojat operacionale pasqyrohen në Objektivat Specifikë 3.1 dhe 3.2 dhe në të gjithë Qëllimin Politik II.</w:t>
      </w:r>
    </w:p>
    <w:p w14:paraId="1159F0C2" w14:textId="77777777" w:rsidR="00E31806" w:rsidRPr="002128A6" w:rsidRDefault="00E31806" w:rsidP="0025426C">
      <w:pPr>
        <w:spacing w:after="0" w:line="240" w:lineRule="auto"/>
        <w:ind w:firstLine="284"/>
        <w:jc w:val="both"/>
        <w:rPr>
          <w:rFonts w:ascii="Garamond" w:hAnsi="Garamond" w:cstheme="majorBidi"/>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60"/>
        <w:gridCol w:w="5111"/>
      </w:tblGrid>
      <w:tr w:rsidR="00F54824" w:rsidRPr="002128A6" w14:paraId="2C8877B8"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shd w:val="clear" w:color="auto" w:fill="1F3864"/>
            <w:tcMar>
              <w:top w:w="90" w:type="dxa"/>
              <w:left w:w="120" w:type="dxa"/>
              <w:bottom w:w="90" w:type="dxa"/>
              <w:right w:w="120" w:type="dxa"/>
            </w:tcMar>
          </w:tcPr>
          <w:p w14:paraId="24EB2EAE" w14:textId="0042DF54"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Instrumenti</w:t>
            </w:r>
            <w:r w:rsidR="005C084B" w:rsidRPr="002128A6">
              <w:rPr>
                <w:rFonts w:ascii="Garamond" w:eastAsia="Arial" w:hAnsi="Garamond" w:cstheme="majorBidi"/>
                <w:b/>
                <w:bCs/>
                <w:sz w:val="20"/>
                <w:szCs w:val="20"/>
              </w:rPr>
              <w:t>/</w:t>
            </w:r>
            <w:r w:rsidRPr="002128A6">
              <w:rPr>
                <w:rFonts w:ascii="Garamond" w:eastAsia="Arial" w:hAnsi="Garamond" w:cstheme="majorBidi"/>
                <w:b/>
                <w:bCs/>
                <w:sz w:val="20"/>
                <w:szCs w:val="20"/>
              </w:rPr>
              <w:t>Korniza</w:t>
            </w:r>
          </w:p>
        </w:tc>
        <w:tc>
          <w:tcPr>
            <w:tcW w:w="5111" w:type="dxa"/>
            <w:tcBorders>
              <w:top w:val="single" w:sz="4" w:space="0" w:color="BFBFBF"/>
              <w:left w:val="single" w:sz="4" w:space="0" w:color="BFBFBF"/>
              <w:bottom w:val="single" w:sz="4" w:space="0" w:color="BFBFBF"/>
              <w:right w:val="single" w:sz="4" w:space="0" w:color="BFBFBF"/>
            </w:tcBorders>
            <w:shd w:val="clear" w:color="auto" w:fill="1F3864"/>
            <w:tcMar>
              <w:top w:w="90" w:type="dxa"/>
              <w:left w:w="120" w:type="dxa"/>
              <w:bottom w:w="90" w:type="dxa"/>
              <w:right w:w="120" w:type="dxa"/>
            </w:tcMar>
          </w:tcPr>
          <w:p w14:paraId="6D6A92A3" w14:textId="63CCFF1F" w:rsidR="00D96398" w:rsidRPr="002128A6" w:rsidRDefault="00354FD2"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Lidhja</w:t>
            </w:r>
          </w:p>
        </w:tc>
      </w:tr>
      <w:tr w:rsidR="00F54824" w:rsidRPr="002128A6" w14:paraId="3ECBD364"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A65951B" w14:textId="77777777"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Konventa e Kombeve të Bashkuara kundër Krimit të Organizuar Transnacional (UNTOC) dhe Protokollet e Palermos (Trafikimi, Kontrabanda, Armët e Zjarrit)</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615D651" w14:textId="77777777"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Korniza shumëpalëshe themelore; e ratifikuar nga Shqipëria.</w:t>
            </w:r>
          </w:p>
        </w:tc>
      </w:tr>
      <w:tr w:rsidR="00F54824" w:rsidRPr="002128A6" w14:paraId="57C44F1C"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C7987CF" w14:textId="77777777"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Konventa e Kombeve të Bashkuara kundër Korrupsionit (UNCAC)</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D5BD9EE" w14:textId="12FA39E7"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E lidhur me Objektivat Specifikë 1.5, 2.3 dhe SNKK</w:t>
            </w:r>
          </w:p>
        </w:tc>
      </w:tr>
      <w:tr w:rsidR="00F54824" w:rsidRPr="002128A6" w14:paraId="68B38687"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11BC23C" w14:textId="5CFD9AAA"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Konventa e Këshillit të E</w:t>
            </w:r>
            <w:r w:rsidR="00A66D46" w:rsidRPr="002128A6">
              <w:rPr>
                <w:rFonts w:ascii="Garamond" w:eastAsia="Arial" w:hAnsi="Garamond" w:cstheme="majorBidi"/>
                <w:b/>
                <w:bCs/>
                <w:sz w:val="20"/>
                <w:szCs w:val="20"/>
              </w:rPr>
              <w:t>vropë</w:t>
            </w:r>
            <w:r w:rsidRPr="002128A6">
              <w:rPr>
                <w:rFonts w:ascii="Garamond" w:eastAsia="Arial" w:hAnsi="Garamond" w:cstheme="majorBidi"/>
                <w:b/>
                <w:bCs/>
                <w:sz w:val="20"/>
                <w:szCs w:val="20"/>
              </w:rPr>
              <w:t>s për Pastrimin, Kërkimin, Sekuestrimin dhe Konfiskimin e të Ardhurave nga Krimi (Konventa e Varshavës, CETS 198)</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0F74233" w14:textId="3AC106F0"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Korniza </w:t>
            </w:r>
            <w:r w:rsidR="00067733" w:rsidRPr="002128A6">
              <w:rPr>
                <w:rFonts w:ascii="Garamond" w:eastAsia="Arial" w:hAnsi="Garamond" w:cstheme="majorBidi"/>
                <w:sz w:val="20"/>
                <w:szCs w:val="20"/>
              </w:rPr>
              <w:t xml:space="preserve">për Parandalimin e </w:t>
            </w:r>
            <w:r w:rsidR="00354FD2" w:rsidRPr="002128A6">
              <w:rPr>
                <w:rFonts w:ascii="Garamond" w:eastAsia="Arial" w:hAnsi="Garamond" w:cstheme="majorBidi"/>
                <w:sz w:val="20"/>
                <w:szCs w:val="20"/>
              </w:rPr>
              <w:t>Pastrimit të Para</w:t>
            </w:r>
            <w:r w:rsidR="00067733" w:rsidRPr="002128A6">
              <w:rPr>
                <w:rFonts w:ascii="Garamond" w:eastAsia="Arial" w:hAnsi="Garamond" w:cstheme="majorBidi"/>
                <w:sz w:val="20"/>
                <w:szCs w:val="20"/>
              </w:rPr>
              <w:t>ve</w:t>
            </w:r>
            <w:r w:rsidRPr="002128A6">
              <w:rPr>
                <w:rFonts w:ascii="Garamond" w:eastAsia="Arial" w:hAnsi="Garamond" w:cstheme="majorBidi"/>
                <w:sz w:val="20"/>
                <w:szCs w:val="20"/>
              </w:rPr>
              <w:t xml:space="preserve"> </w:t>
            </w:r>
            <w:r w:rsidR="00354FD2" w:rsidRPr="002128A6">
              <w:rPr>
                <w:rFonts w:ascii="Garamond" w:eastAsia="Arial" w:hAnsi="Garamond" w:cstheme="majorBidi"/>
                <w:sz w:val="20"/>
                <w:szCs w:val="20"/>
              </w:rPr>
              <w:t>(</w:t>
            </w:r>
            <w:r w:rsidR="00067733" w:rsidRPr="002128A6">
              <w:rPr>
                <w:rFonts w:ascii="Garamond" w:eastAsia="Arial" w:hAnsi="Garamond" w:cstheme="majorBidi"/>
                <w:sz w:val="20"/>
                <w:szCs w:val="20"/>
              </w:rPr>
              <w:t>PPP</w:t>
            </w:r>
            <w:r w:rsidR="00354FD2" w:rsidRPr="002128A6">
              <w:rPr>
                <w:rFonts w:ascii="Garamond" w:eastAsia="Arial" w:hAnsi="Garamond" w:cstheme="majorBidi"/>
                <w:sz w:val="20"/>
                <w:szCs w:val="20"/>
              </w:rPr>
              <w:t xml:space="preserve">) </w:t>
            </w:r>
            <w:r w:rsidRPr="002128A6">
              <w:rPr>
                <w:rFonts w:ascii="Garamond" w:eastAsia="Arial" w:hAnsi="Garamond" w:cstheme="majorBidi"/>
                <w:sz w:val="20"/>
                <w:szCs w:val="20"/>
              </w:rPr>
              <w:t xml:space="preserve">dhe </w:t>
            </w:r>
            <w:r w:rsidR="00354FD2" w:rsidRPr="002128A6">
              <w:rPr>
                <w:rFonts w:ascii="Garamond" w:eastAsia="Arial" w:hAnsi="Garamond" w:cstheme="majorBidi"/>
                <w:sz w:val="20"/>
                <w:szCs w:val="20"/>
              </w:rPr>
              <w:t xml:space="preserve">për </w:t>
            </w:r>
            <w:r w:rsidRPr="002128A6">
              <w:rPr>
                <w:rFonts w:ascii="Garamond" w:eastAsia="Arial" w:hAnsi="Garamond" w:cstheme="majorBidi"/>
                <w:sz w:val="20"/>
                <w:szCs w:val="20"/>
              </w:rPr>
              <w:t>rikuperimi</w:t>
            </w:r>
            <w:r w:rsidR="00067733" w:rsidRPr="002128A6">
              <w:rPr>
                <w:rFonts w:ascii="Garamond" w:eastAsia="Arial" w:hAnsi="Garamond" w:cstheme="majorBidi"/>
                <w:sz w:val="20"/>
                <w:szCs w:val="20"/>
              </w:rPr>
              <w:t>n</w:t>
            </w:r>
            <w:r w:rsidR="00354FD2" w:rsidRPr="002128A6">
              <w:rPr>
                <w:rFonts w:ascii="Garamond" w:eastAsia="Arial" w:hAnsi="Garamond" w:cstheme="majorBidi"/>
                <w:sz w:val="20"/>
                <w:szCs w:val="20"/>
              </w:rPr>
              <w:t xml:space="preserve"> e</w:t>
            </w:r>
            <w:r w:rsidRPr="002128A6">
              <w:rPr>
                <w:rFonts w:ascii="Garamond" w:eastAsia="Arial" w:hAnsi="Garamond" w:cstheme="majorBidi"/>
                <w:sz w:val="20"/>
                <w:szCs w:val="20"/>
              </w:rPr>
              <w:t xml:space="preserve"> aseteve. Vlerësimi periodik i MONEYVAL</w:t>
            </w:r>
            <w:r w:rsidR="00354FD2" w:rsidRPr="002128A6">
              <w:rPr>
                <w:rFonts w:ascii="Garamond" w:eastAsia="Arial" w:hAnsi="Garamond" w:cstheme="majorBidi"/>
                <w:sz w:val="20"/>
                <w:szCs w:val="20"/>
              </w:rPr>
              <w:t>-it</w:t>
            </w:r>
            <w:r w:rsidRPr="002128A6">
              <w:rPr>
                <w:rFonts w:ascii="Garamond" w:eastAsia="Arial" w:hAnsi="Garamond" w:cstheme="majorBidi"/>
                <w:sz w:val="20"/>
                <w:szCs w:val="20"/>
              </w:rPr>
              <w:t>.</w:t>
            </w:r>
          </w:p>
        </w:tc>
      </w:tr>
      <w:tr w:rsidR="00F54824" w:rsidRPr="002128A6" w14:paraId="24893BC3"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A3CC761" w14:textId="77777777"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Rekomandimet e FATF dhe Vlerësimet e Ndërsjella (MER-të)</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8B9A204" w14:textId="16715FB1"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Pikë</w:t>
            </w:r>
            <w:r w:rsidR="00354FD2" w:rsidRPr="002128A6">
              <w:rPr>
                <w:rFonts w:ascii="Garamond" w:eastAsia="Arial" w:hAnsi="Garamond" w:cstheme="majorBidi"/>
                <w:sz w:val="20"/>
                <w:szCs w:val="20"/>
              </w:rPr>
              <w:t xml:space="preserve"> </w:t>
            </w:r>
            <w:r w:rsidRPr="002128A6">
              <w:rPr>
                <w:rFonts w:ascii="Garamond" w:eastAsia="Arial" w:hAnsi="Garamond" w:cstheme="majorBidi"/>
                <w:sz w:val="20"/>
                <w:szCs w:val="20"/>
              </w:rPr>
              <w:t xml:space="preserve">referimi </w:t>
            </w:r>
            <w:r w:rsidR="00354FD2" w:rsidRPr="002128A6">
              <w:rPr>
                <w:rFonts w:ascii="Garamond" w:eastAsia="Arial" w:hAnsi="Garamond" w:cstheme="majorBidi"/>
                <w:sz w:val="20"/>
                <w:szCs w:val="20"/>
              </w:rPr>
              <w:t>e</w:t>
            </w:r>
            <w:r w:rsidRPr="002128A6">
              <w:rPr>
                <w:rFonts w:ascii="Garamond" w:eastAsia="Arial" w:hAnsi="Garamond" w:cstheme="majorBidi"/>
                <w:sz w:val="20"/>
                <w:szCs w:val="20"/>
              </w:rPr>
              <w:t xml:space="preserve"> </w:t>
            </w:r>
            <w:r w:rsidR="00067733" w:rsidRPr="002128A6">
              <w:rPr>
                <w:rFonts w:ascii="Garamond" w:eastAsia="Arial" w:hAnsi="Garamond" w:cstheme="majorBidi"/>
                <w:sz w:val="20"/>
                <w:szCs w:val="20"/>
              </w:rPr>
              <w:t>PPP</w:t>
            </w:r>
            <w:r w:rsidRPr="002128A6">
              <w:rPr>
                <w:rFonts w:ascii="Garamond" w:eastAsia="Arial" w:hAnsi="Garamond" w:cstheme="majorBidi"/>
                <w:sz w:val="20"/>
                <w:szCs w:val="20"/>
              </w:rPr>
              <w:t>/</w:t>
            </w:r>
            <w:r w:rsidR="00067733" w:rsidRPr="002128A6">
              <w:rPr>
                <w:rFonts w:ascii="Garamond" w:eastAsia="Arial" w:hAnsi="Garamond" w:cstheme="majorBidi"/>
                <w:sz w:val="20"/>
                <w:szCs w:val="20"/>
              </w:rPr>
              <w:t>FT</w:t>
            </w:r>
            <w:r w:rsidRPr="002128A6">
              <w:rPr>
                <w:rFonts w:ascii="Garamond" w:eastAsia="Arial" w:hAnsi="Garamond" w:cstheme="majorBidi"/>
                <w:sz w:val="20"/>
                <w:szCs w:val="20"/>
              </w:rPr>
              <w:t>; cikli tjetër i MER-it i rëndësishëm për rishikimin afatmesëm (2027).</w:t>
            </w:r>
          </w:p>
        </w:tc>
      </w:tr>
      <w:tr w:rsidR="00F54824" w:rsidRPr="002128A6" w14:paraId="064E069F"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FC6662E" w14:textId="4FA7286C"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MONEYVAL (Këshilli i E</w:t>
            </w:r>
            <w:r w:rsidR="00A66D46" w:rsidRPr="002128A6">
              <w:rPr>
                <w:rFonts w:ascii="Garamond" w:eastAsia="Arial" w:hAnsi="Garamond" w:cstheme="majorBidi"/>
                <w:b/>
                <w:bCs/>
                <w:sz w:val="20"/>
                <w:szCs w:val="20"/>
              </w:rPr>
              <w:t>vropë</w:t>
            </w:r>
            <w:r w:rsidRPr="002128A6">
              <w:rPr>
                <w:rFonts w:ascii="Garamond" w:eastAsia="Arial" w:hAnsi="Garamond" w:cstheme="majorBidi"/>
                <w:b/>
                <w:bCs/>
                <w:sz w:val="20"/>
                <w:szCs w:val="20"/>
              </w:rPr>
              <w:t>s)</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94AD159" w14:textId="45F1DEE2"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Vlerësim periodik i pajtueshmërisë </w:t>
            </w:r>
            <w:r w:rsidR="00354FD2" w:rsidRPr="002128A6">
              <w:rPr>
                <w:rFonts w:ascii="Garamond" w:eastAsia="Arial" w:hAnsi="Garamond" w:cstheme="majorBidi"/>
                <w:sz w:val="20"/>
                <w:szCs w:val="20"/>
              </w:rPr>
              <w:t xml:space="preserve">së kornizës </w:t>
            </w:r>
            <w:r w:rsidR="00067733" w:rsidRPr="002128A6">
              <w:rPr>
                <w:rFonts w:ascii="Garamond" w:eastAsia="Arial" w:hAnsi="Garamond" w:cstheme="majorBidi"/>
                <w:sz w:val="20"/>
                <w:szCs w:val="20"/>
              </w:rPr>
              <w:t>PPP/FT</w:t>
            </w:r>
            <w:r w:rsidRPr="002128A6">
              <w:rPr>
                <w:rFonts w:ascii="Garamond" w:eastAsia="Arial" w:hAnsi="Garamond" w:cstheme="majorBidi"/>
                <w:sz w:val="20"/>
                <w:szCs w:val="20"/>
              </w:rPr>
              <w:t>. Cikli pasues i planifikuar brenda periudhës së Strategjisë.</w:t>
            </w:r>
          </w:p>
        </w:tc>
      </w:tr>
      <w:tr w:rsidR="00F54824" w:rsidRPr="002128A6" w14:paraId="3707E06D"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A60B994" w14:textId="77777777"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Konventat e INTERPOL-it dhe sistemi i njoftimeve</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BBC6F54" w14:textId="77777777"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Korniza e bashkëpunimit operacional, përfshirë Njoftimet e Kuqe dhe sistemin e komunikimit I-24/7, të përdorura nga Byroja Qendrore Kombëtare.</w:t>
            </w:r>
          </w:p>
        </w:tc>
      </w:tr>
      <w:tr w:rsidR="00F54824" w:rsidRPr="002128A6" w14:paraId="2FE41CF1"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43999A1" w14:textId="6F87CA8F"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Bashkëpunimi operacional i BE-së: Europol, Eurojust, EMPACT, ENFAST, Skuadrat e Përbashkëta Hetim</w:t>
            </w:r>
            <w:r w:rsidR="00354FD2" w:rsidRPr="002128A6">
              <w:rPr>
                <w:rFonts w:ascii="Garamond" w:eastAsia="Arial" w:hAnsi="Garamond" w:cstheme="majorBidi"/>
                <w:b/>
                <w:bCs/>
                <w:sz w:val="20"/>
                <w:szCs w:val="20"/>
              </w:rPr>
              <w:t>ore</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0C77BC5" w14:textId="6CA1494E"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Platformat operacionale për hetimin dhe ndjekjen ndërkufitare. Pjesëmarrja e plotë një prioritet për Qëllimin </w:t>
            </w:r>
            <w:r w:rsidR="00C730E0" w:rsidRPr="002128A6">
              <w:rPr>
                <w:rFonts w:ascii="Garamond" w:eastAsia="Arial" w:hAnsi="Garamond" w:cstheme="majorBidi"/>
                <w:sz w:val="20"/>
                <w:szCs w:val="20"/>
              </w:rPr>
              <w:t xml:space="preserve">e </w:t>
            </w:r>
            <w:r w:rsidRPr="002128A6">
              <w:rPr>
                <w:rFonts w:ascii="Garamond" w:eastAsia="Arial" w:hAnsi="Garamond" w:cstheme="majorBidi"/>
                <w:sz w:val="20"/>
                <w:szCs w:val="20"/>
              </w:rPr>
              <w:t>Politik</w:t>
            </w:r>
            <w:r w:rsidR="00C730E0" w:rsidRPr="002128A6">
              <w:rPr>
                <w:rFonts w:ascii="Garamond" w:eastAsia="Arial" w:hAnsi="Garamond" w:cstheme="majorBidi"/>
                <w:sz w:val="20"/>
                <w:szCs w:val="20"/>
              </w:rPr>
              <w:t>ës</w:t>
            </w:r>
            <w:r w:rsidRPr="002128A6">
              <w:rPr>
                <w:rFonts w:ascii="Garamond" w:eastAsia="Arial" w:hAnsi="Garamond" w:cstheme="majorBidi"/>
                <w:sz w:val="20"/>
                <w:szCs w:val="20"/>
              </w:rPr>
              <w:t xml:space="preserve"> III.</w:t>
            </w:r>
          </w:p>
        </w:tc>
      </w:tr>
      <w:tr w:rsidR="00F54824" w:rsidRPr="002128A6" w14:paraId="1EB5F4DC"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D372470" w14:textId="2897E3C4"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 xml:space="preserve">GRETA </w:t>
            </w:r>
            <w:r w:rsidR="00E31806" w:rsidRPr="002128A6">
              <w:rPr>
                <w:rFonts w:ascii="Garamond" w:eastAsia="Arial" w:hAnsi="Garamond" w:cstheme="majorBidi"/>
                <w:b/>
                <w:bCs/>
                <w:i/>
                <w:iCs/>
                <w:sz w:val="20"/>
                <w:szCs w:val="20"/>
              </w:rPr>
              <w:t>–</w:t>
            </w:r>
            <w:r w:rsidRPr="002128A6">
              <w:rPr>
                <w:rFonts w:ascii="Garamond" w:eastAsia="Arial" w:hAnsi="Garamond" w:cstheme="majorBidi"/>
                <w:b/>
                <w:bCs/>
                <w:sz w:val="20"/>
                <w:szCs w:val="20"/>
              </w:rPr>
              <w:t xml:space="preserve"> Grupi i Ekspertëve për Veprimet kundër Trafikimit të Qenieve Njerëzore</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77DC331" w14:textId="5E7A145C"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Vlerësimi periodik i përgjigjes ndaj trafikimit udhëheq OS 1.3 dhe 2.2.</w:t>
            </w:r>
          </w:p>
        </w:tc>
      </w:tr>
      <w:tr w:rsidR="00D96398" w:rsidRPr="002128A6" w14:paraId="0EF4D147" w14:textId="77777777" w:rsidTr="000E3629">
        <w:trPr>
          <w:trHeight w:val="20"/>
        </w:trPr>
        <w:tc>
          <w:tcPr>
            <w:tcW w:w="416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57F6F64" w14:textId="77777777"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b/>
                <w:bCs/>
                <w:sz w:val="20"/>
                <w:szCs w:val="20"/>
              </w:rPr>
              <w:t>Bashkëpunimi dypalësh me Shtetet e Bashkuara (ICITAP, DEA, ndërlidhja e FBI) dhe me Shtetet Anëtare të BE-së</w:t>
            </w:r>
          </w:p>
        </w:tc>
        <w:tc>
          <w:tcPr>
            <w:tcW w:w="5111"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4E13681" w14:textId="1828B871" w:rsidR="00D96398" w:rsidRPr="002128A6" w:rsidRDefault="00D96398" w:rsidP="000E3629">
            <w:pPr>
              <w:spacing w:after="0" w:line="240" w:lineRule="auto"/>
              <w:jc w:val="both"/>
              <w:rPr>
                <w:rFonts w:ascii="Garamond" w:hAnsi="Garamond" w:cstheme="majorBidi"/>
                <w:sz w:val="20"/>
                <w:szCs w:val="20"/>
              </w:rPr>
            </w:pPr>
            <w:r w:rsidRPr="002128A6">
              <w:rPr>
                <w:rFonts w:ascii="Garamond" w:eastAsia="Arial" w:hAnsi="Garamond" w:cstheme="majorBidi"/>
                <w:sz w:val="20"/>
                <w:szCs w:val="20"/>
              </w:rPr>
              <w:t xml:space="preserve">Partneritetet operacionale dhe të ngritjes së kapaciteteve nën OS 1.4 dhe Qëllimin </w:t>
            </w:r>
            <w:r w:rsidR="00C730E0" w:rsidRPr="002128A6">
              <w:rPr>
                <w:rFonts w:ascii="Garamond" w:eastAsia="Arial" w:hAnsi="Garamond" w:cstheme="majorBidi"/>
                <w:sz w:val="20"/>
                <w:szCs w:val="20"/>
              </w:rPr>
              <w:t xml:space="preserve">e </w:t>
            </w:r>
            <w:r w:rsidRPr="002128A6">
              <w:rPr>
                <w:rFonts w:ascii="Garamond" w:eastAsia="Arial" w:hAnsi="Garamond" w:cstheme="majorBidi"/>
                <w:sz w:val="20"/>
                <w:szCs w:val="20"/>
              </w:rPr>
              <w:t>Politik</w:t>
            </w:r>
            <w:r w:rsidR="00C730E0" w:rsidRPr="002128A6">
              <w:rPr>
                <w:rFonts w:ascii="Garamond" w:eastAsia="Arial" w:hAnsi="Garamond" w:cstheme="majorBidi"/>
                <w:sz w:val="20"/>
                <w:szCs w:val="20"/>
              </w:rPr>
              <w:t>ës</w:t>
            </w:r>
            <w:r w:rsidRPr="002128A6">
              <w:rPr>
                <w:rFonts w:ascii="Garamond" w:eastAsia="Arial" w:hAnsi="Garamond" w:cstheme="majorBidi"/>
                <w:sz w:val="20"/>
                <w:szCs w:val="20"/>
              </w:rPr>
              <w:t xml:space="preserve"> III.</w:t>
            </w:r>
          </w:p>
        </w:tc>
      </w:tr>
    </w:tbl>
    <w:p w14:paraId="7407ADFE" w14:textId="6A1AC92F" w:rsidR="00D96398" w:rsidRPr="002128A6" w:rsidRDefault="00D96398" w:rsidP="0025426C">
      <w:pPr>
        <w:spacing w:after="0" w:line="240" w:lineRule="auto"/>
        <w:ind w:firstLine="284"/>
        <w:jc w:val="both"/>
        <w:rPr>
          <w:rFonts w:ascii="Garamond" w:eastAsia="Century Schoolbook" w:hAnsi="Garamond" w:cstheme="majorBidi"/>
          <w:lang w:eastAsia="ja-JP"/>
        </w:rPr>
      </w:pPr>
    </w:p>
    <w:p w14:paraId="0B303AB7" w14:textId="77777777" w:rsidR="00A3216D" w:rsidRPr="002128A6" w:rsidRDefault="00A3216D" w:rsidP="0025426C">
      <w:pPr>
        <w:keepNext/>
        <w:keepLines/>
        <w:spacing w:after="0" w:line="240" w:lineRule="auto"/>
        <w:ind w:firstLine="284"/>
        <w:jc w:val="both"/>
        <w:outlineLvl w:val="3"/>
        <w:rPr>
          <w:rFonts w:ascii="Garamond" w:eastAsia="Times New Roman" w:hAnsi="Garamond" w:cstheme="majorBidi"/>
          <w:b/>
          <w:bCs/>
        </w:rPr>
      </w:pPr>
      <w:r w:rsidRPr="002128A6">
        <w:rPr>
          <w:rFonts w:ascii="Garamond" w:eastAsia="Times New Roman" w:hAnsi="Garamond" w:cstheme="majorBidi"/>
          <w:b/>
          <w:bCs/>
        </w:rPr>
        <w:t>Gatishmëria institucionale</w:t>
      </w:r>
    </w:p>
    <w:p w14:paraId="483EFE97" w14:textId="12882B38" w:rsidR="00A3216D"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b/>
          <w:bCs/>
        </w:rPr>
        <w:t xml:space="preserve">Ministria e </w:t>
      </w:r>
      <w:r w:rsidR="00DC04A9" w:rsidRPr="002128A6">
        <w:rPr>
          <w:rFonts w:ascii="Garamond" w:hAnsi="Garamond" w:cstheme="majorBidi"/>
          <w:b/>
          <w:bCs/>
        </w:rPr>
        <w:t xml:space="preserve">Punëve të </w:t>
      </w:r>
      <w:r w:rsidRPr="002128A6">
        <w:rPr>
          <w:rFonts w:ascii="Garamond" w:hAnsi="Garamond" w:cstheme="majorBidi"/>
          <w:b/>
          <w:bCs/>
        </w:rPr>
        <w:t>Brendshme</w:t>
      </w:r>
      <w:r w:rsidRPr="002128A6">
        <w:rPr>
          <w:rFonts w:ascii="Garamond" w:hAnsi="Garamond" w:cstheme="majorBidi"/>
        </w:rPr>
        <w:t xml:space="preserve"> luan rol kyç në zhvillimin dhe mbikëqyrjen e politikave që </w:t>
      </w:r>
      <w:r w:rsidR="00354FD2" w:rsidRPr="002128A6">
        <w:rPr>
          <w:rFonts w:ascii="Garamond" w:hAnsi="Garamond" w:cstheme="majorBidi"/>
        </w:rPr>
        <w:t>trajtojn</w:t>
      </w:r>
      <w:r w:rsidRPr="002128A6">
        <w:rPr>
          <w:rFonts w:ascii="Garamond" w:hAnsi="Garamond" w:cstheme="majorBidi"/>
        </w:rPr>
        <w:t xml:space="preserve">ë krimin e organizuar dhe veprat penale të rënda, duke ushtruar udhëheqje strategjike mbi agjencitë e saj të varësisë. Në vitin 2025, ajo është mesatarisht e përgatitur, e pajisur me autoritetin legjislativ dhe rregullator të nevojshëm për të drejtuar përpjekjet kombëtare. Megjithatë, Ministria </w:t>
      </w:r>
      <w:r w:rsidRPr="002128A6">
        <w:rPr>
          <w:rFonts w:ascii="Garamond" w:hAnsi="Garamond" w:cstheme="majorBidi"/>
        </w:rPr>
        <w:lastRenderedPageBreak/>
        <w:t xml:space="preserve">përballet me sfida në koordinimin ndërinstitucional dhe modernizimin e sistemeve të monitorimit dhe vlerësimit, me </w:t>
      </w:r>
      <w:r w:rsidR="00F54824" w:rsidRPr="002128A6">
        <w:rPr>
          <w:rFonts w:ascii="Garamond" w:hAnsi="Garamond" w:cstheme="majorBidi"/>
        </w:rPr>
        <w:t>digjital</w:t>
      </w:r>
      <w:r w:rsidRPr="002128A6">
        <w:rPr>
          <w:rFonts w:ascii="Garamond" w:hAnsi="Garamond" w:cstheme="majorBidi"/>
        </w:rPr>
        <w:t xml:space="preserve">izimin e ndjekjes së politikave që mbetet pas. </w:t>
      </w:r>
    </w:p>
    <w:p w14:paraId="33B9CB69" w14:textId="3E5B3747" w:rsidR="00A3216D"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b/>
          <w:bCs/>
        </w:rPr>
        <w:t>Policia e Shtetit</w:t>
      </w:r>
      <w:r w:rsidRPr="002128A6">
        <w:rPr>
          <w:rFonts w:ascii="Garamond" w:hAnsi="Garamond" w:cstheme="majorBidi"/>
        </w:rPr>
        <w:t xml:space="preserve"> </w:t>
      </w:r>
      <w:r w:rsidR="00354FD2" w:rsidRPr="002128A6">
        <w:rPr>
          <w:rFonts w:ascii="Garamond" w:hAnsi="Garamond" w:cstheme="majorBidi"/>
        </w:rPr>
        <w:t xml:space="preserve">e </w:t>
      </w:r>
      <w:r w:rsidRPr="002128A6">
        <w:rPr>
          <w:rFonts w:ascii="Garamond" w:hAnsi="Garamond" w:cstheme="majorBidi"/>
        </w:rPr>
        <w:t xml:space="preserve">ka përmirësuar kornizën e </w:t>
      </w:r>
      <w:r w:rsidR="00354FD2" w:rsidRPr="002128A6">
        <w:rPr>
          <w:rFonts w:ascii="Garamond" w:hAnsi="Garamond" w:cstheme="majorBidi"/>
        </w:rPr>
        <w:t>vet</w:t>
      </w:r>
      <w:r w:rsidRPr="002128A6">
        <w:rPr>
          <w:rFonts w:ascii="Garamond" w:hAnsi="Garamond" w:cstheme="majorBidi"/>
        </w:rPr>
        <w:t xml:space="preserve"> ligjore dhe ka krijuar struktura të reja si Zyra e Rikuperimit të Aseteve dhe mekanizmat e paralajmërimit të hershëm</w:t>
      </w:r>
      <w:r w:rsidR="00354FD2" w:rsidRPr="002128A6">
        <w:rPr>
          <w:rFonts w:ascii="Garamond" w:hAnsi="Garamond" w:cstheme="majorBidi"/>
        </w:rPr>
        <w:t>;</w:t>
      </w:r>
      <w:r w:rsidRPr="002128A6">
        <w:rPr>
          <w:rFonts w:ascii="Garamond" w:hAnsi="Garamond" w:cstheme="majorBidi"/>
        </w:rPr>
        <w:t xml:space="preserve"> megjithatë</w:t>
      </w:r>
      <w:r w:rsidR="00354FD2" w:rsidRPr="002128A6">
        <w:rPr>
          <w:rFonts w:ascii="Garamond" w:hAnsi="Garamond" w:cstheme="majorBidi"/>
        </w:rPr>
        <w:t>,</w:t>
      </w:r>
      <w:r w:rsidRPr="002128A6">
        <w:rPr>
          <w:rFonts w:ascii="Garamond" w:hAnsi="Garamond" w:cstheme="majorBidi"/>
        </w:rPr>
        <w:t xml:space="preserve"> këto mbeten vetëm pjesërisht funksionalë. Nevojat thelbësore përfshijnë forcimin e inteligjencës kriminale, hetimet paralele financiare, trajtimin e provave </w:t>
      </w:r>
      <w:r w:rsidR="00F54824" w:rsidRPr="002128A6">
        <w:rPr>
          <w:rFonts w:ascii="Garamond" w:hAnsi="Garamond" w:cstheme="majorBidi"/>
        </w:rPr>
        <w:t>digjital</w:t>
      </w:r>
      <w:r w:rsidRPr="002128A6">
        <w:rPr>
          <w:rFonts w:ascii="Garamond" w:hAnsi="Garamond" w:cstheme="majorBidi"/>
        </w:rPr>
        <w:t xml:space="preserve">e dhe kontrollet e integritetit për postet me </w:t>
      </w:r>
      <w:r w:rsidR="00C90A06" w:rsidRPr="002128A6">
        <w:rPr>
          <w:rFonts w:ascii="Garamond" w:hAnsi="Garamond" w:cstheme="majorBidi"/>
        </w:rPr>
        <w:t>rrezik</w:t>
      </w:r>
      <w:r w:rsidRPr="002128A6">
        <w:rPr>
          <w:rFonts w:ascii="Garamond" w:hAnsi="Garamond" w:cstheme="majorBidi"/>
        </w:rPr>
        <w:t xml:space="preserve"> të lartë.</w:t>
      </w:r>
    </w:p>
    <w:p w14:paraId="79BD4BD7" w14:textId="044138B7" w:rsidR="00A3216D"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b/>
          <w:bCs/>
        </w:rPr>
        <w:t>SPAK</w:t>
      </w:r>
      <w:r w:rsidR="00354FD2" w:rsidRPr="002128A6">
        <w:rPr>
          <w:rFonts w:ascii="Garamond" w:hAnsi="Garamond" w:cstheme="majorBidi"/>
          <w:b/>
          <w:bCs/>
        </w:rPr>
        <w:t>-u</w:t>
      </w:r>
      <w:r w:rsidRPr="002128A6">
        <w:rPr>
          <w:rFonts w:ascii="Garamond" w:hAnsi="Garamond" w:cstheme="majorBidi"/>
          <w:b/>
          <w:bCs/>
        </w:rPr>
        <w:t xml:space="preserve"> dhe BKH</w:t>
      </w:r>
      <w:r w:rsidR="00354FD2" w:rsidRPr="002128A6">
        <w:rPr>
          <w:rFonts w:ascii="Garamond" w:hAnsi="Garamond" w:cstheme="majorBidi"/>
          <w:b/>
          <w:bCs/>
        </w:rPr>
        <w:t>-ja</w:t>
      </w:r>
      <w:r w:rsidRPr="002128A6">
        <w:rPr>
          <w:rFonts w:ascii="Garamond" w:hAnsi="Garamond" w:cstheme="majorBidi"/>
        </w:rPr>
        <w:t xml:space="preserve"> përfaqësojnë kapacitetin më të avancuar të Shqipërisë, me një histori në rritje, akses të përmirësuar në bazat e të dhënave dhe hetime financiare më të forta. </w:t>
      </w:r>
      <w:r w:rsidR="00670117" w:rsidRPr="002128A6">
        <w:rPr>
          <w:rFonts w:ascii="Garamond" w:hAnsi="Garamond" w:cstheme="majorBidi"/>
        </w:rPr>
        <w:t xml:space="preserve">Në muajin mars 2026, pas një analize të thelluar institucionale, struktura organizative e BKH-së u riformatua me </w:t>
      </w:r>
      <w:r w:rsidR="00FF226D" w:rsidRPr="002128A6">
        <w:rPr>
          <w:rFonts w:ascii="Garamond" w:hAnsi="Garamond" w:cstheme="majorBidi"/>
        </w:rPr>
        <w:t xml:space="preserve">urdhrin e përbashkët </w:t>
      </w:r>
      <w:r w:rsidR="00670117" w:rsidRPr="002128A6">
        <w:rPr>
          <w:rFonts w:ascii="Garamond" w:hAnsi="Garamond" w:cstheme="majorBidi"/>
        </w:rPr>
        <w:t xml:space="preserve">nr. 404 prot., datë 25.3.2026, të Drejtorit të BKH-së dhe nr. 10135, datë 25.3.2026, të Drejtuesit të Prokurorisë së Posaçme, “Për miratimin e strukturës së Byrosë Kombëtare të Hetimit”. Nëpërmjet këtij akti u formalizua forcimi i kapaciteteve analitike dhe operacionale përmes krijimit të Sektorit të Administrimit dhe Vlerësimit të Informacionit Kriminal dhe Njësisë Operacionale dhe Taktike. Këto njësi pritet të kenë ndikim të drejtpërdrejtë në rritjen e numrit të hetimeve proaktive, përpunimin më të shpejtë dhe më cilësor të informacionit policor dhe indicieve të siguruara nga burime të hapura, si dhe në rritjen e efektivitetit të metodave speciale të hetimit dhe ekzekutimit të urdhrave të Prokurorisë dhe Gjykatave të Posaçme. Gjithashtu, BKH-ja ka aktualisht akses në 23 databaza të institucioneve shtetërore, numër i cili parashikohet të rritet në mënyrë progresive deri në vitin 2030. </w:t>
      </w:r>
      <w:r w:rsidRPr="002128A6">
        <w:rPr>
          <w:rFonts w:ascii="Garamond" w:hAnsi="Garamond" w:cstheme="majorBidi"/>
        </w:rPr>
        <w:t xml:space="preserve">Megjithatë, </w:t>
      </w:r>
      <w:r w:rsidR="00670117" w:rsidRPr="002128A6">
        <w:rPr>
          <w:rFonts w:ascii="Garamond" w:hAnsi="Garamond" w:cstheme="majorBidi"/>
        </w:rPr>
        <w:t xml:space="preserve">pavarësisht këtyre zhvillimeve pozitive, </w:t>
      </w:r>
      <w:r w:rsidRPr="002128A6">
        <w:rPr>
          <w:rFonts w:ascii="Garamond" w:hAnsi="Garamond" w:cstheme="majorBidi"/>
        </w:rPr>
        <w:t xml:space="preserve">ngarkesa e tyre operacionale vazhdon të tejkalojë </w:t>
      </w:r>
      <w:r w:rsidR="009D4CDA" w:rsidRPr="002128A6">
        <w:rPr>
          <w:rFonts w:ascii="Garamond" w:hAnsi="Garamond" w:cstheme="majorBidi"/>
        </w:rPr>
        <w:t xml:space="preserve">kapacitetet e personelit, </w:t>
      </w:r>
      <w:r w:rsidRPr="002128A6">
        <w:rPr>
          <w:rFonts w:ascii="Garamond" w:hAnsi="Garamond" w:cstheme="majorBidi"/>
        </w:rPr>
        <w:t>infrastrukturë</w:t>
      </w:r>
      <w:r w:rsidR="009D4CDA" w:rsidRPr="002128A6">
        <w:rPr>
          <w:rFonts w:ascii="Garamond" w:hAnsi="Garamond" w:cstheme="majorBidi"/>
        </w:rPr>
        <w:t>n</w:t>
      </w:r>
      <w:r w:rsidRPr="002128A6">
        <w:rPr>
          <w:rFonts w:ascii="Garamond" w:hAnsi="Garamond" w:cstheme="majorBidi"/>
        </w:rPr>
        <w:t xml:space="preserve"> dhe mbështetje</w:t>
      </w:r>
      <w:r w:rsidR="009D4CDA" w:rsidRPr="002128A6">
        <w:rPr>
          <w:rFonts w:ascii="Garamond" w:hAnsi="Garamond" w:cstheme="majorBidi"/>
        </w:rPr>
        <w:t>n</w:t>
      </w:r>
      <w:r w:rsidRPr="002128A6">
        <w:rPr>
          <w:rFonts w:ascii="Garamond" w:hAnsi="Garamond" w:cstheme="majorBidi"/>
        </w:rPr>
        <w:t xml:space="preserve"> analitike</w:t>
      </w:r>
      <w:r w:rsidR="00670117" w:rsidRPr="002128A6">
        <w:rPr>
          <w:rFonts w:ascii="Garamond" w:hAnsi="Garamond" w:cstheme="majorBidi"/>
        </w:rPr>
        <w:t>, duke e bërë të domosdoshëm konsolidimin e mëtejshëm të stafit, njësive të specializuara, mjeteve për administrimin e çështjeve të prapambetura dhe kapaciteteve të avancuara analitike për të garantuar performancë të qëndrueshme dhe efektive.</w:t>
      </w:r>
      <w:r w:rsidRPr="002128A6">
        <w:rPr>
          <w:rFonts w:ascii="Garamond" w:hAnsi="Garamond" w:cstheme="majorBidi"/>
        </w:rPr>
        <w:t xml:space="preserve"> Stafi i plotë i BKH-së, njësitë e specializuara, mjetet e </w:t>
      </w:r>
      <w:r w:rsidR="009D4CDA" w:rsidRPr="002128A6">
        <w:rPr>
          <w:rFonts w:ascii="Garamond" w:hAnsi="Garamond" w:cstheme="majorBidi"/>
        </w:rPr>
        <w:t>administrimit të çështjeve të prapambetura</w:t>
      </w:r>
      <w:r w:rsidRPr="002128A6">
        <w:rPr>
          <w:rFonts w:ascii="Garamond" w:hAnsi="Garamond" w:cstheme="majorBidi"/>
        </w:rPr>
        <w:t xml:space="preserve"> dhe analitika e zgjeruar operacionale janë thelbësore për të mbështetur performancën.</w:t>
      </w:r>
    </w:p>
    <w:p w14:paraId="6E1368FE" w14:textId="37EB6C29" w:rsidR="00A3216D"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b/>
          <w:bCs/>
        </w:rPr>
        <w:t>Prokuroria e Përgjithshme</w:t>
      </w:r>
      <w:r w:rsidRPr="002128A6">
        <w:rPr>
          <w:rFonts w:ascii="Garamond" w:hAnsi="Garamond" w:cstheme="majorBidi"/>
        </w:rPr>
        <w:t xml:space="preserve"> </w:t>
      </w:r>
      <w:r w:rsidR="00167215" w:rsidRPr="002128A6">
        <w:rPr>
          <w:rFonts w:ascii="Garamond" w:hAnsi="Garamond" w:cstheme="majorBidi"/>
        </w:rPr>
        <w:t xml:space="preserve">demonstron </w:t>
      </w:r>
      <w:r w:rsidRPr="002128A6">
        <w:rPr>
          <w:rFonts w:ascii="Garamond" w:hAnsi="Garamond" w:cstheme="majorBidi"/>
        </w:rPr>
        <w:t>angazhim proaktiv</w:t>
      </w:r>
      <w:r w:rsidR="00167215" w:rsidRPr="002128A6">
        <w:rPr>
          <w:rFonts w:ascii="Garamond" w:hAnsi="Garamond" w:cstheme="majorBidi"/>
        </w:rPr>
        <w:t>,</w:t>
      </w:r>
      <w:r w:rsidRPr="002128A6">
        <w:rPr>
          <w:rFonts w:ascii="Garamond" w:hAnsi="Garamond" w:cstheme="majorBidi"/>
        </w:rPr>
        <w:t xml:space="preserve"> por i mungon ekspertiza e specializuar dhe burimet e nevojshme për çështjet komplekse të krimit të organizuar dhe krimit financiar. </w:t>
      </w:r>
      <w:r w:rsidR="00167215" w:rsidRPr="002128A6">
        <w:rPr>
          <w:rFonts w:ascii="Garamond" w:hAnsi="Garamond" w:cstheme="majorBidi"/>
        </w:rPr>
        <w:t>Veçanërisht, prokuroritë e rretheve</w:t>
      </w:r>
      <w:r w:rsidRPr="002128A6">
        <w:rPr>
          <w:rFonts w:ascii="Garamond" w:hAnsi="Garamond" w:cstheme="majorBidi"/>
        </w:rPr>
        <w:t xml:space="preserve"> kanë nevojë për prokurorë </w:t>
      </w:r>
      <w:r w:rsidR="00C90A06" w:rsidRPr="002128A6">
        <w:rPr>
          <w:rFonts w:ascii="Garamond" w:hAnsi="Garamond" w:cstheme="majorBidi"/>
        </w:rPr>
        <w:t xml:space="preserve">të </w:t>
      </w:r>
      <w:r w:rsidRPr="002128A6">
        <w:rPr>
          <w:rFonts w:ascii="Garamond" w:hAnsi="Garamond" w:cstheme="majorBidi"/>
        </w:rPr>
        <w:t>spec</w:t>
      </w:r>
      <w:r w:rsidR="00C90A06" w:rsidRPr="002128A6">
        <w:rPr>
          <w:rFonts w:ascii="Garamond" w:hAnsi="Garamond" w:cstheme="majorBidi"/>
        </w:rPr>
        <w:t>ializuar</w:t>
      </w:r>
      <w:r w:rsidRPr="002128A6">
        <w:rPr>
          <w:rFonts w:ascii="Garamond" w:hAnsi="Garamond" w:cstheme="majorBidi"/>
        </w:rPr>
        <w:t>, mbështetje të strukturuar të analizës</w:t>
      </w:r>
      <w:r w:rsidR="00167215" w:rsidRPr="002128A6">
        <w:rPr>
          <w:rFonts w:ascii="Garamond" w:hAnsi="Garamond" w:cstheme="majorBidi"/>
        </w:rPr>
        <w:t xml:space="preserve"> </w:t>
      </w:r>
      <w:r w:rsidRPr="002128A6">
        <w:rPr>
          <w:rFonts w:ascii="Garamond" w:hAnsi="Garamond" w:cstheme="majorBidi"/>
        </w:rPr>
        <w:t>financiare dhe protokolle më të forta referimi me SPAK-un dhe policinë.</w:t>
      </w:r>
    </w:p>
    <w:p w14:paraId="0B04614B" w14:textId="12187E38" w:rsidR="00DC04A9" w:rsidRPr="002128A6" w:rsidRDefault="00DC04A9" w:rsidP="0025426C">
      <w:pPr>
        <w:spacing w:after="0" w:line="240" w:lineRule="auto"/>
        <w:ind w:firstLine="284"/>
        <w:jc w:val="both"/>
        <w:rPr>
          <w:rFonts w:ascii="Garamond" w:hAnsi="Garamond" w:cstheme="majorBidi"/>
        </w:rPr>
      </w:pPr>
      <w:r w:rsidRPr="002128A6">
        <w:rPr>
          <w:rFonts w:ascii="Garamond" w:hAnsi="Garamond" w:cstheme="majorBidi"/>
          <w:b/>
          <w:bCs/>
        </w:rPr>
        <w:t>Agjencia e Inteligjencës Financiare (AIF)</w:t>
      </w:r>
      <w:r w:rsidRPr="002128A6">
        <w:rPr>
          <w:rFonts w:ascii="Garamond" w:hAnsi="Garamond" w:cstheme="majorBidi"/>
        </w:rPr>
        <w:t xml:space="preserve"> </w:t>
      </w:r>
    </w:p>
    <w:p w14:paraId="54EADF23" w14:textId="036F2563" w:rsidR="00DC04A9" w:rsidRPr="002128A6" w:rsidRDefault="00DC04A9" w:rsidP="0025426C">
      <w:pPr>
        <w:spacing w:after="0" w:line="240" w:lineRule="auto"/>
        <w:ind w:firstLine="284"/>
        <w:jc w:val="both"/>
        <w:rPr>
          <w:rFonts w:ascii="Garamond" w:hAnsi="Garamond" w:cstheme="majorBidi"/>
        </w:rPr>
      </w:pPr>
      <w:r w:rsidRPr="002128A6">
        <w:rPr>
          <w:rFonts w:ascii="Garamond" w:hAnsi="Garamond" w:cstheme="majorBidi"/>
        </w:rPr>
        <w:t>Aktiviteti kryesor i AIF, në cilësinë e Njësisë së Inteligjencës Financiare, lidhet me analizimin e informacionit të raportuar përmes RAD-ve nga subjektet e ligjit, i cili plotësohet, kur është e nevojshme, me të dhëna shtesë për të mbështetur konkluzionet tona. Ky proces ka rëndësi themelore për funksionimin e institucionit, pasi mbi bazën e tij krijohen kushtet për nisjen e verifikimeve dhe investigimeve, referimin e informacionit pranë organeve kompetente, identifikimin dhe përditësimin e tipologjive të PP/FT, vlerësimin e rreziqeve, orientimin e subjekteve të ligjit për përmirësimin e sistemit parandalues, si dhe rritjen e efikasitetit në parandalimin dhe luftën kundër pastrimit të parave dhe financimit të terrorizmit.</w:t>
      </w:r>
    </w:p>
    <w:p w14:paraId="6A9A8BDB" w14:textId="34E1245A" w:rsidR="00A3216D"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b/>
          <w:bCs/>
        </w:rPr>
        <w:t>Agjencia për Administrimin e Pasurive të Sekuestruara dhe të Konfiskuara (AAPSK)</w:t>
      </w:r>
      <w:r w:rsidR="00167215" w:rsidRPr="002128A6">
        <w:rPr>
          <w:rFonts w:ascii="Garamond" w:hAnsi="Garamond" w:cstheme="majorBidi"/>
          <w:b/>
          <w:bCs/>
        </w:rPr>
        <w:t xml:space="preserve"> </w:t>
      </w:r>
      <w:r w:rsidR="00167215" w:rsidRPr="002128A6">
        <w:rPr>
          <w:rFonts w:ascii="Garamond" w:hAnsi="Garamond" w:cstheme="majorBidi"/>
        </w:rPr>
        <w:t xml:space="preserve">ka zgjeruar kapacitetet dhe ka përmirësuar inventarët e pasurive; megjithatë, vazhdon të përballet me fragmentim, barrë mirëmbajtjeje dhe vështirësi në menaxhimin e pasurive komplekse apo </w:t>
      </w:r>
      <w:r w:rsidR="00F54824" w:rsidRPr="002128A6">
        <w:rPr>
          <w:rFonts w:ascii="Garamond" w:hAnsi="Garamond" w:cstheme="majorBidi"/>
        </w:rPr>
        <w:t>digjital</w:t>
      </w:r>
      <w:r w:rsidR="00167215" w:rsidRPr="002128A6">
        <w:rPr>
          <w:rFonts w:ascii="Garamond" w:hAnsi="Garamond" w:cstheme="majorBidi"/>
        </w:rPr>
        <w:t xml:space="preserve">e. AAPSK-ja kërkon kapacitete më të forta për vlerësimin dhe disponimin e pasurive, si dhe në menaxhimin e punës, </w:t>
      </w:r>
      <w:r w:rsidRPr="002128A6">
        <w:rPr>
          <w:rFonts w:ascii="Garamond" w:hAnsi="Garamond" w:cstheme="majorBidi"/>
        </w:rPr>
        <w:t xml:space="preserve">së bashku me regjistra të </w:t>
      </w:r>
      <w:r w:rsidR="00F54824" w:rsidRPr="002128A6">
        <w:rPr>
          <w:rFonts w:ascii="Garamond" w:hAnsi="Garamond" w:cstheme="majorBidi"/>
        </w:rPr>
        <w:t>digjital</w:t>
      </w:r>
      <w:r w:rsidRPr="002128A6">
        <w:rPr>
          <w:rFonts w:ascii="Garamond" w:hAnsi="Garamond" w:cstheme="majorBidi"/>
        </w:rPr>
        <w:t>izuar dhe procedura më të qarta transferimi nga gjykata tek agjencia.</w:t>
      </w:r>
    </w:p>
    <w:p w14:paraId="45F4515C" w14:textId="71D61DB6" w:rsidR="00A3216D"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b/>
          <w:bCs/>
        </w:rPr>
        <w:t>Administrata Doganore</w:t>
      </w:r>
      <w:r w:rsidRPr="002128A6">
        <w:rPr>
          <w:rFonts w:ascii="Garamond" w:hAnsi="Garamond" w:cstheme="majorBidi"/>
        </w:rPr>
        <w:t xml:space="preserve"> </w:t>
      </w:r>
      <w:r w:rsidR="00167215" w:rsidRPr="002128A6">
        <w:rPr>
          <w:rFonts w:ascii="Garamond" w:hAnsi="Garamond" w:cstheme="majorBidi"/>
        </w:rPr>
        <w:t xml:space="preserve">demonstron </w:t>
      </w:r>
      <w:r w:rsidRPr="002128A6">
        <w:rPr>
          <w:rFonts w:ascii="Garamond" w:hAnsi="Garamond" w:cstheme="majorBidi"/>
        </w:rPr>
        <w:t xml:space="preserve">harmonizim </w:t>
      </w:r>
      <w:r w:rsidR="00167215" w:rsidRPr="002128A6">
        <w:rPr>
          <w:rFonts w:ascii="Garamond" w:hAnsi="Garamond" w:cstheme="majorBidi"/>
        </w:rPr>
        <w:t xml:space="preserve">goxha </w:t>
      </w:r>
      <w:r w:rsidRPr="002128A6">
        <w:rPr>
          <w:rFonts w:ascii="Garamond" w:hAnsi="Garamond" w:cstheme="majorBidi"/>
        </w:rPr>
        <w:t xml:space="preserve">të mirë me standardet e BE-së dhe progres në </w:t>
      </w:r>
      <w:r w:rsidR="00F54824" w:rsidRPr="002128A6">
        <w:rPr>
          <w:rFonts w:ascii="Garamond" w:hAnsi="Garamond" w:cstheme="majorBidi"/>
        </w:rPr>
        <w:t>digjital</w:t>
      </w:r>
      <w:r w:rsidRPr="002128A6">
        <w:rPr>
          <w:rFonts w:ascii="Garamond" w:hAnsi="Garamond" w:cstheme="majorBidi"/>
        </w:rPr>
        <w:t>izim, por vuan nga vakanca</w:t>
      </w:r>
      <w:r w:rsidR="00167215" w:rsidRPr="002128A6">
        <w:rPr>
          <w:rFonts w:ascii="Garamond" w:hAnsi="Garamond" w:cstheme="majorBidi"/>
        </w:rPr>
        <w:t>t</w:t>
      </w:r>
      <w:r w:rsidRPr="002128A6">
        <w:rPr>
          <w:rFonts w:ascii="Garamond" w:hAnsi="Garamond" w:cstheme="majorBidi"/>
        </w:rPr>
        <w:t>, boshllëqe</w:t>
      </w:r>
      <w:r w:rsidR="00167215" w:rsidRPr="002128A6">
        <w:rPr>
          <w:rFonts w:ascii="Garamond" w:hAnsi="Garamond" w:cstheme="majorBidi"/>
        </w:rPr>
        <w:t>t</w:t>
      </w:r>
      <w:r w:rsidRPr="002128A6">
        <w:rPr>
          <w:rFonts w:ascii="Garamond" w:hAnsi="Garamond" w:cstheme="majorBidi"/>
        </w:rPr>
        <w:t xml:space="preserve"> </w:t>
      </w:r>
      <w:r w:rsidR="00167215" w:rsidRPr="002128A6">
        <w:rPr>
          <w:rFonts w:ascii="Garamond" w:hAnsi="Garamond" w:cstheme="majorBidi"/>
        </w:rPr>
        <w:t>në T</w:t>
      </w:r>
      <w:r w:rsidR="008F0D4A" w:rsidRPr="002128A6">
        <w:rPr>
          <w:rFonts w:ascii="Garamond" w:hAnsi="Garamond" w:cstheme="majorBidi"/>
        </w:rPr>
        <w:t xml:space="preserve">eknologji të </w:t>
      </w:r>
      <w:r w:rsidR="00167215" w:rsidRPr="002128A6">
        <w:rPr>
          <w:rFonts w:ascii="Garamond" w:hAnsi="Garamond" w:cstheme="majorBidi"/>
        </w:rPr>
        <w:t>I</w:t>
      </w:r>
      <w:r w:rsidR="008F0D4A" w:rsidRPr="002128A6">
        <w:rPr>
          <w:rFonts w:ascii="Garamond" w:hAnsi="Garamond" w:cstheme="majorBidi"/>
        </w:rPr>
        <w:t>nformacionit (TI) dhe ndër</w:t>
      </w:r>
      <w:r w:rsidRPr="002128A6">
        <w:rPr>
          <w:rFonts w:ascii="Garamond" w:hAnsi="Garamond" w:cstheme="majorBidi"/>
        </w:rPr>
        <w:t>lidhshmëri</w:t>
      </w:r>
      <w:r w:rsidR="008F0D4A" w:rsidRPr="002128A6">
        <w:rPr>
          <w:rFonts w:ascii="Garamond" w:hAnsi="Garamond" w:cstheme="majorBidi"/>
        </w:rPr>
        <w:t xml:space="preserve">, si </w:t>
      </w:r>
      <w:r w:rsidRPr="002128A6">
        <w:rPr>
          <w:rFonts w:ascii="Garamond" w:hAnsi="Garamond" w:cstheme="majorBidi"/>
        </w:rPr>
        <w:t>kapacitet</w:t>
      </w:r>
      <w:r w:rsidR="00167215" w:rsidRPr="002128A6">
        <w:rPr>
          <w:rFonts w:ascii="Garamond" w:hAnsi="Garamond" w:cstheme="majorBidi"/>
        </w:rPr>
        <w:t>e</w:t>
      </w:r>
      <w:r w:rsidRPr="002128A6">
        <w:rPr>
          <w:rFonts w:ascii="Garamond" w:hAnsi="Garamond" w:cstheme="majorBidi"/>
        </w:rPr>
        <w:t xml:space="preserve"> të pamjaftuesh</w:t>
      </w:r>
      <w:r w:rsidR="00167215" w:rsidRPr="002128A6">
        <w:rPr>
          <w:rFonts w:ascii="Garamond" w:hAnsi="Garamond" w:cstheme="majorBidi"/>
        </w:rPr>
        <w:t>me kundër mashtrimit dhe korrupsionit.</w:t>
      </w:r>
      <w:r w:rsidRPr="002128A6">
        <w:rPr>
          <w:rFonts w:ascii="Garamond" w:hAnsi="Garamond" w:cstheme="majorBidi"/>
        </w:rPr>
        <w:t xml:space="preserve"> Plotësimi i </w:t>
      </w:r>
      <w:r w:rsidRPr="002128A6">
        <w:rPr>
          <w:rFonts w:ascii="Garamond" w:hAnsi="Garamond" w:cstheme="majorBidi"/>
        </w:rPr>
        <w:lastRenderedPageBreak/>
        <w:t xml:space="preserve">vakancave, përmirësimi i </w:t>
      </w:r>
      <w:r w:rsidR="00167215" w:rsidRPr="002128A6">
        <w:rPr>
          <w:rFonts w:ascii="Garamond" w:hAnsi="Garamond" w:cstheme="majorBidi"/>
        </w:rPr>
        <w:t xml:space="preserve">shënjestrimit bazuar në </w:t>
      </w:r>
      <w:r w:rsidR="008F0D4A" w:rsidRPr="002128A6">
        <w:rPr>
          <w:rFonts w:ascii="Garamond" w:hAnsi="Garamond" w:cstheme="majorBidi"/>
        </w:rPr>
        <w:t>rrezik</w:t>
      </w:r>
      <w:r w:rsidRPr="002128A6">
        <w:rPr>
          <w:rFonts w:ascii="Garamond" w:hAnsi="Garamond" w:cstheme="majorBidi"/>
        </w:rPr>
        <w:t xml:space="preserve"> dhe modernizimi i laboratorëve </w:t>
      </w:r>
      <w:r w:rsidR="00167215" w:rsidRPr="002128A6">
        <w:rPr>
          <w:rFonts w:ascii="Garamond" w:hAnsi="Garamond" w:cstheme="majorBidi"/>
        </w:rPr>
        <w:t>dhe</w:t>
      </w:r>
      <w:r w:rsidRPr="002128A6">
        <w:rPr>
          <w:rFonts w:ascii="Garamond" w:hAnsi="Garamond" w:cstheme="majorBidi"/>
        </w:rPr>
        <w:t xml:space="preserve"> sistemeve </w:t>
      </w:r>
      <w:r w:rsidR="00167215" w:rsidRPr="002128A6">
        <w:rPr>
          <w:rFonts w:ascii="Garamond" w:hAnsi="Garamond" w:cstheme="majorBidi"/>
        </w:rPr>
        <w:t xml:space="preserve">TI në dogana </w:t>
      </w:r>
      <w:r w:rsidRPr="002128A6">
        <w:rPr>
          <w:rFonts w:ascii="Garamond" w:hAnsi="Garamond" w:cstheme="majorBidi"/>
        </w:rPr>
        <w:t>janë prioritetet kyçe.</w:t>
      </w:r>
    </w:p>
    <w:p w14:paraId="368426EF" w14:textId="107E4362" w:rsidR="00167215" w:rsidRPr="002128A6" w:rsidRDefault="00A3216D" w:rsidP="0025426C">
      <w:pPr>
        <w:spacing w:after="0" w:line="240" w:lineRule="auto"/>
        <w:ind w:firstLine="284"/>
        <w:jc w:val="both"/>
        <w:rPr>
          <w:rFonts w:ascii="Garamond" w:hAnsi="Garamond" w:cstheme="majorBidi"/>
          <w:strike/>
        </w:rPr>
      </w:pPr>
      <w:r w:rsidRPr="002128A6">
        <w:rPr>
          <w:rFonts w:ascii="Garamond" w:hAnsi="Garamond" w:cstheme="majorBidi"/>
          <w:b/>
          <w:bCs/>
        </w:rPr>
        <w:t>Administrata Tatimore</w:t>
      </w:r>
      <w:r w:rsidRPr="002128A6">
        <w:rPr>
          <w:rFonts w:ascii="Garamond" w:hAnsi="Garamond" w:cstheme="majorBidi"/>
        </w:rPr>
        <w:t xml:space="preserve"> ka avancuar përmes Strategjisë Afatmesme të të Ardhurave por ende ka nevojë për procedura të thjeshtuara, </w:t>
      </w:r>
      <w:r w:rsidR="008F0D4A" w:rsidRPr="002128A6">
        <w:rPr>
          <w:rFonts w:ascii="Garamond" w:hAnsi="Garamond" w:cstheme="majorBidi"/>
        </w:rPr>
        <w:t xml:space="preserve">kapacitete më të forta </w:t>
      </w:r>
      <w:r w:rsidRPr="002128A6">
        <w:rPr>
          <w:rFonts w:ascii="Garamond" w:hAnsi="Garamond" w:cstheme="majorBidi"/>
        </w:rPr>
        <w:t>analitik</w:t>
      </w:r>
      <w:r w:rsidR="008F0D4A" w:rsidRPr="002128A6">
        <w:rPr>
          <w:rFonts w:ascii="Garamond" w:hAnsi="Garamond" w:cstheme="majorBidi"/>
        </w:rPr>
        <w:t>e</w:t>
      </w:r>
      <w:r w:rsidRPr="002128A6">
        <w:rPr>
          <w:rFonts w:ascii="Garamond" w:hAnsi="Garamond" w:cstheme="majorBidi"/>
        </w:rPr>
        <w:t xml:space="preserve">, përdorim më të mirë të të dhënave të </w:t>
      </w:r>
      <w:r w:rsidR="008F0D4A" w:rsidRPr="002128A6">
        <w:rPr>
          <w:rFonts w:ascii="Garamond" w:hAnsi="Garamond" w:cstheme="majorBidi"/>
        </w:rPr>
        <w:t xml:space="preserve">marra nga </w:t>
      </w:r>
      <w:r w:rsidRPr="002128A6">
        <w:rPr>
          <w:rFonts w:ascii="Garamond" w:hAnsi="Garamond" w:cstheme="majorBidi"/>
        </w:rPr>
        <w:t>palë</w:t>
      </w:r>
      <w:r w:rsidR="008F0D4A" w:rsidRPr="002128A6">
        <w:rPr>
          <w:rFonts w:ascii="Garamond" w:hAnsi="Garamond" w:cstheme="majorBidi"/>
        </w:rPr>
        <w:t>t</w:t>
      </w:r>
      <w:r w:rsidRPr="002128A6">
        <w:rPr>
          <w:rFonts w:ascii="Garamond" w:hAnsi="Garamond" w:cstheme="majorBidi"/>
        </w:rPr>
        <w:t xml:space="preserve"> </w:t>
      </w:r>
      <w:r w:rsidR="008F0D4A" w:rsidRPr="002128A6">
        <w:rPr>
          <w:rFonts w:ascii="Garamond" w:hAnsi="Garamond" w:cstheme="majorBidi"/>
        </w:rPr>
        <w:t>e</w:t>
      </w:r>
      <w:r w:rsidRPr="002128A6">
        <w:rPr>
          <w:rFonts w:ascii="Garamond" w:hAnsi="Garamond" w:cstheme="majorBidi"/>
        </w:rPr>
        <w:t xml:space="preserve"> treta</w:t>
      </w:r>
      <w:r w:rsidR="00DC04A9" w:rsidRPr="002128A6">
        <w:rPr>
          <w:rFonts w:ascii="Garamond" w:hAnsi="Garamond" w:cstheme="majorBidi"/>
        </w:rPr>
        <w:t>.</w:t>
      </w:r>
      <w:r w:rsidRPr="002128A6">
        <w:rPr>
          <w:rFonts w:ascii="Garamond" w:hAnsi="Garamond" w:cstheme="majorBidi"/>
        </w:rPr>
        <w:t xml:space="preserve"> </w:t>
      </w:r>
    </w:p>
    <w:p w14:paraId="2E684193" w14:textId="0782528C" w:rsidR="00167215"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b/>
          <w:bCs/>
        </w:rPr>
        <w:t>Ministria e Drejtësisë</w:t>
      </w:r>
      <w:r w:rsidRPr="002128A6">
        <w:rPr>
          <w:rFonts w:ascii="Garamond" w:hAnsi="Garamond" w:cstheme="majorBidi"/>
        </w:rPr>
        <w:t xml:space="preserve">, </w:t>
      </w:r>
      <w:r w:rsidR="003019A9" w:rsidRPr="002128A6">
        <w:rPr>
          <w:rFonts w:ascii="Garamond" w:hAnsi="Garamond" w:cstheme="majorBidi"/>
        </w:rPr>
        <w:t xml:space="preserve">e cila </w:t>
      </w:r>
      <w:r w:rsidRPr="002128A6">
        <w:rPr>
          <w:rFonts w:ascii="Garamond" w:hAnsi="Garamond" w:cstheme="majorBidi"/>
        </w:rPr>
        <w:t xml:space="preserve">ndonëse mesatarisht e përgatitur si lider </w:t>
      </w:r>
      <w:r w:rsidR="003019A9" w:rsidRPr="002128A6">
        <w:rPr>
          <w:rFonts w:ascii="Garamond" w:hAnsi="Garamond" w:cstheme="majorBidi"/>
        </w:rPr>
        <w:t>në fushën e</w:t>
      </w:r>
      <w:r w:rsidRPr="002128A6">
        <w:rPr>
          <w:rFonts w:ascii="Garamond" w:hAnsi="Garamond" w:cstheme="majorBidi"/>
        </w:rPr>
        <w:t xml:space="preserve"> politikave, </w:t>
      </w:r>
      <w:r w:rsidR="00167215" w:rsidRPr="002128A6">
        <w:rPr>
          <w:rFonts w:ascii="Garamond" w:hAnsi="Garamond" w:cstheme="majorBidi"/>
        </w:rPr>
        <w:t>shfaq vështirësi në</w:t>
      </w:r>
      <w:r w:rsidRPr="002128A6">
        <w:rPr>
          <w:rFonts w:ascii="Garamond" w:hAnsi="Garamond" w:cstheme="majorBidi"/>
        </w:rPr>
        <w:t xml:space="preserve"> koordinimin e reformave dhe vonesa në </w:t>
      </w:r>
      <w:r w:rsidR="00F54824" w:rsidRPr="002128A6">
        <w:rPr>
          <w:rFonts w:ascii="Garamond" w:hAnsi="Garamond" w:cstheme="majorBidi"/>
        </w:rPr>
        <w:t>digjital</w:t>
      </w:r>
      <w:r w:rsidRPr="002128A6">
        <w:rPr>
          <w:rFonts w:ascii="Garamond" w:hAnsi="Garamond" w:cstheme="majorBidi"/>
        </w:rPr>
        <w:t>izim, veçanërisht me sistemin elektronik të menaxhimit të çështjeve,</w:t>
      </w:r>
      <w:r w:rsidR="003019A9" w:rsidRPr="002128A6">
        <w:rPr>
          <w:rFonts w:ascii="Garamond" w:hAnsi="Garamond" w:cstheme="majorBidi"/>
        </w:rPr>
        <w:t xml:space="preserve"> afati i të cilit</w:t>
      </w:r>
      <w:r w:rsidR="00F54824" w:rsidRPr="002128A6">
        <w:rPr>
          <w:rFonts w:ascii="Garamond" w:hAnsi="Garamond" w:cstheme="majorBidi"/>
        </w:rPr>
        <w:t xml:space="preserve"> </w:t>
      </w:r>
      <w:r w:rsidR="003019A9" w:rsidRPr="002128A6">
        <w:rPr>
          <w:rFonts w:ascii="Garamond" w:hAnsi="Garamond" w:cstheme="majorBidi"/>
        </w:rPr>
        <w:t>tashmë është</w:t>
      </w:r>
      <w:r w:rsidRPr="002128A6">
        <w:rPr>
          <w:rFonts w:ascii="Garamond" w:hAnsi="Garamond" w:cstheme="majorBidi"/>
        </w:rPr>
        <w:t xml:space="preserve"> shtyrë në vitin 2030. Nevojiten drejtim më i fortë, harmonizim legjislativ dhe kapacitet</w:t>
      </w:r>
      <w:r w:rsidR="00167215" w:rsidRPr="002128A6">
        <w:rPr>
          <w:rFonts w:ascii="Garamond" w:hAnsi="Garamond" w:cstheme="majorBidi"/>
        </w:rPr>
        <w:t>e</w:t>
      </w:r>
      <w:r w:rsidRPr="002128A6">
        <w:rPr>
          <w:rFonts w:ascii="Garamond" w:hAnsi="Garamond" w:cstheme="majorBidi"/>
        </w:rPr>
        <w:t xml:space="preserve"> monitorues</w:t>
      </w:r>
      <w:r w:rsidR="00167215" w:rsidRPr="002128A6">
        <w:rPr>
          <w:rFonts w:ascii="Garamond" w:hAnsi="Garamond" w:cstheme="majorBidi"/>
        </w:rPr>
        <w:t>e</w:t>
      </w:r>
      <w:r w:rsidRPr="002128A6">
        <w:rPr>
          <w:rFonts w:ascii="Garamond" w:hAnsi="Garamond" w:cstheme="majorBidi"/>
        </w:rPr>
        <w:t>.</w:t>
      </w:r>
    </w:p>
    <w:p w14:paraId="6299A7E8" w14:textId="40148702" w:rsidR="00167215"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b/>
          <w:bCs/>
        </w:rPr>
        <w:t>Zyra e Rikuperimit të Aseteve</w:t>
      </w:r>
      <w:r w:rsidR="00167215" w:rsidRPr="002128A6">
        <w:rPr>
          <w:rFonts w:ascii="Garamond" w:hAnsi="Garamond" w:cstheme="majorBidi"/>
        </w:rPr>
        <w:t>,</w:t>
      </w:r>
      <w:r w:rsidRPr="002128A6">
        <w:rPr>
          <w:rFonts w:ascii="Garamond" w:hAnsi="Garamond" w:cstheme="majorBidi"/>
        </w:rPr>
        <w:t xml:space="preserve"> e krijuar rishtas</w:t>
      </w:r>
      <w:r w:rsidR="00167215" w:rsidRPr="002128A6">
        <w:rPr>
          <w:rFonts w:ascii="Garamond" w:hAnsi="Garamond" w:cstheme="majorBidi"/>
        </w:rPr>
        <w:t>,</w:t>
      </w:r>
      <w:r w:rsidRPr="002128A6">
        <w:rPr>
          <w:rFonts w:ascii="Garamond" w:hAnsi="Garamond" w:cstheme="majorBidi"/>
        </w:rPr>
        <w:t xml:space="preserve"> mbetet në fazat e hershme të funksionalitetit. </w:t>
      </w:r>
      <w:r w:rsidR="003019A9" w:rsidRPr="002128A6">
        <w:rPr>
          <w:rFonts w:ascii="Garamond" w:hAnsi="Garamond" w:cstheme="majorBidi"/>
        </w:rPr>
        <w:t>Kuadri ligjor</w:t>
      </w:r>
      <w:r w:rsidRPr="002128A6">
        <w:rPr>
          <w:rFonts w:ascii="Garamond" w:hAnsi="Garamond" w:cstheme="majorBidi"/>
        </w:rPr>
        <w:t xml:space="preserve">, </w:t>
      </w:r>
      <w:r w:rsidR="00167215" w:rsidRPr="002128A6">
        <w:rPr>
          <w:rFonts w:ascii="Garamond" w:hAnsi="Garamond" w:cstheme="majorBidi"/>
        </w:rPr>
        <w:t>personeli</w:t>
      </w:r>
      <w:r w:rsidRPr="002128A6">
        <w:rPr>
          <w:rFonts w:ascii="Garamond" w:hAnsi="Garamond" w:cstheme="majorBidi"/>
        </w:rPr>
        <w:t xml:space="preserve">, aksesi në bazat e të dhënave dhe </w:t>
      </w:r>
      <w:r w:rsidR="00167215" w:rsidRPr="002128A6">
        <w:rPr>
          <w:rFonts w:ascii="Garamond" w:hAnsi="Garamond" w:cstheme="majorBidi"/>
        </w:rPr>
        <w:t xml:space="preserve">rendi </w:t>
      </w:r>
      <w:r w:rsidRPr="002128A6">
        <w:rPr>
          <w:rFonts w:ascii="Garamond" w:hAnsi="Garamond" w:cstheme="majorBidi"/>
        </w:rPr>
        <w:t>operacional</w:t>
      </w:r>
      <w:r w:rsidR="00167215" w:rsidRPr="002128A6">
        <w:rPr>
          <w:rFonts w:ascii="Garamond" w:hAnsi="Garamond" w:cstheme="majorBidi"/>
        </w:rPr>
        <w:t xml:space="preserve"> i</w:t>
      </w:r>
      <w:r w:rsidRPr="002128A6">
        <w:rPr>
          <w:rFonts w:ascii="Garamond" w:hAnsi="Garamond" w:cstheme="majorBidi"/>
        </w:rPr>
        <w:t xml:space="preserve"> punës duhet të prioritizohen për të siguruar bashkëpunim efektiv me SPAK-un, AIF</w:t>
      </w:r>
      <w:r w:rsidR="00167215" w:rsidRPr="002128A6">
        <w:rPr>
          <w:rFonts w:ascii="Garamond" w:hAnsi="Garamond" w:cstheme="majorBidi"/>
        </w:rPr>
        <w:t>-në</w:t>
      </w:r>
      <w:r w:rsidRPr="002128A6">
        <w:rPr>
          <w:rFonts w:ascii="Garamond" w:hAnsi="Garamond" w:cstheme="majorBidi"/>
        </w:rPr>
        <w:t xml:space="preserve"> dhe AAPSK-</w:t>
      </w:r>
      <w:r w:rsidR="00167215" w:rsidRPr="002128A6">
        <w:rPr>
          <w:rFonts w:ascii="Garamond" w:hAnsi="Garamond" w:cstheme="majorBidi"/>
        </w:rPr>
        <w:t>un.</w:t>
      </w:r>
    </w:p>
    <w:p w14:paraId="65CC2EA7" w14:textId="55296945" w:rsidR="00167215"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rPr>
        <w:t>Organe si</w:t>
      </w:r>
      <w:r w:rsidRPr="002128A6">
        <w:rPr>
          <w:rFonts w:ascii="Garamond" w:hAnsi="Garamond" w:cstheme="majorBidi"/>
          <w:b/>
          <w:bCs/>
        </w:rPr>
        <w:t xml:space="preserve"> Agjencia e Mbikëqyrjes Policore</w:t>
      </w:r>
      <w:r w:rsidRPr="002128A6">
        <w:rPr>
          <w:rFonts w:ascii="Garamond" w:hAnsi="Garamond" w:cstheme="majorBidi"/>
        </w:rPr>
        <w:t xml:space="preserve"> dhe </w:t>
      </w:r>
      <w:r w:rsidRPr="002128A6">
        <w:rPr>
          <w:rFonts w:ascii="Garamond" w:hAnsi="Garamond" w:cstheme="majorBidi"/>
          <w:b/>
          <w:bCs/>
        </w:rPr>
        <w:t>Inspektorati Shtetëror i Mjedisit</w:t>
      </w:r>
      <w:r w:rsidRPr="002128A6">
        <w:rPr>
          <w:rFonts w:ascii="Garamond" w:hAnsi="Garamond" w:cstheme="majorBidi"/>
        </w:rPr>
        <w:t xml:space="preserve"> tregojnë gatishmëri </w:t>
      </w:r>
      <w:r w:rsidR="003019A9" w:rsidRPr="002128A6">
        <w:rPr>
          <w:rFonts w:ascii="Garamond" w:hAnsi="Garamond" w:cstheme="majorBidi"/>
        </w:rPr>
        <w:t xml:space="preserve">në nivel </w:t>
      </w:r>
      <w:r w:rsidRPr="002128A6">
        <w:rPr>
          <w:rFonts w:ascii="Garamond" w:hAnsi="Garamond" w:cstheme="majorBidi"/>
        </w:rPr>
        <w:t xml:space="preserve">bazë. E para kërkon mbikëqyrje më të fortë antikorrupsion, testim integriteti dhe mbrojtje të sinjalizuesve, ndërsa e dyta ka nevojë për ngritje urgjente kapacitetesh për </w:t>
      </w:r>
      <w:r w:rsidR="00167215" w:rsidRPr="002128A6">
        <w:rPr>
          <w:rFonts w:ascii="Garamond" w:hAnsi="Garamond" w:cstheme="majorBidi"/>
        </w:rPr>
        <w:t>zbulimin dhe hetimin e krimit</w:t>
      </w:r>
      <w:r w:rsidRPr="002128A6">
        <w:rPr>
          <w:rFonts w:ascii="Garamond" w:hAnsi="Garamond" w:cstheme="majorBidi"/>
        </w:rPr>
        <w:t xml:space="preserve"> mjedisor.</w:t>
      </w:r>
    </w:p>
    <w:p w14:paraId="7EFF7F90" w14:textId="77777777" w:rsidR="00513A80"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rPr>
        <w:t>Në përgjithësi, korniza institucionale e Shqipërisë demonstron</w:t>
      </w:r>
      <w:r w:rsidR="00167215" w:rsidRPr="002128A6">
        <w:rPr>
          <w:rFonts w:ascii="Garamond" w:hAnsi="Garamond" w:cstheme="majorBidi"/>
        </w:rPr>
        <w:t xml:space="preserve"> </w:t>
      </w:r>
      <w:r w:rsidRPr="002128A6">
        <w:rPr>
          <w:rFonts w:ascii="Garamond" w:hAnsi="Garamond" w:cstheme="majorBidi"/>
          <w:b/>
          <w:bCs/>
        </w:rPr>
        <w:t xml:space="preserve">gatishmëri </w:t>
      </w:r>
      <w:r w:rsidR="00167215" w:rsidRPr="002128A6">
        <w:rPr>
          <w:rFonts w:ascii="Garamond" w:hAnsi="Garamond" w:cstheme="majorBidi"/>
          <w:b/>
          <w:bCs/>
        </w:rPr>
        <w:t>në rritje,</w:t>
      </w:r>
      <w:r w:rsidRPr="002128A6">
        <w:rPr>
          <w:rFonts w:ascii="Garamond" w:hAnsi="Garamond" w:cstheme="majorBidi"/>
          <w:b/>
          <w:bCs/>
        </w:rPr>
        <w:t xml:space="preserve"> por të pamjaftueshme për të trajtuar efektivisht krimin e organizuar</w:t>
      </w:r>
      <w:r w:rsidRPr="002128A6">
        <w:rPr>
          <w:rFonts w:ascii="Garamond" w:hAnsi="Garamond" w:cstheme="majorBidi"/>
        </w:rPr>
        <w:t>. Strategjia do të fokusohet në këto fusha:</w:t>
      </w:r>
    </w:p>
    <w:p w14:paraId="3B4BAAFC" w14:textId="2BD58AAB"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Symbol"/>
          <w:kern w:val="0"/>
        </w:rPr>
        <w:t xml:space="preserve">- </w:t>
      </w:r>
      <w:r w:rsidRPr="002128A6">
        <w:rPr>
          <w:rFonts w:ascii="Garamond" w:hAnsi="Garamond" w:cs="Garamond"/>
          <w:kern w:val="0"/>
        </w:rPr>
        <w:t>zgjerimin e burimeve njerëzore të specializuara</w:t>
      </w:r>
      <w:r w:rsidR="00FF226D" w:rsidRPr="002128A6">
        <w:rPr>
          <w:rFonts w:ascii="Garamond" w:hAnsi="Garamond" w:cs="Garamond"/>
          <w:kern w:val="0"/>
        </w:rPr>
        <w:t>;</w:t>
      </w:r>
    </w:p>
    <w:p w14:paraId="60EB49F4" w14:textId="346DEC65"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Symbol"/>
          <w:kern w:val="0"/>
        </w:rPr>
        <w:t xml:space="preserve">- </w:t>
      </w:r>
      <w:r w:rsidRPr="002128A6">
        <w:rPr>
          <w:rFonts w:ascii="Garamond" w:hAnsi="Garamond" w:cs="Garamond"/>
          <w:kern w:val="0"/>
        </w:rPr>
        <w:t xml:space="preserve">forcimin e kapaciteteve për krimin financiar dhe provat </w:t>
      </w:r>
      <w:r w:rsidR="00F54824" w:rsidRPr="002128A6">
        <w:rPr>
          <w:rFonts w:ascii="Garamond" w:hAnsi="Garamond" w:cs="Garamond"/>
          <w:kern w:val="0"/>
        </w:rPr>
        <w:t>digjital</w:t>
      </w:r>
      <w:r w:rsidRPr="002128A6">
        <w:rPr>
          <w:rFonts w:ascii="Garamond" w:hAnsi="Garamond" w:cs="Garamond"/>
          <w:kern w:val="0"/>
        </w:rPr>
        <w:t>e</w:t>
      </w:r>
      <w:r w:rsidR="00FF226D" w:rsidRPr="002128A6">
        <w:rPr>
          <w:rFonts w:ascii="Garamond" w:hAnsi="Garamond" w:cs="Garamond"/>
          <w:kern w:val="0"/>
        </w:rPr>
        <w:t>;</w:t>
      </w:r>
    </w:p>
    <w:p w14:paraId="3D810FA0" w14:textId="00BCB0E7"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Symbol"/>
          <w:kern w:val="0"/>
        </w:rPr>
        <w:t xml:space="preserve">- </w:t>
      </w:r>
      <w:r w:rsidRPr="002128A6">
        <w:rPr>
          <w:rFonts w:ascii="Garamond" w:hAnsi="Garamond" w:cs="Garamond"/>
          <w:kern w:val="0"/>
        </w:rPr>
        <w:t>përmirësimin e ndërveprueshmërisë dhe sistemeve të të dhënave</w:t>
      </w:r>
      <w:r w:rsidR="00FF226D" w:rsidRPr="002128A6">
        <w:rPr>
          <w:rFonts w:ascii="Garamond" w:hAnsi="Garamond" w:cs="Garamond"/>
          <w:kern w:val="0"/>
        </w:rPr>
        <w:t>;</w:t>
      </w:r>
    </w:p>
    <w:p w14:paraId="1B413BE1" w14:textId="3265DD01"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Symbol"/>
          <w:kern w:val="0"/>
        </w:rPr>
        <w:t xml:space="preserve">- </w:t>
      </w:r>
      <w:r w:rsidRPr="002128A6">
        <w:rPr>
          <w:rFonts w:ascii="Garamond" w:hAnsi="Garamond" w:cs="Garamond"/>
          <w:kern w:val="0"/>
        </w:rPr>
        <w:t>konsolidimin e funksioneve të rikuperimit dhe menaxhimit të aseteve</w:t>
      </w:r>
      <w:r w:rsidR="00FF226D" w:rsidRPr="002128A6">
        <w:rPr>
          <w:rFonts w:ascii="Garamond" w:hAnsi="Garamond" w:cs="Garamond"/>
          <w:kern w:val="0"/>
        </w:rPr>
        <w:t>;</w:t>
      </w:r>
    </w:p>
    <w:p w14:paraId="30A2D68B" w14:textId="05AF048A"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Symbol"/>
          <w:kern w:val="0"/>
        </w:rPr>
        <w:t xml:space="preserve">- </w:t>
      </w:r>
      <w:r w:rsidRPr="002128A6">
        <w:rPr>
          <w:rFonts w:ascii="Garamond" w:hAnsi="Garamond" w:cs="Garamond"/>
          <w:kern w:val="0"/>
        </w:rPr>
        <w:t>përforcimin e mekanizmave të integritetit dhe mbikëqyrjes</w:t>
      </w:r>
      <w:r w:rsidR="00FF226D" w:rsidRPr="002128A6">
        <w:rPr>
          <w:rFonts w:ascii="Garamond" w:hAnsi="Garamond" w:cs="Garamond"/>
          <w:kern w:val="0"/>
        </w:rPr>
        <w:t>;</w:t>
      </w:r>
    </w:p>
    <w:p w14:paraId="61D06D6A" w14:textId="77777777" w:rsidR="00513A80" w:rsidRPr="002128A6" w:rsidRDefault="00A3216D" w:rsidP="0025426C">
      <w:pPr>
        <w:spacing w:after="0" w:line="240" w:lineRule="auto"/>
        <w:ind w:firstLine="284"/>
        <w:jc w:val="both"/>
        <w:rPr>
          <w:rFonts w:ascii="Garamond" w:hAnsi="Garamond" w:cstheme="majorBidi"/>
        </w:rPr>
      </w:pPr>
      <w:r w:rsidRPr="002128A6">
        <w:rPr>
          <w:rFonts w:ascii="Garamond" w:hAnsi="Garamond" w:cstheme="majorBidi"/>
        </w:rPr>
        <w:t xml:space="preserve">Këto përmirësime </w:t>
      </w:r>
      <w:r w:rsidR="00513A80" w:rsidRPr="002128A6">
        <w:rPr>
          <w:rFonts w:ascii="Garamond" w:hAnsi="Garamond" w:cstheme="majorBidi"/>
        </w:rPr>
        <w:t>syn</w:t>
      </w:r>
      <w:r w:rsidRPr="002128A6">
        <w:rPr>
          <w:rFonts w:ascii="Garamond" w:hAnsi="Garamond" w:cstheme="majorBidi"/>
        </w:rPr>
        <w:t>ojnë të ndërtojnë një sistem kombëtar koherent, të qëndrueshëm, të aftë për të ndërprerë rrjetet komplekse të krimit të organizuar dhe për të përmbushur pritshmëritë e integrimit në BE.</w:t>
      </w:r>
    </w:p>
    <w:p w14:paraId="2C974690" w14:textId="15AC14F4" w:rsidR="00371E21" w:rsidRPr="002128A6" w:rsidRDefault="00371E21" w:rsidP="0025426C">
      <w:pPr>
        <w:spacing w:after="0" w:line="240" w:lineRule="auto"/>
        <w:ind w:firstLine="284"/>
        <w:jc w:val="both"/>
        <w:rPr>
          <w:rFonts w:ascii="Garamond" w:hAnsi="Garamond" w:cstheme="majorBidi"/>
        </w:rPr>
      </w:pPr>
      <w:r w:rsidRPr="002128A6">
        <w:rPr>
          <w:rFonts w:ascii="Garamond" w:hAnsi="Garamond" w:cstheme="majorBidi"/>
          <w:b/>
          <w:bCs/>
        </w:rPr>
        <w:t xml:space="preserve">Ministria e Shëndetësisë dhe </w:t>
      </w:r>
      <w:r w:rsidR="00FF226D" w:rsidRPr="002128A6">
        <w:rPr>
          <w:rFonts w:ascii="Garamond" w:hAnsi="Garamond" w:cstheme="majorBidi"/>
          <w:b/>
          <w:bCs/>
        </w:rPr>
        <w:t>Mirëqenies</w:t>
      </w:r>
      <w:r w:rsidRPr="002128A6">
        <w:rPr>
          <w:rFonts w:ascii="Garamond" w:hAnsi="Garamond" w:cstheme="majorBidi"/>
          <w:b/>
          <w:bCs/>
        </w:rPr>
        <w:t xml:space="preserve"> Sociale</w:t>
      </w:r>
      <w:r w:rsidRPr="002128A6">
        <w:rPr>
          <w:rFonts w:ascii="Garamond" w:hAnsi="Garamond" w:cstheme="majorBidi"/>
        </w:rPr>
        <w:t xml:space="preserve"> ushtron një rol kyç në hartimin, koordinimin dhe monitorimin e politikave kombëtare në fushën e drogave, duke adresuar dimensionin shëndetësor, social dhe parandalues të fenomenit. Ajo siguron udhëheqje strategjike në zhvillimin e ndërhyrjeve të bazuara në evidenca, përfshirë parandalimin e përdorimit, trajtimin, rehabilitimin dhe riintegrimin e individëve, si dhe kontribuon në forcimin e rezistencës së komuniteteve, veçanërisht për grupet në risk. Nëpërmjet strukturave të saj, përfshirë Observatorin Kombëtar të Drogave, Ministria garanton mbledhjen, analizën dhe raportimin sistematik të të dhënave, duke mbështetur procesin e vendimmarrjes dhe përafrimin me standardet e BE-së. Në këtë kuadër, ajo luan një rol të rëndësishëm në koordinimin ndërinstitucional me Ministrinë e Punëve të Brendshme, Policinë e Shtetit dhe aktorë të tjerë kombëtarë dhe ndërkombëtarë, në funksion të një qasjeje të integruar dhe gjithëpërfshirëse ndaj politikave të drogës.</w:t>
      </w:r>
    </w:p>
    <w:p w14:paraId="5C0BAB4D" w14:textId="6609912B" w:rsidR="009B39BD" w:rsidRPr="002128A6" w:rsidRDefault="009B39BD" w:rsidP="0025426C">
      <w:pPr>
        <w:spacing w:after="0" w:line="240" w:lineRule="auto"/>
        <w:ind w:firstLine="284"/>
        <w:jc w:val="both"/>
        <w:rPr>
          <w:rFonts w:ascii="Garamond" w:hAnsi="Garamond" w:cstheme="majorBidi"/>
        </w:rPr>
      </w:pPr>
      <w:r w:rsidRPr="002128A6">
        <w:rPr>
          <w:rFonts w:ascii="Garamond" w:hAnsi="Garamond" w:cstheme="majorBidi"/>
        </w:rPr>
        <w:t xml:space="preserve">Që nga viti 2025, Shqipëria ka një </w:t>
      </w:r>
      <w:r w:rsidRPr="002128A6">
        <w:rPr>
          <w:rFonts w:ascii="Garamond" w:hAnsi="Garamond" w:cstheme="majorBidi"/>
          <w:b/>
          <w:bCs/>
        </w:rPr>
        <w:t xml:space="preserve">arkitekturë funksionale për luftën kundër krimit të organizuar, </w:t>
      </w:r>
      <w:r w:rsidRPr="002128A6">
        <w:rPr>
          <w:rFonts w:ascii="Garamond" w:hAnsi="Garamond" w:cstheme="majorBidi"/>
        </w:rPr>
        <w:t xml:space="preserve">ku rolin kryesor e mbajnë Prokuroria e Posaçme (SPAK), Byroja Kombëtare e Hetimit (BKH) dhe Policia e Shtetit, si institucionet më të specializuara dhe me kapacitetet kryesore operacionale. Institucionet e tjera kontribuojnë në mënyrë mbështetëse, veçanërisht në aspektin e inteligjencës financiare, kontrollit kufitar, administrimit fiskal dhe bashkëpunimit ndërinstitucional. Për këtë arsye, Strategjia do të kombinojë prioritetet operacionale me një fokus të dedikuar për forcimin e kapacitetit institucional të fokusuar në analizë, rikuperim asetesh, </w:t>
      </w:r>
      <w:r w:rsidR="00F54824" w:rsidRPr="002128A6">
        <w:rPr>
          <w:rFonts w:ascii="Garamond" w:hAnsi="Garamond" w:cstheme="majorBidi"/>
        </w:rPr>
        <w:t>digjital</w:t>
      </w:r>
      <w:r w:rsidRPr="002128A6">
        <w:rPr>
          <w:rFonts w:ascii="Garamond" w:hAnsi="Garamond" w:cstheme="majorBidi"/>
        </w:rPr>
        <w:t>izim, koordinim ndërinstitucional dhe garanci integriteti.</w:t>
      </w:r>
      <w:r w:rsidRPr="002128A6">
        <w:rPr>
          <w:rFonts w:ascii="Garamond" w:hAnsi="Garamond"/>
        </w:rPr>
        <w:t xml:space="preserve"> </w:t>
      </w:r>
      <w:r w:rsidRPr="002128A6">
        <w:rPr>
          <w:rFonts w:ascii="Garamond" w:hAnsi="Garamond" w:cstheme="majorBidi"/>
        </w:rPr>
        <w:t xml:space="preserve">Në mënyrë të posaçme për Byronë Kombëtare të Hetimit, një objektiv strategjik i rëndësishëm duhet të jetë forcimi gradual i pavarësisë së saj operacionale nga agjencitë e tjera të zbatimit të ligjit, përmes zhvillimit të kapaciteteve të veta analitike, operacionale, </w:t>
      </w:r>
      <w:r w:rsidRPr="002128A6">
        <w:rPr>
          <w:rFonts w:ascii="Garamond" w:hAnsi="Garamond" w:cstheme="majorBidi"/>
        </w:rPr>
        <w:lastRenderedPageBreak/>
        <w:t>teknologjike dhe logjistike. Kjo do të mundësojë kryerjen më efektive të hetimeve proaktive, përdorimin e pavarur të metodave speciale të hetimit, administrimin e informacionit kriminal dhe ekzekutimin e veprimeve hetimore në përputhje me mandatin ligjor të BKH-së, duke rritur efikasitetin, sigurinë operative dhe qëndrueshmërinë institucionale të saj.</w:t>
      </w:r>
    </w:p>
    <w:p w14:paraId="1D61464D" w14:textId="5DA69E16" w:rsidR="00A3216D" w:rsidRPr="002128A6" w:rsidRDefault="00A3216D" w:rsidP="0025426C">
      <w:pPr>
        <w:spacing w:after="0" w:line="240" w:lineRule="auto"/>
        <w:ind w:firstLine="284"/>
        <w:jc w:val="both"/>
        <w:rPr>
          <w:rFonts w:ascii="Garamond" w:eastAsia="Times New Roman" w:hAnsi="Garamond" w:cstheme="majorBidi"/>
          <w:b/>
          <w:bCs/>
        </w:rPr>
      </w:pPr>
      <w:r w:rsidRPr="002128A6">
        <w:rPr>
          <w:rFonts w:ascii="Garamond" w:eastAsia="Times New Roman" w:hAnsi="Garamond" w:cstheme="majorBidi"/>
          <w:b/>
          <w:bCs/>
        </w:rPr>
        <w:t>Bashkëpunimi ndërinstitucional dhe integrimi i të dhënave</w:t>
      </w:r>
    </w:p>
    <w:p w14:paraId="716B2EED" w14:textId="34DA8073" w:rsidR="004B0381" w:rsidRPr="002128A6" w:rsidRDefault="004B0381" w:rsidP="0025426C">
      <w:pPr>
        <w:spacing w:after="0" w:line="240" w:lineRule="auto"/>
        <w:ind w:firstLine="284"/>
        <w:jc w:val="both"/>
        <w:rPr>
          <w:rFonts w:ascii="Garamond" w:hAnsi="Garamond" w:cstheme="majorBidi"/>
        </w:rPr>
      </w:pPr>
      <w:r w:rsidRPr="002128A6">
        <w:rPr>
          <w:rFonts w:ascii="Garamond" w:hAnsi="Garamond" w:cstheme="majorBidi"/>
        </w:rPr>
        <w:t>Bashkëpunimi dhe koordinimi efektiv ndërinstitucional janë themelorë për suksesin e përgjigjes së efektshme ndaj veprave të rënda dhe të krimit të organizuar nga strategjia. Kompleksiteti, shkalla dhe natyra transnacionale e këtyre kërcënimeve kërkojnë një qasje mbarështetërore, ku zbatimi i ligjit, hetimet dhe ndjekja penale, inteligjenca financiare dhe autoritetet rregullatore veprojnë si një sistem i integruar dhe jo si veprimtari të ndara nga njëra tjetra.</w:t>
      </w:r>
    </w:p>
    <w:p w14:paraId="5BFCD683" w14:textId="39D1BC01" w:rsidR="00404F2A" w:rsidRPr="002128A6" w:rsidRDefault="004B0381" w:rsidP="0025426C">
      <w:pPr>
        <w:spacing w:after="0" w:line="240" w:lineRule="auto"/>
        <w:ind w:firstLine="284"/>
        <w:jc w:val="both"/>
        <w:rPr>
          <w:rFonts w:ascii="Garamond" w:eastAsia="Aptos" w:hAnsi="Garamond" w:cstheme="majorBidi"/>
        </w:rPr>
      </w:pPr>
      <w:r w:rsidRPr="002128A6">
        <w:rPr>
          <w:rFonts w:ascii="Garamond" w:hAnsi="Garamond" w:cstheme="majorBidi"/>
        </w:rPr>
        <w:t xml:space="preserve">Mekanizmat e koordinimi periodik janë të ngritura në institucionet kyçe, </w:t>
      </w:r>
      <w:r w:rsidRPr="002128A6">
        <w:rPr>
          <w:rFonts w:ascii="Garamond" w:eastAsia="Aptos" w:hAnsi="Garamond" w:cstheme="majorBidi"/>
        </w:rPr>
        <w:t>përfshirë Policinë e Shtetit, Agjencinë e Inteligjencës Financiare, Prokurorinë e Përgjithshme dhe SPAK-un. Këto mekanizma përfshijnë shkëmbimin e informacionit, mbledhjet e përbashkëta operacionale, grupet e punës ndërinstitucionale dhe hetimet e koordinuara për të adresuar çështjet komplekse. Bashkëpunime dhe ndërveprime të tilla kanë kontribuar në harmonizim të përmirësuar operacional dhe rritje të përdorimit të qasjeve të përbashkëta hetimore. Megjithatë, pavarësisht këtyre përmirësimeve, mbetet e nevojshme forcimi i mëtejshëm i koordinimit operacional dhe konsolidimi i praktikave të bashkëpunimit ndërinstitucional, me qëllim rritjen e efikasitetit dhe standardizimit të qasjeve të përbashkëta hetimore.</w:t>
      </w:r>
    </w:p>
    <w:p w14:paraId="10D3F3DC" w14:textId="12D8E0A2" w:rsidR="009E09D6" w:rsidRPr="002128A6" w:rsidRDefault="009E09D6"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Në nivelin brenda-institucional, koordinimi ndërmjet strukturave të ndryshme funksionale, përfshirë njësitë operacionale, analitike, të hetimit financiar dhe kibernetik, është përmirësuar, megjithatë mbetet e rëndësishme forcimi i mëtejshëm i integrimit të informacionit dhe koordinimit operacional. Në disa raste, nevojitet harmonizim më i madh i proceseve të brendshme për të mundësuar përdorim sa më efektiv të informacionit, analizës dhe provave të disponueshme në funksion të hetimeve komplekse.</w:t>
      </w:r>
    </w:p>
    <w:p w14:paraId="4F520C4A" w14:textId="67F9D3D8" w:rsidR="005D3245" w:rsidRPr="002128A6" w:rsidRDefault="005D3245"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Këto sfida lidhen ngushtë me disa dobësi ende ekzistuese në integrimin e të dhënave dhe ndërveprueshmërinë, por në të njëjtën kohë ato po shërbejnë edhe si shtysë për përmirësime të rëndësishme në mënyrën se si institucionet bashkëpunojnë. Aftësia për të kombinuar, analizuar dhe ndarë informacionin ndërmjet institucioneve dhe sistemeve të ndryshme mbetet një fushë që po zhvillohet gradualisht, me hapa të vazhdueshëm drejt modernizimit dhe harmonizimit të proceseve.</w:t>
      </w:r>
    </w:p>
    <w:p w14:paraId="4F40A130" w14:textId="7DF29168" w:rsidR="005D3245" w:rsidRPr="002128A6" w:rsidRDefault="005D3245"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Shpesh, informacioni ende ruhet në sisteme të ndara, gjë që mund të kufizojë shkëmbimin e menjëhershëm të të dhënave dhe analizën e plotë të situatave. Megjithatë, kjo ka nxitur një fokus më të madh në ndërtimin e platformave të përbashkëta dhe në rritjen e standardeve të ndërveprimit, duke e bërë bashkëpunimin ndërinstitucional një prioritet gjithnjë e më të rëndësishëm.</w:t>
      </w:r>
    </w:p>
    <w:p w14:paraId="7E226F12" w14:textId="0CBBDF91" w:rsidR="004B0381" w:rsidRPr="002128A6" w:rsidRDefault="004B0381"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Si rezultat, edhe pse inteligjenca mund të ketë qenë më e fragmentuar në të kaluarën, ka një tendencë t</w:t>
      </w:r>
      <w:r w:rsidRPr="002128A6">
        <w:rPr>
          <w:rFonts w:ascii="Garamond" w:hAnsi="Garamond" w:cstheme="majorBidi"/>
        </w:rPr>
        <w:t>ë</w:t>
      </w:r>
      <w:r w:rsidRPr="002128A6">
        <w:rPr>
          <w:rFonts w:ascii="Garamond" w:eastAsia="Aptos" w:hAnsi="Garamond" w:cstheme="majorBidi"/>
        </w:rPr>
        <w:t xml:space="preserve"> dukshme drejt integrimit më të mirë të burimeve të informacionit. Kjo përmirëson gradualisht kapacitetet analitike, ul dyfishimin e përpjekjeve dhe rrit shpejtësinë e reagimit ndaj fenomeneve kriminale</w:t>
      </w:r>
    </w:p>
    <w:p w14:paraId="30CAD983" w14:textId="0F25CC13" w:rsidR="008259E3" w:rsidRPr="002128A6" w:rsidRDefault="004B0381"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Në këtë kuadër, k</w:t>
      </w:r>
      <w:r w:rsidRPr="002128A6">
        <w:rPr>
          <w:rFonts w:ascii="Garamond" w:hAnsi="Garamond" w:cstheme="majorBidi"/>
        </w:rPr>
        <w:t>ë</w:t>
      </w:r>
      <w:r w:rsidRPr="002128A6">
        <w:rPr>
          <w:rFonts w:ascii="Garamond" w:eastAsia="Aptos" w:hAnsi="Garamond" w:cstheme="majorBidi"/>
        </w:rPr>
        <w:t>to jan</w:t>
      </w:r>
      <w:r w:rsidRPr="002128A6">
        <w:rPr>
          <w:rFonts w:ascii="Garamond" w:hAnsi="Garamond" w:cstheme="majorBidi"/>
        </w:rPr>
        <w:t>ë</w:t>
      </w:r>
      <w:r w:rsidRPr="002128A6">
        <w:rPr>
          <w:rFonts w:ascii="Garamond" w:eastAsia="Aptos" w:hAnsi="Garamond" w:cstheme="majorBidi"/>
        </w:rPr>
        <w:t xml:space="preserve"> edhe mundësi për transformim</w:t>
      </w:r>
      <w:r w:rsidR="005D3245" w:rsidRPr="002128A6">
        <w:rPr>
          <w:rFonts w:ascii="Garamond" w:eastAsia="Aptos" w:hAnsi="Garamond" w:cstheme="majorBidi"/>
        </w:rPr>
        <w:t xml:space="preserve">: forcimi i lidhjeve ndërmjet sistemeve, rritja e ndërveprimit dhe përdorimi më efektiv i të dhënave po krijojnë bazat për një qasje më të koordinuar dhe më proaktive në përballimin e krimit të organizuar. </w:t>
      </w:r>
      <w:r w:rsidR="008259E3" w:rsidRPr="002128A6">
        <w:rPr>
          <w:rFonts w:ascii="Garamond" w:eastAsia="Aptos" w:hAnsi="Garamond" w:cstheme="majorBidi"/>
        </w:rPr>
        <w:t xml:space="preserve">Për të adresuar këto boshllëqe strukturore, strategjia prioritizon zhvillimin e një mjedisi informacioni plotësisht të integruar dhe </w:t>
      </w:r>
      <w:r w:rsidR="00224FC7" w:rsidRPr="002128A6">
        <w:rPr>
          <w:rFonts w:ascii="Garamond" w:eastAsia="Aptos" w:hAnsi="Garamond" w:cstheme="majorBidi"/>
        </w:rPr>
        <w:t xml:space="preserve">ndërveprues, </w:t>
      </w:r>
      <w:r w:rsidR="008259E3" w:rsidRPr="002128A6">
        <w:rPr>
          <w:rFonts w:ascii="Garamond" w:eastAsia="Aptos" w:hAnsi="Garamond" w:cstheme="majorBidi"/>
        </w:rPr>
        <w:t>të mbështetur nga:</w:t>
      </w:r>
    </w:p>
    <w:p w14:paraId="3D25137A" w14:textId="36B450DE" w:rsidR="0025426C" w:rsidRPr="002128A6" w:rsidRDefault="0025426C" w:rsidP="0025426C">
      <w:pPr>
        <w:spacing w:after="0" w:line="240" w:lineRule="auto"/>
        <w:ind w:firstLine="284"/>
        <w:jc w:val="both"/>
        <w:rPr>
          <w:rFonts w:ascii="Garamond" w:hAnsi="Garamond"/>
          <w:strike/>
          <w:u w:val="single"/>
        </w:rPr>
      </w:pPr>
      <w:r w:rsidRPr="002128A6">
        <w:rPr>
          <w:rFonts w:ascii="Garamond" w:hAnsi="Garamond"/>
        </w:rPr>
        <w:t xml:space="preserve">- </w:t>
      </w:r>
      <w:r w:rsidRPr="002128A6">
        <w:rPr>
          <w:rFonts w:ascii="Garamond" w:hAnsi="Garamond" w:cs="Garamond"/>
        </w:rPr>
        <w:t>Nevoja për harmonizimin dhe formalizimin e mëtejshëm të praktikave ekzistuese të shkëmbimit të informacionit ndërmjet dhe brenda institucioneve, duke përcaktuar role, përgjegjësi dhe procedura të qarta për ndarjen e të dhënave</w:t>
      </w:r>
    </w:p>
    <w:p w14:paraId="5269081C" w14:textId="53FC07BC"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Symbol"/>
        </w:rPr>
        <w:t xml:space="preserve">- </w:t>
      </w:r>
      <w:r w:rsidRPr="002128A6">
        <w:rPr>
          <w:rFonts w:ascii="Garamond" w:hAnsi="Garamond" w:cs="Garamond"/>
        </w:rPr>
        <w:t xml:space="preserve">Zhvillimi i sistemeve TI të ndërvepruara dhe platformave të sigurta </w:t>
      </w:r>
      <w:r w:rsidR="00F54824" w:rsidRPr="002128A6">
        <w:rPr>
          <w:rFonts w:ascii="Garamond" w:hAnsi="Garamond" w:cs="Garamond"/>
        </w:rPr>
        <w:t>digjital</w:t>
      </w:r>
      <w:r w:rsidRPr="002128A6">
        <w:rPr>
          <w:rFonts w:ascii="Garamond" w:hAnsi="Garamond" w:cs="Garamond"/>
        </w:rPr>
        <w:t xml:space="preserve">e, që mundësojnë akses në kohë reale, kryqëzim referencash dhe analizë të dhënash nëpër institucione; </w:t>
      </w:r>
    </w:p>
    <w:p w14:paraId="2268FD61" w14:textId="4FC2E794"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Symbol"/>
        </w:rPr>
        <w:lastRenderedPageBreak/>
        <w:t xml:space="preserve">- </w:t>
      </w:r>
      <w:r w:rsidRPr="002128A6">
        <w:rPr>
          <w:rFonts w:ascii="Garamond" w:hAnsi="Garamond" w:cs="Garamond"/>
        </w:rPr>
        <w:t xml:space="preserve">Forcimi i strukturave të përbashkëta analitike dhe operacionale, që inteligjenca, hetimet financiare dhe kapacitetet kibernetike të jenë sistematikisht të integruara; </w:t>
      </w:r>
    </w:p>
    <w:p w14:paraId="30CD3899" w14:textId="0B3A0ACA"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Symbol"/>
        </w:rPr>
        <w:t xml:space="preserve">- </w:t>
      </w:r>
      <w:r w:rsidRPr="002128A6">
        <w:rPr>
          <w:rFonts w:ascii="Garamond" w:hAnsi="Garamond" w:cs="Garamond"/>
        </w:rPr>
        <w:t>Promovimi i një kulture të bashkëpunimit dhe koordinimit të strukturuar, mbështetur me trajnime, operacione të përbashkëta dhe mekanizma monitorimi të performancës;</w:t>
      </w:r>
    </w:p>
    <w:p w14:paraId="4C010E90" w14:textId="77777777"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 xml:space="preserve">Sigurimi i pajtueshmërisë së plotë me standardet e mbrojtjes së të dhënave, privatësisë dhe </w:t>
      </w:r>
    </w:p>
    <w:p w14:paraId="3ABF59EC" w14:textId="0B4AEFE2" w:rsidR="008259E3" w:rsidRPr="002128A6" w:rsidRDefault="0025426C"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 </w:t>
      </w:r>
      <w:r w:rsidR="008259E3" w:rsidRPr="002128A6">
        <w:rPr>
          <w:rFonts w:ascii="Garamond" w:eastAsia="Aptos" w:hAnsi="Garamond" w:cstheme="majorBidi"/>
        </w:rPr>
        <w:t xml:space="preserve">sigurisë kibernetike, në përputhje me </w:t>
      </w:r>
      <w:r w:rsidR="00A00935" w:rsidRPr="002128A6">
        <w:rPr>
          <w:rFonts w:ascii="Garamond" w:eastAsia="Aptos" w:hAnsi="Garamond" w:cstheme="majorBidi"/>
          <w:i/>
          <w:iCs/>
        </w:rPr>
        <w:t xml:space="preserve">Acquis </w:t>
      </w:r>
      <w:r w:rsidR="001007CF" w:rsidRPr="002128A6">
        <w:rPr>
          <w:rFonts w:ascii="Garamond" w:eastAsia="Aptos" w:hAnsi="Garamond" w:cstheme="majorBidi"/>
        </w:rPr>
        <w:t>t</w:t>
      </w:r>
      <w:r w:rsidR="008259E3" w:rsidRPr="002128A6">
        <w:rPr>
          <w:rFonts w:ascii="Garamond" w:eastAsia="Aptos" w:hAnsi="Garamond" w:cstheme="majorBidi"/>
        </w:rPr>
        <w:t>ë BE-së</w:t>
      </w:r>
      <w:r w:rsidR="001007CF" w:rsidRPr="002128A6">
        <w:rPr>
          <w:rFonts w:ascii="Garamond" w:eastAsia="Aptos" w:hAnsi="Garamond" w:cstheme="majorBidi"/>
        </w:rPr>
        <w:t>;</w:t>
      </w:r>
      <w:r w:rsidR="008259E3" w:rsidRPr="002128A6">
        <w:rPr>
          <w:rFonts w:ascii="Garamond" w:eastAsia="Aptos" w:hAnsi="Garamond" w:cstheme="majorBidi"/>
        </w:rPr>
        <w:t xml:space="preserve"> </w:t>
      </w:r>
    </w:p>
    <w:p w14:paraId="27D6FAFE" w14:textId="3E30B171" w:rsidR="00BE490C" w:rsidRPr="002128A6" w:rsidRDefault="008259E3"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Duke forcuar bashkëpunimin </w:t>
      </w:r>
      <w:r w:rsidR="001007CF" w:rsidRPr="002128A6">
        <w:rPr>
          <w:rFonts w:ascii="Garamond" w:eastAsia="Aptos" w:hAnsi="Garamond" w:cstheme="majorBidi"/>
        </w:rPr>
        <w:t xml:space="preserve">ndërinstitucional dhe atë brenda institucioneve, </w:t>
      </w:r>
      <w:r w:rsidRPr="002128A6">
        <w:rPr>
          <w:rFonts w:ascii="Garamond" w:eastAsia="Aptos" w:hAnsi="Garamond" w:cstheme="majorBidi"/>
        </w:rPr>
        <w:t>krahas integrimit të përmirësuar të të dhënave, strategjia do të forcojë më tej zbatimin efektiv të hetimeve të udhëhequra nga inteligjenca. Kjo mbështet prioritetet kyçe strategjike të kësaj strategjie, përfshirë konsolidimin e hetimeve paralele financiare, identifikimin dhe parandalimin e hershëm të aktivitetit të krimit të organizuar dhe zbulimin proaktiv të krimit të mundësuar nga teknologjia kibernetike.</w:t>
      </w:r>
    </w:p>
    <w:p w14:paraId="6D1408DA" w14:textId="77777777" w:rsidR="00FF226D" w:rsidRPr="002128A6" w:rsidRDefault="00FF226D" w:rsidP="0025426C">
      <w:pPr>
        <w:spacing w:after="0" w:line="240" w:lineRule="auto"/>
        <w:ind w:firstLine="284"/>
        <w:jc w:val="both"/>
        <w:rPr>
          <w:rFonts w:ascii="Garamond" w:eastAsia="Times New Roman" w:hAnsi="Garamond" w:cstheme="majorBidi"/>
          <w:kern w:val="0"/>
          <w:lang w:eastAsia="it-IT"/>
          <w14:ligatures w14:val="none"/>
        </w:rPr>
      </w:pPr>
    </w:p>
    <w:p w14:paraId="6DF72AC5" w14:textId="77777777" w:rsidR="00FF226D" w:rsidRPr="002128A6" w:rsidRDefault="00BE490C" w:rsidP="00FF226D">
      <w:pPr>
        <w:pStyle w:val="Heading1"/>
        <w:spacing w:before="0" w:after="0" w:line="240" w:lineRule="auto"/>
        <w:jc w:val="center"/>
        <w:rPr>
          <w:rFonts w:ascii="Garamond" w:hAnsi="Garamond"/>
          <w:color w:val="auto"/>
          <w:sz w:val="24"/>
          <w:szCs w:val="24"/>
        </w:rPr>
      </w:pPr>
      <w:bookmarkStart w:id="42" w:name="_Toc227770710"/>
      <w:bookmarkStart w:id="43" w:name="_Toc233371581"/>
      <w:r w:rsidRPr="002128A6">
        <w:rPr>
          <w:rFonts w:ascii="Garamond" w:hAnsi="Garamond"/>
          <w:color w:val="auto"/>
          <w:sz w:val="24"/>
          <w:szCs w:val="24"/>
        </w:rPr>
        <w:t>PJESA II</w:t>
      </w:r>
    </w:p>
    <w:p w14:paraId="7D67A927" w14:textId="34A47401" w:rsidR="00BE490C" w:rsidRPr="002128A6" w:rsidRDefault="00BE490C" w:rsidP="00FF226D">
      <w:pPr>
        <w:pStyle w:val="Heading1"/>
        <w:spacing w:before="0" w:after="0" w:line="240" w:lineRule="auto"/>
        <w:jc w:val="center"/>
        <w:rPr>
          <w:rFonts w:ascii="Garamond" w:hAnsi="Garamond"/>
          <w:color w:val="auto"/>
          <w:sz w:val="24"/>
          <w:szCs w:val="24"/>
        </w:rPr>
      </w:pPr>
      <w:r w:rsidRPr="002128A6">
        <w:rPr>
          <w:rFonts w:ascii="Garamond" w:hAnsi="Garamond"/>
          <w:color w:val="auto"/>
          <w:sz w:val="24"/>
          <w:szCs w:val="24"/>
        </w:rPr>
        <w:t>QËLLIMET POLITIKE DHE OBJEKTIVAT SPECIFIKE TË DOKUMENTIT STRATEGJIK</w:t>
      </w:r>
      <w:bookmarkEnd w:id="42"/>
      <w:bookmarkEnd w:id="43"/>
    </w:p>
    <w:p w14:paraId="4FB687A2" w14:textId="77777777" w:rsidR="00FF226D" w:rsidRPr="002128A6" w:rsidRDefault="00FF226D" w:rsidP="0025426C">
      <w:pPr>
        <w:spacing w:after="0" w:line="240" w:lineRule="auto"/>
        <w:ind w:firstLine="284"/>
        <w:jc w:val="both"/>
        <w:rPr>
          <w:rFonts w:ascii="Garamond" w:hAnsi="Garamond" w:cstheme="majorBidi"/>
        </w:rPr>
      </w:pPr>
    </w:p>
    <w:p w14:paraId="5603539B" w14:textId="56563C9C" w:rsidR="004B0381" w:rsidRPr="002128A6" w:rsidRDefault="004B0381" w:rsidP="0025426C">
      <w:pPr>
        <w:spacing w:after="0" w:line="240" w:lineRule="auto"/>
        <w:ind w:firstLine="284"/>
        <w:jc w:val="both"/>
        <w:rPr>
          <w:rFonts w:ascii="Garamond" w:hAnsi="Garamond" w:cstheme="majorBidi"/>
        </w:rPr>
      </w:pPr>
      <w:r w:rsidRPr="002128A6">
        <w:rPr>
          <w:rFonts w:ascii="Garamond" w:hAnsi="Garamond" w:cstheme="majorBidi"/>
        </w:rPr>
        <w:t>Strategjia mbështetet në tr</w:t>
      </w:r>
      <w:r w:rsidR="00781F56" w:rsidRPr="002128A6">
        <w:rPr>
          <w:rFonts w:ascii="Garamond" w:hAnsi="Garamond" w:cstheme="majorBidi"/>
        </w:rPr>
        <w:t>i</w:t>
      </w:r>
      <w:r w:rsidRPr="002128A6">
        <w:rPr>
          <w:rFonts w:ascii="Garamond" w:hAnsi="Garamond" w:cstheme="majorBidi"/>
        </w:rPr>
        <w:t xml:space="preserve"> qëllime politike kryesore, të cilat përbëjnë arkitekturën operacionale të përgjigjes së Shqipërisë ndaj krimit të organizuar dhe krimeve të rënda për periudhën 2026–2030. Çdo Qëllim i Politikës adreson një dimension të veçantë të përgjigjes kombëtare (parandalimin, ndjekjen penale dhe bashkëpunimin ndërkombëtar) dhe mbështetet nga një grup Objektivash Specifikë që përkthejnë prioritetet strategjike në angazhime konkrete të matshme.</w:t>
      </w:r>
    </w:p>
    <w:p w14:paraId="51350261" w14:textId="2344B7FF"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Qëllimi </w:t>
      </w:r>
      <w:r w:rsidR="00AB45C8" w:rsidRPr="002128A6">
        <w:rPr>
          <w:rFonts w:ascii="Garamond" w:eastAsia="Arial" w:hAnsi="Garamond" w:cstheme="majorBidi"/>
          <w:b/>
          <w:bCs/>
        </w:rPr>
        <w:t xml:space="preserve">i </w:t>
      </w:r>
      <w:r w:rsidRPr="002128A6">
        <w:rPr>
          <w:rFonts w:ascii="Garamond" w:eastAsia="Arial" w:hAnsi="Garamond" w:cstheme="majorBidi"/>
          <w:b/>
          <w:bCs/>
        </w:rPr>
        <w:t>Politik</w:t>
      </w:r>
      <w:r w:rsidR="004B0381" w:rsidRPr="002128A6">
        <w:rPr>
          <w:rFonts w:ascii="Garamond" w:eastAsia="Arial" w:hAnsi="Garamond" w:cstheme="majorBidi"/>
          <w:b/>
          <w:bCs/>
        </w:rPr>
        <w:t>ës</w:t>
      </w:r>
      <w:r w:rsidRPr="002128A6">
        <w:rPr>
          <w:rFonts w:ascii="Garamond" w:eastAsia="Arial" w:hAnsi="Garamond" w:cstheme="majorBidi"/>
          <w:b/>
          <w:bCs/>
        </w:rPr>
        <w:t xml:space="preserve"> I </w:t>
      </w:r>
      <w:r w:rsidR="00FF226D" w:rsidRPr="002128A6">
        <w:rPr>
          <w:rFonts w:ascii="Garamond" w:eastAsia="Arial" w:hAnsi="Garamond" w:cstheme="majorBidi"/>
          <w:b/>
          <w:bCs/>
        </w:rPr>
        <w:t>–</w:t>
      </w:r>
      <w:r w:rsidRPr="002128A6">
        <w:rPr>
          <w:rFonts w:ascii="Garamond" w:eastAsia="Arial" w:hAnsi="Garamond" w:cstheme="majorBidi"/>
          <w:b/>
          <w:bCs/>
        </w:rPr>
        <w:t xml:space="preserve"> Parandalimi i krimit të organizuar dhe </w:t>
      </w:r>
      <w:r w:rsidR="008E6A23" w:rsidRPr="002128A6">
        <w:rPr>
          <w:rFonts w:ascii="Garamond" w:eastAsia="Arial" w:hAnsi="Garamond" w:cstheme="majorBidi"/>
          <w:b/>
          <w:bCs/>
        </w:rPr>
        <w:t xml:space="preserve">krimeve </w:t>
      </w:r>
      <w:r w:rsidRPr="002128A6">
        <w:rPr>
          <w:rFonts w:ascii="Garamond" w:eastAsia="Arial" w:hAnsi="Garamond" w:cstheme="majorBidi"/>
          <w:b/>
          <w:bCs/>
        </w:rPr>
        <w:t>penale të rënda</w:t>
      </w:r>
    </w:p>
    <w:p w14:paraId="79A92CBC" w14:textId="789AD62E"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 xml:space="preserve">Forcimi i mekanizmave ligjorë, institucionalë dhe komunitarë që </w:t>
      </w:r>
      <w:r w:rsidR="004B0381" w:rsidRPr="002128A6">
        <w:rPr>
          <w:rFonts w:ascii="Garamond" w:eastAsia="Arial" w:hAnsi="Garamond" w:cstheme="majorBidi"/>
        </w:rPr>
        <w:t>kufizojnë</w:t>
      </w:r>
      <w:r w:rsidRPr="002128A6">
        <w:rPr>
          <w:rFonts w:ascii="Garamond" w:eastAsia="Arial" w:hAnsi="Garamond" w:cstheme="majorBidi"/>
        </w:rPr>
        <w:t xml:space="preserve"> kushtet në të cilat grupet e organizuara kriminale rekrutojnë, veprojnë dhe infiltrojnë në ekonominë e ligjshme, me theks të veçantë te ndërgjegjësimi, reduktimi i cenueshmërisë, mbrojtja e dëshmitarëve dhe viktimave, kapacitetet profesionale, ndërprerja financiare dhe parandalimi administrativ.</w:t>
      </w:r>
    </w:p>
    <w:p w14:paraId="6A261EE8" w14:textId="2E91CB5D"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Qëllimi</w:t>
      </w:r>
      <w:r w:rsidR="00AB45C8" w:rsidRPr="002128A6">
        <w:rPr>
          <w:rFonts w:ascii="Garamond" w:eastAsia="Arial" w:hAnsi="Garamond" w:cstheme="majorBidi"/>
          <w:b/>
          <w:bCs/>
        </w:rPr>
        <w:t xml:space="preserve"> i</w:t>
      </w:r>
      <w:r w:rsidRPr="002128A6">
        <w:rPr>
          <w:rFonts w:ascii="Garamond" w:eastAsia="Arial" w:hAnsi="Garamond" w:cstheme="majorBidi"/>
          <w:b/>
          <w:bCs/>
        </w:rPr>
        <w:t xml:space="preserve"> Politik</w:t>
      </w:r>
      <w:r w:rsidR="004B0381" w:rsidRPr="002128A6">
        <w:rPr>
          <w:rFonts w:ascii="Garamond" w:eastAsia="Arial" w:hAnsi="Garamond" w:cstheme="majorBidi"/>
          <w:b/>
          <w:bCs/>
        </w:rPr>
        <w:t>ës</w:t>
      </w:r>
      <w:r w:rsidRPr="002128A6">
        <w:rPr>
          <w:rFonts w:ascii="Garamond" w:eastAsia="Arial" w:hAnsi="Garamond" w:cstheme="majorBidi"/>
          <w:b/>
          <w:bCs/>
        </w:rPr>
        <w:t xml:space="preserve"> II </w:t>
      </w:r>
      <w:r w:rsidR="00FF226D" w:rsidRPr="002128A6">
        <w:rPr>
          <w:rFonts w:ascii="Garamond" w:eastAsia="Arial" w:hAnsi="Garamond" w:cstheme="majorBidi"/>
          <w:b/>
          <w:bCs/>
        </w:rPr>
        <w:t>–</w:t>
      </w:r>
      <w:r w:rsidRPr="002128A6">
        <w:rPr>
          <w:rFonts w:ascii="Garamond" w:eastAsia="Arial" w:hAnsi="Garamond" w:cstheme="majorBidi"/>
          <w:b/>
          <w:bCs/>
        </w:rPr>
        <w:t xml:space="preserve"> Ndjekja penale dhe lufta kundër krimit të organizuar dhe krimeve të rënda</w:t>
      </w:r>
    </w:p>
    <w:p w14:paraId="537C98CD" w14:textId="017B78CC"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rPr>
        <w:t>Rritja e performancës së strukturave përgjegjëse për zbulimin, hetimin, ndjekjen penale dhe gjykimin e krimit të organizuar</w:t>
      </w:r>
      <w:r w:rsidRPr="002128A6">
        <w:rPr>
          <w:rFonts w:ascii="Garamond" w:eastAsia="Arial" w:hAnsi="Garamond" w:cstheme="majorBidi"/>
          <w:i/>
          <w:iCs/>
        </w:rPr>
        <w:t xml:space="preserve"> </w:t>
      </w:r>
      <w:r w:rsidRPr="002128A6">
        <w:rPr>
          <w:rFonts w:ascii="Garamond" w:eastAsia="Arial" w:hAnsi="Garamond" w:cstheme="majorBidi"/>
        </w:rPr>
        <w:t xml:space="preserve">(narkotikët, trafikimin e paligjshëm, krimin ekonomik dhe financiar, krimin kibernetik, krimin mjedisor, kapjen e të arratisurve) dhe për gjurmimin, </w:t>
      </w:r>
      <w:r w:rsidR="00FF226D" w:rsidRPr="002128A6">
        <w:rPr>
          <w:rFonts w:ascii="Garamond" w:eastAsia="Arial" w:hAnsi="Garamond" w:cstheme="majorBidi"/>
        </w:rPr>
        <w:t>sekuestrimin</w:t>
      </w:r>
      <w:r w:rsidRPr="002128A6">
        <w:rPr>
          <w:rFonts w:ascii="Garamond" w:eastAsia="Arial" w:hAnsi="Garamond" w:cstheme="majorBidi"/>
        </w:rPr>
        <w:t>, konfiskimin dhe ripërdorimin e të ardhurave kriminale.</w:t>
      </w:r>
    </w:p>
    <w:p w14:paraId="6DFEC73D" w14:textId="4560A36D"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Qëllimi </w:t>
      </w:r>
      <w:r w:rsidR="00AB45C8" w:rsidRPr="002128A6">
        <w:rPr>
          <w:rFonts w:ascii="Garamond" w:eastAsia="Arial" w:hAnsi="Garamond" w:cstheme="majorBidi"/>
          <w:b/>
          <w:bCs/>
        </w:rPr>
        <w:t xml:space="preserve">i </w:t>
      </w:r>
      <w:r w:rsidRPr="002128A6">
        <w:rPr>
          <w:rFonts w:ascii="Garamond" w:eastAsia="Arial" w:hAnsi="Garamond" w:cstheme="majorBidi"/>
          <w:b/>
          <w:bCs/>
        </w:rPr>
        <w:t xml:space="preserve">Politik III </w:t>
      </w:r>
      <w:r w:rsidR="00FF226D" w:rsidRPr="002128A6">
        <w:rPr>
          <w:rFonts w:ascii="Garamond" w:eastAsia="Arial" w:hAnsi="Garamond" w:cstheme="majorBidi"/>
          <w:b/>
          <w:bCs/>
        </w:rPr>
        <w:t>–</w:t>
      </w:r>
      <w:r w:rsidRPr="002128A6">
        <w:rPr>
          <w:rFonts w:ascii="Garamond" w:eastAsia="Arial" w:hAnsi="Garamond" w:cstheme="majorBidi"/>
          <w:b/>
          <w:bCs/>
        </w:rPr>
        <w:t xml:space="preserve"> Bashkëpunimi kombëtar dhe ndërkombëtar</w:t>
      </w:r>
    </w:p>
    <w:p w14:paraId="5554A510" w14:textId="2B91CFCC" w:rsidR="004B0381" w:rsidRPr="002128A6" w:rsidRDefault="004B0381" w:rsidP="0025426C">
      <w:pPr>
        <w:spacing w:after="0" w:line="240" w:lineRule="auto"/>
        <w:ind w:firstLine="284"/>
        <w:jc w:val="both"/>
        <w:rPr>
          <w:rFonts w:ascii="Garamond" w:hAnsi="Garamond" w:cstheme="majorBidi"/>
        </w:rPr>
      </w:pPr>
      <w:bookmarkStart w:id="44" w:name="_Toc227770711"/>
      <w:r w:rsidRPr="002128A6">
        <w:rPr>
          <w:rFonts w:ascii="Garamond" w:eastAsia="Arial" w:hAnsi="Garamond" w:cstheme="majorBidi"/>
        </w:rPr>
        <w:t>Forcimi i bashkëpunimit policor dhe gjyqësor ndërmjet institucioneve dhe përtej kufijve, me pjesëmarrje të plotë dhe në kohën e duhur në kornizat e bashkëpunimit të BE-së dhe ndërkombëtare (Europol, Eurojust, EMPACT, INTERPOL, instrumente dypalëshe dhe shumëpalëshe), në mënyrë që dimensioni ndërkufitar i krimit të organizuar të përputhet me një përgjigje ekuivalente ndërkufitare.</w:t>
      </w:r>
    </w:p>
    <w:p w14:paraId="2B4D4675" w14:textId="65DDD630" w:rsidR="004B0381" w:rsidRPr="002128A6" w:rsidRDefault="004B0381" w:rsidP="0025426C">
      <w:pPr>
        <w:spacing w:after="0" w:line="240" w:lineRule="auto"/>
        <w:ind w:firstLine="284"/>
        <w:jc w:val="both"/>
        <w:rPr>
          <w:rFonts w:ascii="Garamond" w:hAnsi="Garamond" w:cstheme="majorBidi"/>
        </w:rPr>
      </w:pPr>
      <w:r w:rsidRPr="002128A6">
        <w:rPr>
          <w:rFonts w:ascii="Garamond" w:hAnsi="Garamond" w:cstheme="majorBidi"/>
        </w:rPr>
        <w:t>Tr</w:t>
      </w:r>
      <w:r w:rsidR="006666E8">
        <w:rPr>
          <w:rFonts w:ascii="Garamond" w:hAnsi="Garamond" w:cstheme="majorBidi"/>
        </w:rPr>
        <w:t>i</w:t>
      </w:r>
      <w:r w:rsidRPr="002128A6">
        <w:rPr>
          <w:rFonts w:ascii="Garamond" w:hAnsi="Garamond" w:cstheme="majorBidi"/>
        </w:rPr>
        <w:t xml:space="preserve"> Qëllimet e Politikave janë reciprokisht përforcuese: parandalimi krijon kushtet shoqërore që e bëjnë ndjekjen penale më efektive; ndjekja penale gjeneron inteligjencë financiare që ushqen përsëri parandalimin; dhe bashkëpunimi shumëfishon fush</w:t>
      </w:r>
      <w:r w:rsidRPr="002128A6">
        <w:rPr>
          <w:rFonts w:ascii="Garamond" w:eastAsia="Arial" w:hAnsi="Garamond" w:cstheme="majorBidi"/>
        </w:rPr>
        <w:t>ëveprimin</w:t>
      </w:r>
      <w:r w:rsidRPr="002128A6">
        <w:rPr>
          <w:rFonts w:ascii="Garamond" w:hAnsi="Garamond" w:cstheme="majorBidi"/>
        </w:rPr>
        <w:t xml:space="preserve"> e të dy</w:t>
      </w:r>
      <w:r w:rsidR="00FF30EB" w:rsidRPr="002128A6">
        <w:rPr>
          <w:rFonts w:ascii="Garamond" w:hAnsi="Garamond" w:cstheme="majorBidi"/>
        </w:rPr>
        <w:t>ja</w:t>
      </w:r>
      <w:r w:rsidRPr="002128A6">
        <w:rPr>
          <w:rFonts w:ascii="Garamond" w:hAnsi="Garamond" w:cstheme="majorBidi"/>
        </w:rPr>
        <w:t xml:space="preserve"> Qëllimeve të Politikave të tjera. Të tr</w:t>
      </w:r>
      <w:r w:rsidR="00FF226D" w:rsidRPr="002128A6">
        <w:rPr>
          <w:rFonts w:ascii="Garamond" w:hAnsi="Garamond" w:cstheme="majorBidi"/>
        </w:rPr>
        <w:t>ia</w:t>
      </w:r>
      <w:r w:rsidRPr="002128A6">
        <w:rPr>
          <w:rFonts w:ascii="Garamond" w:hAnsi="Garamond" w:cstheme="majorBidi"/>
        </w:rPr>
        <w:t xml:space="preserve"> së bashku, ato përbëjnë një përgjigje gjithëpërfshirëse, të bazuar në të dhëna dhe të harmonizuar me BE-në ndaj kërcënimeve të identifikuara në Pjesën I.</w:t>
      </w:r>
    </w:p>
    <w:p w14:paraId="02EFB6B9" w14:textId="408CAE19" w:rsidR="00BE490C" w:rsidRPr="002128A6" w:rsidRDefault="00BE490C" w:rsidP="00FF226D">
      <w:pPr>
        <w:pStyle w:val="Heading2"/>
        <w:spacing w:before="0" w:after="0" w:line="240" w:lineRule="auto"/>
        <w:ind w:firstLine="284"/>
        <w:jc w:val="both"/>
        <w:rPr>
          <w:rFonts w:ascii="Garamond" w:eastAsia="Times New Roman" w:hAnsi="Garamond"/>
          <w:color w:val="auto"/>
          <w:sz w:val="24"/>
          <w:szCs w:val="24"/>
        </w:rPr>
      </w:pPr>
      <w:bookmarkStart w:id="45" w:name="_Toc233371582"/>
      <w:r w:rsidRPr="002128A6">
        <w:rPr>
          <w:rFonts w:ascii="Garamond" w:eastAsia="Times New Roman" w:hAnsi="Garamond"/>
          <w:color w:val="auto"/>
          <w:sz w:val="24"/>
          <w:szCs w:val="24"/>
        </w:rPr>
        <w:t xml:space="preserve">2.1 QËLLIMI </w:t>
      </w:r>
      <w:r w:rsidR="00A36403" w:rsidRPr="002128A6">
        <w:rPr>
          <w:rFonts w:ascii="Garamond" w:eastAsia="Times New Roman" w:hAnsi="Garamond"/>
          <w:color w:val="auto"/>
          <w:sz w:val="24"/>
          <w:szCs w:val="24"/>
        </w:rPr>
        <w:t xml:space="preserve">I </w:t>
      </w:r>
      <w:r w:rsidRPr="002128A6">
        <w:rPr>
          <w:rFonts w:ascii="Garamond" w:eastAsia="Times New Roman" w:hAnsi="Garamond"/>
          <w:color w:val="auto"/>
          <w:sz w:val="24"/>
          <w:szCs w:val="24"/>
        </w:rPr>
        <w:t>POLITIK</w:t>
      </w:r>
      <w:r w:rsidR="00A36403" w:rsidRPr="002128A6">
        <w:rPr>
          <w:rFonts w:ascii="Garamond" w:eastAsia="Times New Roman" w:hAnsi="Garamond"/>
          <w:color w:val="auto"/>
          <w:sz w:val="24"/>
          <w:szCs w:val="24"/>
        </w:rPr>
        <w:t>ËS</w:t>
      </w:r>
      <w:r w:rsidRPr="002128A6">
        <w:rPr>
          <w:rFonts w:ascii="Garamond" w:eastAsia="Times New Roman" w:hAnsi="Garamond"/>
          <w:color w:val="auto"/>
          <w:sz w:val="24"/>
          <w:szCs w:val="24"/>
        </w:rPr>
        <w:t xml:space="preserve"> I: PARANDALIMI I KRIMIT TË ORGANIZUAR DHE </w:t>
      </w:r>
      <w:r w:rsidR="007B2D8C" w:rsidRPr="002128A6">
        <w:rPr>
          <w:rFonts w:ascii="Garamond" w:eastAsia="Times New Roman" w:hAnsi="Garamond"/>
          <w:color w:val="auto"/>
          <w:sz w:val="24"/>
          <w:szCs w:val="24"/>
        </w:rPr>
        <w:t>KRIMEVE</w:t>
      </w:r>
      <w:r w:rsidRPr="002128A6">
        <w:rPr>
          <w:rFonts w:ascii="Garamond" w:eastAsia="Times New Roman" w:hAnsi="Garamond"/>
          <w:color w:val="auto"/>
          <w:sz w:val="24"/>
          <w:szCs w:val="24"/>
        </w:rPr>
        <w:t xml:space="preserve"> TË RËNDA</w:t>
      </w:r>
      <w:bookmarkEnd w:id="44"/>
      <w:bookmarkEnd w:id="45"/>
      <w:r w:rsidR="00F54824" w:rsidRPr="002128A6">
        <w:rPr>
          <w:rFonts w:ascii="Garamond" w:eastAsia="Times New Roman" w:hAnsi="Garamond"/>
          <w:color w:val="auto"/>
          <w:sz w:val="24"/>
          <w:szCs w:val="24"/>
        </w:rPr>
        <w:t xml:space="preserve"> </w:t>
      </w:r>
    </w:p>
    <w:p w14:paraId="53F13711" w14:textId="5D16162F" w:rsidR="00D6326A" w:rsidRPr="002128A6" w:rsidRDefault="00D6326A" w:rsidP="0025426C">
      <w:pPr>
        <w:spacing w:after="0" w:line="240" w:lineRule="auto"/>
        <w:ind w:firstLine="284"/>
        <w:jc w:val="both"/>
        <w:rPr>
          <w:rFonts w:ascii="Garamond" w:hAnsi="Garamond" w:cstheme="majorBidi"/>
        </w:rPr>
      </w:pPr>
      <w:r w:rsidRPr="002128A6">
        <w:rPr>
          <w:rFonts w:ascii="Garamond" w:hAnsi="Garamond" w:cstheme="majorBidi"/>
        </w:rPr>
        <w:t xml:space="preserve">Parandalimi i krimit të organizuar dhe veprave penale të rënda përbën një nga prioritetet kryesore të qeverisë shqiptare dhe Ministrisë së </w:t>
      </w:r>
      <w:r w:rsidRPr="002128A6">
        <w:rPr>
          <w:rFonts w:ascii="Garamond" w:eastAsia="Times New Roman" w:hAnsi="Garamond" w:cstheme="majorBidi"/>
        </w:rPr>
        <w:t>Brendshme</w:t>
      </w:r>
      <w:r w:rsidRPr="002128A6">
        <w:rPr>
          <w:rFonts w:ascii="Garamond" w:hAnsi="Garamond" w:cstheme="majorBidi"/>
        </w:rPr>
        <w:t xml:space="preserve">. Kjo strategji thekson parandalimin si mekanizmin më efektiv dhe afatgjatë për rritjen e sigurisë publike, forcimin e sundimit të ligjit dhe reduktimin e ndikimit të faktorëve që gjenerojnë kriminalitetin. Në këtë kontekst, Shqipëria synon të harmonizohet plotësisht me qasjen e BE-së, e cila në strategjitë e saj nxjerr në pah parandalimin e krimit të organizuar </w:t>
      </w:r>
      <w:r w:rsidRPr="002128A6">
        <w:rPr>
          <w:rFonts w:ascii="Garamond" w:hAnsi="Garamond" w:cstheme="majorBidi"/>
        </w:rPr>
        <w:lastRenderedPageBreak/>
        <w:t>përmes analizës së rrezikut, trajtimit të ekonomisë kriminale, forcimit të integritetit institucional, ndërtimit të kapaciteteve hetimore dhe, në veçanti, përfshirjes së faktorëve socialë, ekonomikë dhe gjinorë që ndikojnë në shfaqjen dhe përhapjen e këtij fenomeni.</w:t>
      </w:r>
    </w:p>
    <w:p w14:paraId="3916BD0A" w14:textId="732DBB85" w:rsidR="00D6326A" w:rsidRPr="002128A6" w:rsidRDefault="00D6326A"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 xml:space="preserve">Në përputhje me këtë qasje evropiane, kjo strategjia synon përmirësimin dhe harmonizimin e kornizës ligjore me </w:t>
      </w:r>
      <w:r w:rsidR="006815D8" w:rsidRPr="002128A6">
        <w:rPr>
          <w:rFonts w:ascii="Garamond" w:eastAsia="Times New Roman" w:hAnsi="Garamond" w:cstheme="majorBidi"/>
          <w:i/>
          <w:iCs/>
        </w:rPr>
        <w:t xml:space="preserve">Acquis </w:t>
      </w:r>
      <w:r w:rsidRPr="002128A6">
        <w:rPr>
          <w:rFonts w:ascii="Garamond" w:eastAsia="Times New Roman" w:hAnsi="Garamond" w:cstheme="majorBidi"/>
        </w:rPr>
        <w:t>të BE-së, forcimin e kapaciteteve njerëzore dhe teknologjike të institucioneve të zbatimit të ligjit, si dhe vendosjen e mekanizmave të qëndrueshëm parandalimi përmes politikave të bazuara në të dhëna. Strategjia bazohet në vizionin për të mbrojtur qytetarët dhe zhvillimin e vendit nga kërcënimet e brendshme dhe të jashtme, duke u fokusuar në reduktimin e rreziqeve që krijojnë terren për aktivitetet kriminale dhe në rritjen e fuqisë parandaluese të shtetit.</w:t>
      </w:r>
    </w:p>
    <w:p w14:paraId="19F3F21A"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Ky dokument synon të shërbejë si udhëzues gjithëpërfshirës për parandalimin dhe luftimin e aktiviteteve të paligjshme përmes koordinimit efektiv midis qeverisë, sektorit privat, komunitetit dhe vetë qytetarëve. Në përputhje me praktikat e BE-së, ku parandalimi mbështetet nga qasjet e integruara komunitare, programet e parandalimit social, lufta kundër korrupsionit dhe transparenca publike, strategjia synon të ndërtojë një mjedis ku fenomenet kriminale identifikohen dhe neutralizohen në fazat e tyre të hershme.</w:t>
      </w:r>
    </w:p>
    <w:p w14:paraId="3E9B7F53" w14:textId="130497EF"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hAnsi="Garamond" w:cstheme="majorBidi"/>
        </w:rPr>
        <w:t xml:space="preserve">SKKOKR </w:t>
      </w:r>
      <w:r w:rsidRPr="002128A6">
        <w:rPr>
          <w:rFonts w:ascii="Garamond" w:eastAsia="Times New Roman" w:hAnsi="Garamond" w:cstheme="majorBidi"/>
        </w:rPr>
        <w:t xml:space="preserve">parashikon edhe forcimin e kapaciteteve aktuale dhe zhvillimin e kapaciteteve të reja në fusha kritike si analiza kriminale, inteligjenca financiare dhe përdorimi i teknologjive moderne për monitorimin e aktiviteteve kriminale. Duke forcuar aftësinë e institucioneve për të mbledhur, analizuar dhe vlerësuar të dhënat, rritet kapaciteti parashikues dhe aftësia për të ndërhyrë në kohë, në përputhje me praktikat e BE-së që e konsiderojnë analizën proaktive të </w:t>
      </w:r>
      <w:r w:rsidR="00D6326A" w:rsidRPr="002128A6">
        <w:rPr>
          <w:rFonts w:ascii="Garamond" w:eastAsia="Times New Roman" w:hAnsi="Garamond" w:cstheme="majorBidi"/>
        </w:rPr>
        <w:t>rrezikut</w:t>
      </w:r>
      <w:r w:rsidRPr="002128A6">
        <w:rPr>
          <w:rFonts w:ascii="Garamond" w:eastAsia="Times New Roman" w:hAnsi="Garamond" w:cstheme="majorBidi"/>
        </w:rPr>
        <w:t xml:space="preserve"> si themelin e politikave të suksesshme parandaluese. Gjurmimi, </w:t>
      </w:r>
      <w:r w:rsidR="00244B67" w:rsidRPr="002128A6">
        <w:rPr>
          <w:rFonts w:ascii="Garamond" w:eastAsia="Times New Roman" w:hAnsi="Garamond" w:cstheme="majorBidi"/>
        </w:rPr>
        <w:t>sekuestrim</w:t>
      </w:r>
      <w:r w:rsidR="000E5904" w:rsidRPr="002128A6">
        <w:rPr>
          <w:rFonts w:ascii="Garamond" w:eastAsia="Times New Roman" w:hAnsi="Garamond" w:cstheme="majorBidi"/>
        </w:rPr>
        <w:t>i</w:t>
      </w:r>
      <w:r w:rsidRPr="002128A6">
        <w:rPr>
          <w:rFonts w:ascii="Garamond" w:eastAsia="Times New Roman" w:hAnsi="Garamond" w:cstheme="majorBidi"/>
        </w:rPr>
        <w:t xml:space="preserve"> dhe konfiskimi i aseteve kriminale, si një nga prioritetet qendrore të BE-së në parandalimin e ekonomisë së krimit, zë gjithashtu një vend të rëndësishëm në këtë strategji, duke synuar dobësimin strukturor të grupeve kriminale që nga faza e burimeve financiare.</w:t>
      </w:r>
    </w:p>
    <w:p w14:paraId="6E706F9D" w14:textId="6152D86B" w:rsidR="00BE490C" w:rsidRPr="002128A6" w:rsidRDefault="00BE490C" w:rsidP="0025426C">
      <w:pPr>
        <w:spacing w:after="0" w:line="240" w:lineRule="auto"/>
        <w:ind w:firstLine="284"/>
        <w:jc w:val="both"/>
        <w:rPr>
          <w:rFonts w:ascii="Garamond" w:hAnsi="Garamond" w:cstheme="majorBidi"/>
        </w:rPr>
      </w:pPr>
      <w:r w:rsidRPr="002128A6">
        <w:rPr>
          <w:rFonts w:ascii="Garamond" w:eastAsia="Times New Roman" w:hAnsi="Garamond" w:cstheme="majorBidi"/>
        </w:rPr>
        <w:t xml:space="preserve">Në këtë mënyrë, strategjia synon jo vetëm të ndëshkojë pas faktit, por të parandalojë në mënyrë inteligjente dhe të qëndrueshme krimin e organizuar, duke </w:t>
      </w:r>
      <w:r w:rsidR="00D6326A" w:rsidRPr="002128A6">
        <w:rPr>
          <w:rFonts w:ascii="Garamond" w:eastAsia="Times New Roman" w:hAnsi="Garamond" w:cstheme="majorBidi"/>
        </w:rPr>
        <w:t>materializuar</w:t>
      </w:r>
      <w:r w:rsidRPr="002128A6">
        <w:rPr>
          <w:rFonts w:ascii="Garamond" w:eastAsia="Times New Roman" w:hAnsi="Garamond" w:cstheme="majorBidi"/>
        </w:rPr>
        <w:t xml:space="preserve"> plotësisht parimet, standardet dhe praktikat e përdorura nga BE-ja në këtë fushë.</w:t>
      </w:r>
    </w:p>
    <w:p w14:paraId="3A130860" w14:textId="304A798F" w:rsidR="00D6326A" w:rsidRPr="002128A6" w:rsidRDefault="00D6326A"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 xml:space="preserve">Prioritetet, objektivat dhe masat konkrete të parashikuara në këtë strategji janë organizuar dhe synojnë të adresojnë tri çështje kyçe në luftën kundër krimit të organizuar dhe krimeve të rënda: </w:t>
      </w:r>
      <w:r w:rsidRPr="002128A6">
        <w:rPr>
          <w:rFonts w:ascii="Garamond" w:eastAsia="Times New Roman" w:hAnsi="Garamond" w:cstheme="majorBidi"/>
          <w:b/>
          <w:bCs/>
        </w:rPr>
        <w:t>1</w:t>
      </w:r>
      <w:r w:rsidR="00A0162F" w:rsidRPr="002128A6">
        <w:rPr>
          <w:rFonts w:ascii="Garamond" w:eastAsia="Times New Roman" w:hAnsi="Garamond" w:cstheme="majorBidi"/>
          <w:b/>
          <w:bCs/>
        </w:rPr>
        <w:t>.</w:t>
      </w:r>
      <w:r w:rsidRPr="002128A6">
        <w:rPr>
          <w:rFonts w:ascii="Garamond" w:eastAsia="Times New Roman" w:hAnsi="Garamond" w:cstheme="majorBidi"/>
          <w:b/>
          <w:bCs/>
        </w:rPr>
        <w:t xml:space="preserve"> Parandalimi</w:t>
      </w:r>
      <w:r w:rsidR="00A0162F" w:rsidRPr="002128A6">
        <w:rPr>
          <w:rFonts w:ascii="Garamond" w:eastAsia="Times New Roman" w:hAnsi="Garamond" w:cstheme="majorBidi"/>
          <w:b/>
          <w:bCs/>
        </w:rPr>
        <w:t xml:space="preserve">; </w:t>
      </w:r>
      <w:r w:rsidRPr="002128A6">
        <w:rPr>
          <w:rFonts w:ascii="Garamond" w:eastAsia="Times New Roman" w:hAnsi="Garamond" w:cstheme="majorBidi"/>
          <w:b/>
          <w:bCs/>
        </w:rPr>
        <w:t>2</w:t>
      </w:r>
      <w:r w:rsidR="00A0162F" w:rsidRPr="002128A6">
        <w:rPr>
          <w:rFonts w:ascii="Garamond" w:eastAsia="Times New Roman" w:hAnsi="Garamond" w:cstheme="majorBidi"/>
          <w:b/>
          <w:bCs/>
        </w:rPr>
        <w:t>.</w:t>
      </w:r>
      <w:r w:rsidRPr="002128A6">
        <w:rPr>
          <w:rFonts w:ascii="Garamond" w:eastAsia="Times New Roman" w:hAnsi="Garamond" w:cstheme="majorBidi"/>
          <w:b/>
          <w:bCs/>
        </w:rPr>
        <w:t xml:space="preserve"> Ndërprerja përmes </w:t>
      </w:r>
      <w:r w:rsidR="00E31806" w:rsidRPr="002128A6">
        <w:rPr>
          <w:rFonts w:ascii="Garamond" w:eastAsia="Times New Roman" w:hAnsi="Garamond" w:cstheme="majorBidi"/>
          <w:b/>
          <w:bCs/>
        </w:rPr>
        <w:t>ndjekjes</w:t>
      </w:r>
      <w:r w:rsidRPr="002128A6">
        <w:rPr>
          <w:rFonts w:ascii="Garamond" w:eastAsia="Times New Roman" w:hAnsi="Garamond" w:cstheme="majorBidi"/>
          <w:b/>
          <w:bCs/>
        </w:rPr>
        <w:t xml:space="preserve"> penale</w:t>
      </w:r>
      <w:r w:rsidR="00A0162F" w:rsidRPr="002128A6">
        <w:rPr>
          <w:rFonts w:ascii="Garamond" w:eastAsia="Times New Roman" w:hAnsi="Garamond" w:cstheme="majorBidi"/>
          <w:b/>
          <w:bCs/>
        </w:rPr>
        <w:t xml:space="preserve">; </w:t>
      </w:r>
      <w:r w:rsidRPr="002128A6">
        <w:rPr>
          <w:rFonts w:ascii="Garamond" w:eastAsia="Times New Roman" w:hAnsi="Garamond" w:cstheme="majorBidi"/>
          <w:b/>
          <w:bCs/>
        </w:rPr>
        <w:t>3</w:t>
      </w:r>
      <w:r w:rsidR="00A0162F" w:rsidRPr="002128A6">
        <w:rPr>
          <w:rFonts w:ascii="Garamond" w:eastAsia="Times New Roman" w:hAnsi="Garamond" w:cstheme="majorBidi"/>
          <w:b/>
          <w:bCs/>
        </w:rPr>
        <w:t>.</w:t>
      </w:r>
      <w:r w:rsidRPr="002128A6">
        <w:rPr>
          <w:rFonts w:ascii="Garamond" w:eastAsia="Times New Roman" w:hAnsi="Garamond" w:cstheme="majorBidi"/>
          <w:b/>
          <w:bCs/>
        </w:rPr>
        <w:t xml:space="preserve"> Bashkëpunimi Kombëtar dhe Ndërkombëtar.</w:t>
      </w:r>
      <w:r w:rsidRPr="002128A6">
        <w:rPr>
          <w:rFonts w:ascii="Garamond" w:eastAsia="Times New Roman" w:hAnsi="Garamond" w:cstheme="majorBidi"/>
        </w:rPr>
        <w:t xml:space="preserve"> </w:t>
      </w:r>
    </w:p>
    <w:p w14:paraId="67B4208D" w14:textId="011B64EE"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kern w:val="0"/>
          <w14:ligatures w14:val="none"/>
        </w:rPr>
        <w:t xml:space="preserve">Për qëllimin e parandalimit të krimit të organizuar dhe krimeve të rënda, është e nevojshme të ndërmerren masa të koordinuara dhe efektive që adresojnë faktorët që favorizojnë zhvillimin e aktiviteteve kriminale, përfshirë forcimin e kapaciteteve të institucioneve ligjzbatuese, si dhe bashkëpunimin e ngushtë midis aktorëve të ndryshëm në nivel ndërinstitucional dhe ndërkombëtar. </w:t>
      </w:r>
    </w:p>
    <w:p w14:paraId="0451A388" w14:textId="45EE194F" w:rsidR="00BE490C" w:rsidRPr="002128A6" w:rsidRDefault="00BE490C" w:rsidP="0025426C">
      <w:pPr>
        <w:pStyle w:val="Heading3"/>
        <w:spacing w:before="0" w:after="0" w:line="240" w:lineRule="auto"/>
        <w:ind w:firstLine="284"/>
        <w:jc w:val="both"/>
        <w:rPr>
          <w:rFonts w:ascii="Garamond" w:eastAsia="Times New Roman" w:hAnsi="Garamond"/>
          <w:color w:val="auto"/>
          <w:sz w:val="24"/>
          <w:szCs w:val="24"/>
          <w:lang w:eastAsia="en-GB"/>
        </w:rPr>
      </w:pPr>
      <w:bookmarkStart w:id="46" w:name="_Toc233371583"/>
      <w:r w:rsidRPr="002128A6">
        <w:rPr>
          <w:rFonts w:ascii="Garamond" w:eastAsia="Times New Roman" w:hAnsi="Garamond"/>
          <w:b/>
          <w:bCs/>
          <w:color w:val="auto"/>
          <w:sz w:val="24"/>
          <w:szCs w:val="24"/>
          <w:lang w:eastAsia="en-GB"/>
        </w:rPr>
        <w:t>Objektivi Specifik 1.1:</w:t>
      </w:r>
      <w:r w:rsidR="00F54824" w:rsidRPr="002128A6">
        <w:rPr>
          <w:rFonts w:ascii="Garamond" w:eastAsia="Times New Roman" w:hAnsi="Garamond"/>
          <w:b/>
          <w:bCs/>
          <w:color w:val="auto"/>
          <w:sz w:val="24"/>
          <w:szCs w:val="24"/>
          <w:lang w:eastAsia="en-GB"/>
        </w:rPr>
        <w:t xml:space="preserve"> </w:t>
      </w:r>
      <w:r w:rsidRPr="002128A6">
        <w:rPr>
          <w:rFonts w:ascii="Garamond" w:eastAsia="Times New Roman" w:hAnsi="Garamond"/>
          <w:b/>
          <w:bCs/>
          <w:color w:val="auto"/>
          <w:sz w:val="24"/>
          <w:szCs w:val="24"/>
          <w:lang w:eastAsia="en-GB"/>
        </w:rPr>
        <w:t xml:space="preserve">Rritja </w:t>
      </w:r>
      <w:r w:rsidR="00315357" w:rsidRPr="002128A6">
        <w:rPr>
          <w:rFonts w:ascii="Garamond" w:eastAsia="Times New Roman" w:hAnsi="Garamond"/>
          <w:b/>
          <w:bCs/>
          <w:color w:val="auto"/>
          <w:sz w:val="24"/>
          <w:szCs w:val="24"/>
          <w:lang w:eastAsia="en-GB"/>
        </w:rPr>
        <w:t>e qëndrueshmërisë publike dhe institucionale ndaj krimit të organizuar përmes përmirësimit të ndërgjegjësimit, njohurive dhe angazhimit proaktiv</w:t>
      </w:r>
      <w:bookmarkEnd w:id="46"/>
    </w:p>
    <w:p w14:paraId="2A76535F" w14:textId="43EF39C5" w:rsidR="00D6326A" w:rsidRPr="002128A6" w:rsidRDefault="00D6326A" w:rsidP="0025426C">
      <w:pPr>
        <w:spacing w:after="0" w:line="240" w:lineRule="auto"/>
        <w:ind w:firstLine="284"/>
        <w:jc w:val="both"/>
        <w:rPr>
          <w:rFonts w:ascii="Garamond" w:hAnsi="Garamond" w:cstheme="majorBidi"/>
        </w:rPr>
      </w:pPr>
      <w:r w:rsidRPr="002128A6">
        <w:rPr>
          <w:rFonts w:ascii="Garamond" w:hAnsi="Garamond" w:cstheme="majorBidi"/>
        </w:rPr>
        <w:t>Forcimi i rezistencës publike dhe institucionale ndaj krimit të organizuar fillon me një shoqëri të informuar mirë, të aftë për të njohur rreziqet, për t'i rezistuar ndikimit kriminal dhe për të mbështetur aktivisht përpjekjet e parandalimit. Shqipëria vazhdon të përballet me forma në zhvillim të krimit të organizuar që shfrytëzojnë cenueshmëritë sociale, presione ekonomike dhe boshllëqe në ndërgjegjësimin publik. Për këtë arsye, përmirësimi i njohurive, qëndrimeve dhe angazhimit të qytetarëve, të rinjve, profesionistëve dhe institucioneve, është thelbësor për ndërtimin e rezistencës afatgjatë ndaj infiltrimit dhe manipulimit kriminal. Parandalimi është më efektiv kur qytetarët fuqizohen me informacion të saktë, me aftësinë e të menduarit kritik dhe me rrugë të aksesueshme për bashkëpunim me institucionet.</w:t>
      </w:r>
    </w:p>
    <w:p w14:paraId="5F01A0D4" w14:textId="2B1CFB86" w:rsidR="00D6326A" w:rsidRPr="002128A6" w:rsidRDefault="00D6326A" w:rsidP="0025426C">
      <w:pPr>
        <w:spacing w:after="0" w:line="240" w:lineRule="auto"/>
        <w:ind w:firstLine="284"/>
        <w:jc w:val="both"/>
        <w:rPr>
          <w:rFonts w:ascii="Garamond" w:hAnsi="Garamond" w:cstheme="majorBidi"/>
        </w:rPr>
      </w:pPr>
      <w:r w:rsidRPr="002128A6">
        <w:rPr>
          <w:rFonts w:ascii="Garamond" w:hAnsi="Garamond" w:cstheme="majorBidi"/>
        </w:rPr>
        <w:t xml:space="preserve">Ky Objektiv Specifik fokusohet në zgjerimin dhe thellimin e përpjekjeve për ndërgjegjësim në të gjithë vendin, për të garantuar që informacioni mbi rreziqet, pasojat dhe mekanizmat e parandalimit </w:t>
      </w:r>
      <w:r w:rsidRPr="002128A6">
        <w:rPr>
          <w:rFonts w:ascii="Garamond" w:hAnsi="Garamond" w:cstheme="majorBidi"/>
        </w:rPr>
        <w:lastRenderedPageBreak/>
        <w:t>të krimit të organizuar të arrijë audienca të ndryshme, në mënyra që janë të rëndësishme për realitetet e tyre të përditshme. Fushata të përshtatura, aktivitete edukative dhe përmbajtja multimediale do të ndihmojnë në demistifikimin e krimit të organizuar, kundërshtimin e narrativave të dëmshme dhe promovimin e modeleve pozitive, veçanërisht midis të rinjve dhe grupeve të cenueshme. Integrimi i mesazheve të përgjegjshme dhe të ndjeshme ndaj gjinisë do të garantojnë që përpjekjet e parandalimit të adresojnë rreziqet e diferencuara me të cilat përballen gratë, burrat, vajzat dhe djemtë, dhe që të gjitha grupet të jenë të pajisura me njohuritë e nevojshme për të qëndruar të sigurt dhe të qëndrueshëm.</w:t>
      </w:r>
    </w:p>
    <w:p w14:paraId="320DDCDC" w14:textId="4EF4D906" w:rsidR="00240F43" w:rsidRPr="002128A6" w:rsidRDefault="00240F43" w:rsidP="0025426C">
      <w:pPr>
        <w:spacing w:after="0" w:line="240" w:lineRule="auto"/>
        <w:ind w:firstLine="284"/>
        <w:jc w:val="both"/>
        <w:rPr>
          <w:rFonts w:ascii="Garamond" w:hAnsi="Garamond" w:cstheme="majorBidi"/>
          <w:lang w:eastAsia="en-GB"/>
        </w:rPr>
      </w:pPr>
      <w:r w:rsidRPr="002128A6">
        <w:rPr>
          <w:rFonts w:ascii="Garamond" w:hAnsi="Garamond" w:cstheme="majorBidi"/>
        </w:rPr>
        <w:t>Arritja kuptimplotë dhe e qëndrueshëm të parandalimit kërkon bashkëpunim të fortë midis institucioneve, akademikëve, shoqërisë civile dhe komuniteteve vendore. Duke mobilizuar këta aktorë dhe duke ushqyer një kulturë të përgjegjësisë së përbashkët, Shqipëria mund të forcojë kapacitetin e saj kolektiv për të parandaluar krimin e organizuar dhe për të reduktuar ndikimin e tij në shoqëri. Ministria e Punëve të Brendshme do të luajë rol qendror në koordinimin dhe monitorimin e zbatimit të këtyre masave, duke siguruar që nismat e ndërgjegjësimit të jenë të bazuara në të dhëna, gjithëpërfshirëse dhe të harmonizuara me prioritetet kombëtare. Përmes kësaj qasjeje gjithëpërfshirëse, Strategjia synon të kultivojë një shoqëri të informuar, vigjilente dhe aktivisht të angazhuar në mbrojtjen</w:t>
      </w:r>
      <w:r w:rsidR="00F54824" w:rsidRPr="002128A6">
        <w:rPr>
          <w:rFonts w:ascii="Garamond" w:hAnsi="Garamond" w:cstheme="majorBidi"/>
        </w:rPr>
        <w:t xml:space="preserve"> </w:t>
      </w:r>
      <w:r w:rsidRPr="002128A6">
        <w:rPr>
          <w:rFonts w:ascii="Garamond" w:hAnsi="Garamond" w:cstheme="majorBidi"/>
          <w:lang w:eastAsia="en-GB"/>
        </w:rPr>
        <w:t>e vlerave demokratike dhe mirëqenies së komunitetit.</w:t>
      </w:r>
    </w:p>
    <w:p w14:paraId="53566775"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Rezultatet e pritshme të këtij objektivi janë si vijon:</w:t>
      </w:r>
    </w:p>
    <w:p w14:paraId="34CBCB3F"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1: </w:t>
      </w:r>
      <w:r w:rsidRPr="002128A6">
        <w:rPr>
          <w:rFonts w:ascii="Garamond" w:eastAsia="Arial" w:hAnsi="Garamond" w:cstheme="majorBidi"/>
        </w:rPr>
        <w:t>Rritja e njohurive për rreziqet e krimit të organizuar midis grupeve të synuara.</w:t>
      </w:r>
    </w:p>
    <w:p w14:paraId="0940FE44"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2: </w:t>
      </w:r>
      <w:r w:rsidRPr="002128A6">
        <w:rPr>
          <w:rFonts w:ascii="Garamond" w:eastAsia="Arial" w:hAnsi="Garamond" w:cstheme="majorBidi"/>
        </w:rPr>
        <w:t>Përmirësim i matshëm në qëndrimet publike ndaj denoncimit të aktivitetit kriminal.</w:t>
      </w:r>
    </w:p>
    <w:p w14:paraId="1D672A08"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3: </w:t>
      </w:r>
      <w:r w:rsidRPr="002128A6">
        <w:rPr>
          <w:rFonts w:ascii="Garamond" w:eastAsia="Arial" w:hAnsi="Garamond" w:cstheme="majorBidi"/>
        </w:rPr>
        <w:t>Forcim i angazhimit të shoqërisë civile dhe akademikëve në politikën e parandalimit të krimit.</w:t>
      </w:r>
    </w:p>
    <w:p w14:paraId="19C438A5" w14:textId="77777777" w:rsidR="00BE490C" w:rsidRPr="002128A6" w:rsidRDefault="00BE490C" w:rsidP="0025426C">
      <w:pPr>
        <w:spacing w:after="0" w:line="240" w:lineRule="auto"/>
        <w:ind w:firstLine="284"/>
        <w:jc w:val="both"/>
        <w:rPr>
          <w:rFonts w:ascii="Garamond" w:hAnsi="Garamond" w:cstheme="majorBidi"/>
          <w:lang w:eastAsia="en-GB"/>
        </w:rPr>
      </w:pPr>
      <w:r w:rsidRPr="002128A6">
        <w:rPr>
          <w:rFonts w:ascii="Garamond" w:eastAsia="Arial" w:hAnsi="Garamond" w:cstheme="majorBidi"/>
        </w:rPr>
        <w:t>Ky Objektiv Specifik do të zbatohet përmes masave të mëposhtme:</w:t>
      </w:r>
    </w:p>
    <w:p w14:paraId="17BDCD36"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1.1.1:</w:t>
      </w:r>
      <w:r w:rsidRPr="002128A6">
        <w:rPr>
          <w:rFonts w:ascii="Garamond" w:eastAsia="Times New Roman" w:hAnsi="Garamond" w:cstheme="majorBidi"/>
        </w:rPr>
        <w:t xml:space="preserve"> </w:t>
      </w:r>
      <w:r w:rsidRPr="002128A6">
        <w:rPr>
          <w:rFonts w:ascii="Garamond" w:hAnsi="Garamond" w:cstheme="majorBidi"/>
        </w:rPr>
        <w:t xml:space="preserve">Përgatitja dhe zbatimi i </w:t>
      </w:r>
      <w:r w:rsidRPr="002128A6">
        <w:rPr>
          <w:rFonts w:ascii="Garamond" w:eastAsia="Times New Roman" w:hAnsi="Garamond" w:cstheme="majorBidi"/>
        </w:rPr>
        <w:t xml:space="preserve">fushatave të ndërgjegjësimit në nivel kombëtar, </w:t>
      </w:r>
      <w:r w:rsidRPr="002128A6">
        <w:rPr>
          <w:rFonts w:ascii="Garamond" w:hAnsi="Garamond" w:cstheme="majorBidi"/>
        </w:rPr>
        <w:t>të përshtatura</w:t>
      </w:r>
      <w:r w:rsidRPr="002128A6">
        <w:rPr>
          <w:rFonts w:ascii="Garamond" w:eastAsia="Times New Roman" w:hAnsi="Garamond" w:cstheme="majorBidi"/>
        </w:rPr>
        <w:t xml:space="preserve"> sipas nevojave vendore dhe nevojave dhe grupeve të synuara, përfshirë institucionet e arsimit (parauniversitar), duke u fokusuar te rreziqet, pasojat dhe parandalimi i përfshirjes në aktivitete kriminale, përfshirë përmbajtjen e përgjegjshme ndaj gjinisë, të bazuar në evidencë dhe në analizë gjinore.</w:t>
      </w:r>
    </w:p>
    <w:p w14:paraId="67765E17"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1.1.2:</w:t>
      </w:r>
      <w:r w:rsidRPr="002128A6">
        <w:rPr>
          <w:rFonts w:ascii="Garamond" w:eastAsia="Times New Roman" w:hAnsi="Garamond" w:cstheme="majorBidi"/>
        </w:rPr>
        <w:t xml:space="preserve"> Organizimi i leksioneve dhe seminareve të hapura në institucionet publike dhe private të arsimit të lartë në lidhje me rastet, tendencat dhe format e shfaqjes së krimit të organizuar, me qëllim informimin dhe angazhimin në proceset e konsultimit të politikave në këtë fushë. </w:t>
      </w:r>
    </w:p>
    <w:p w14:paraId="43049184"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1.1.3:</w:t>
      </w:r>
      <w:r w:rsidRPr="002128A6">
        <w:rPr>
          <w:rFonts w:ascii="Garamond" w:eastAsia="Times New Roman" w:hAnsi="Garamond" w:cstheme="majorBidi"/>
        </w:rPr>
        <w:t xml:space="preserve"> Prodhimi dhe shpërndarja e përmbajtjeve multimediale ndërgjegjësuese mbi rreziqet dhe pasojat e krimit të organizuar, si dhe promovimi i modeleve pozitive të përshtatur për rininë dhe grupet e cenueshme, përfshirë mesazhe të ndjeshme ndaj gjinisë.</w:t>
      </w:r>
    </w:p>
    <w:p w14:paraId="214F43C8"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1.1.4:</w:t>
      </w:r>
      <w:r w:rsidRPr="002128A6">
        <w:rPr>
          <w:rFonts w:ascii="Garamond" w:eastAsia="Times New Roman" w:hAnsi="Garamond" w:cstheme="majorBidi"/>
        </w:rPr>
        <w:t xml:space="preserve"> Botimi i praktikave më të mira, manualeve dhe studimeve të përbashkëta mbi krimin financiar, korrupsionin dhe efektet e tyre negative në shoqëri.</w:t>
      </w:r>
    </w:p>
    <w:p w14:paraId="78E8066D"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1.1.5:</w:t>
      </w:r>
      <w:r w:rsidRPr="002128A6">
        <w:rPr>
          <w:rFonts w:ascii="Garamond" w:eastAsia="Times New Roman" w:hAnsi="Garamond" w:cstheme="majorBidi"/>
        </w:rPr>
        <w:t xml:space="preserve"> </w:t>
      </w:r>
      <w:r w:rsidRPr="002128A6">
        <w:rPr>
          <w:rFonts w:ascii="Garamond" w:hAnsi="Garamond" w:cstheme="majorBidi"/>
        </w:rPr>
        <w:t xml:space="preserve">Forcimi i kapaciteteve të personelit të specializuar </w:t>
      </w:r>
      <w:r w:rsidRPr="002128A6">
        <w:rPr>
          <w:rFonts w:ascii="Garamond" w:eastAsia="Times New Roman" w:hAnsi="Garamond" w:cstheme="majorBidi"/>
        </w:rPr>
        <w:t>përgjegjës në luftën kundër trafikimit të pasurive kulturore, përmes trajnimit dhe shkëmbimit të njohurive.</w:t>
      </w:r>
    </w:p>
    <w:p w14:paraId="784B7B54" w14:textId="77777777"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rPr>
        <w:t>Për të mbështetur arritjen e këtyre Masave, do të zbatohen Aktivitetet e mëposhtme (afati kohor dhe kostoja e aktiviteteve detajohen në Planin e Veprimit).</w:t>
      </w:r>
    </w:p>
    <w:p w14:paraId="02C74FEA" w14:textId="3B9A20F3" w:rsidR="00BE490C" w:rsidRPr="002128A6" w:rsidRDefault="00EF05E1"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b/>
          <w:bCs/>
          <w:i/>
          <w:iCs/>
        </w:rPr>
        <w:t xml:space="preserve">Aktivitete për masën </w:t>
      </w:r>
      <w:r w:rsidR="00BE490C" w:rsidRPr="002128A6">
        <w:rPr>
          <w:rFonts w:ascii="Garamond" w:eastAsia="Arial" w:hAnsi="Garamond" w:cstheme="majorBidi"/>
          <w:b/>
          <w:bCs/>
          <w:i/>
          <w:iCs/>
        </w:rPr>
        <w:t>1.1.1</w:t>
      </w:r>
    </w:p>
    <w:p w14:paraId="44392945" w14:textId="790A511C"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xml:space="preserve">- Organizimi i fushatave të shënjestruara ndërgjegjësimi në nivel qendror dhe vendor, të përshtatura për audienca specifike, përfshirë institucionet parauniversitare, duke përdorur mesazhe të përshtatura sipas vendit mbi rreziqet, pasojat dhe parandalimin e krimit të organizuar. </w:t>
      </w:r>
    </w:p>
    <w:p w14:paraId="5FF10E43" w14:textId="12C4222D"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Realizimi i sesioneve të strukturuara informimi me mësues, prindër, grupe rinore dhe aktorë të komunitetit, për të përforcuar mesazhet e parandalimit dhe për të promovuar kanale të sigurta dhe të aksesueshme për raportimin dhe bashkëpunimin me institucionet.</w:t>
      </w:r>
    </w:p>
    <w:p w14:paraId="3DBD0425" w14:textId="4244BDFA" w:rsidR="0025426C" w:rsidRPr="002128A6" w:rsidRDefault="00EF05E1" w:rsidP="0025426C">
      <w:pPr>
        <w:tabs>
          <w:tab w:val="left" w:pos="4660"/>
        </w:tabs>
        <w:spacing w:after="0" w:line="240" w:lineRule="auto"/>
        <w:ind w:firstLine="284"/>
        <w:jc w:val="both"/>
        <w:rPr>
          <w:rFonts w:ascii="Garamond" w:hAnsi="Garamond"/>
        </w:rPr>
      </w:pPr>
      <w:r w:rsidRPr="002128A6">
        <w:rPr>
          <w:rFonts w:ascii="Garamond" w:hAnsi="Garamond"/>
          <w:b/>
          <w:bCs/>
          <w:i/>
          <w:iCs/>
        </w:rPr>
        <w:t xml:space="preserve">Aktivitete për masën </w:t>
      </w:r>
      <w:r w:rsidR="0025426C" w:rsidRPr="002128A6">
        <w:rPr>
          <w:rFonts w:ascii="Garamond" w:hAnsi="Garamond"/>
          <w:b/>
          <w:bCs/>
          <w:i/>
          <w:iCs/>
        </w:rPr>
        <w:t>1.1.2</w:t>
      </w:r>
    </w:p>
    <w:p w14:paraId="1754D72F" w14:textId="3B68CBD5"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lastRenderedPageBreak/>
        <w:t xml:space="preserve">- Organizimi i leksioneve dhe seminareve të hapura në institucionet publike dhe private të arsimit të lartë mbi rastet, tendencat dhe format e krimit të organizuar, duke inkurajuar dialogun e informuar dhe pjesëmarrjen e studentëve në proceset e konsultimit të politikave. </w:t>
      </w:r>
    </w:p>
    <w:p w14:paraId="2CCFF473" w14:textId="183E8433"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Angazhimi i personelit akademik, studiuesve dhe organizatave të studentëve në diskutime tematike, tryeza të rrumbullakëta dhe debate për të forcuar kontributet e bazuara në të dhëna në hartimin e politikave të parandalimit të krimit.</w:t>
      </w:r>
    </w:p>
    <w:p w14:paraId="40E1B977" w14:textId="3BFD1A87" w:rsidR="0025426C" w:rsidRPr="002128A6" w:rsidRDefault="00EF05E1" w:rsidP="0025426C">
      <w:pPr>
        <w:tabs>
          <w:tab w:val="left" w:pos="4660"/>
        </w:tabs>
        <w:spacing w:after="0" w:line="240" w:lineRule="auto"/>
        <w:ind w:firstLine="284"/>
        <w:jc w:val="both"/>
        <w:rPr>
          <w:rFonts w:ascii="Garamond" w:hAnsi="Garamond"/>
        </w:rPr>
      </w:pPr>
      <w:r w:rsidRPr="002128A6">
        <w:rPr>
          <w:rFonts w:ascii="Garamond" w:hAnsi="Garamond"/>
          <w:b/>
          <w:bCs/>
          <w:i/>
          <w:iCs/>
        </w:rPr>
        <w:t xml:space="preserve">Aktivitete për masën </w:t>
      </w:r>
      <w:r w:rsidR="0025426C" w:rsidRPr="002128A6">
        <w:rPr>
          <w:rFonts w:ascii="Garamond" w:hAnsi="Garamond"/>
          <w:b/>
          <w:bCs/>
          <w:i/>
          <w:iCs/>
        </w:rPr>
        <w:t>1.1.3</w:t>
      </w:r>
    </w:p>
    <w:p w14:paraId="2E94F455" w14:textId="23EDA9D2"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xml:space="preserve">- Prodhimi dhe shpërndarja e materialeve multimediale ndërgjegjësuese, përfshirë video, animacione dhe përmbajtje në mediat sociale, të zhvilluara në konsultim me të rinjtë dhe grupet e tjera të synuara, duke nxjerrë në pah rreziqet dhe pasojat e krimit të organizuar dhe duke promovuar modele pozitive për të rinjtë dhe grupet e cenueshme. </w:t>
      </w:r>
    </w:p>
    <w:p w14:paraId="236E1C26" w14:textId="06FEBBE5"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Integrimi në të gjitha produktet multimediale i mesazhe të përshtatura ndaj gjinisë, të bazuara në të dhëna të disagreguara sipas gjinisë dhe të hartuara në mënyrë që të shmangin përforcimin e stereotip</w:t>
      </w:r>
      <w:r w:rsidR="00A0162F" w:rsidRPr="002128A6">
        <w:rPr>
          <w:rFonts w:ascii="Garamond" w:hAnsi="Garamond"/>
        </w:rPr>
        <w:t>a</w:t>
      </w:r>
      <w:r w:rsidRPr="002128A6">
        <w:rPr>
          <w:rFonts w:ascii="Garamond" w:hAnsi="Garamond"/>
        </w:rPr>
        <w:t>ve, paragjykimeve dhe supozimeve të dëmshme lidhur me viktimat dhe autorët e krimit të organizuar, dhe shpërndarja përmes platformave të përdorura zakonisht nga të rinjtë, komunitetet vendore dhe grupet e cenueshme.</w:t>
      </w:r>
    </w:p>
    <w:p w14:paraId="523AAB48" w14:textId="3ACE8102" w:rsidR="0025426C" w:rsidRPr="002128A6" w:rsidRDefault="00EF05E1" w:rsidP="0025426C">
      <w:pPr>
        <w:tabs>
          <w:tab w:val="left" w:pos="4660"/>
        </w:tabs>
        <w:spacing w:after="0" w:line="240" w:lineRule="auto"/>
        <w:ind w:firstLine="284"/>
        <w:jc w:val="both"/>
        <w:rPr>
          <w:rFonts w:ascii="Garamond" w:hAnsi="Garamond"/>
        </w:rPr>
      </w:pPr>
      <w:r w:rsidRPr="002128A6">
        <w:rPr>
          <w:rFonts w:ascii="Garamond" w:hAnsi="Garamond"/>
          <w:b/>
          <w:bCs/>
          <w:i/>
          <w:iCs/>
        </w:rPr>
        <w:t xml:space="preserve">Aktivitete për masën </w:t>
      </w:r>
      <w:r w:rsidR="0025426C" w:rsidRPr="002128A6">
        <w:rPr>
          <w:rFonts w:ascii="Garamond" w:hAnsi="Garamond"/>
          <w:b/>
          <w:bCs/>
          <w:i/>
          <w:iCs/>
        </w:rPr>
        <w:t>1.1.4</w:t>
      </w:r>
    </w:p>
    <w:p w14:paraId="2FC9BBF4" w14:textId="066C936A"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xml:space="preserve">- Botimi i praktikave më të mira, manualeve dhe studimeve të përbashkëta mbi krimin financiar, korrupsionin dhe ndikimin e krimit të organizuar në shoqëri, në bashkëpunim me institucionet akademike dhe shoqërinë civile. </w:t>
      </w:r>
    </w:p>
    <w:p w14:paraId="693C4E77" w14:textId="1317659E"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Shpërndarja e këtyre botimeve në shkolla, bashki, institucione publike dhe organizata komunitare dhe integrimi i botimeve në aktivitetet e ndërgjegjësimit dhe trajnimit.</w:t>
      </w:r>
    </w:p>
    <w:p w14:paraId="499B085E" w14:textId="411078D1" w:rsidR="0025426C" w:rsidRPr="002128A6" w:rsidRDefault="00EF05E1" w:rsidP="0025426C">
      <w:pPr>
        <w:tabs>
          <w:tab w:val="left" w:pos="4660"/>
        </w:tabs>
        <w:spacing w:after="0" w:line="240" w:lineRule="auto"/>
        <w:ind w:firstLine="284"/>
        <w:jc w:val="both"/>
        <w:rPr>
          <w:rFonts w:ascii="Garamond" w:hAnsi="Garamond"/>
        </w:rPr>
      </w:pPr>
      <w:r w:rsidRPr="002128A6">
        <w:rPr>
          <w:rFonts w:ascii="Garamond" w:hAnsi="Garamond"/>
          <w:b/>
          <w:bCs/>
          <w:i/>
          <w:iCs/>
        </w:rPr>
        <w:t xml:space="preserve">Aktivitete për masën </w:t>
      </w:r>
      <w:r w:rsidR="0025426C" w:rsidRPr="002128A6">
        <w:rPr>
          <w:rFonts w:ascii="Garamond" w:hAnsi="Garamond"/>
          <w:b/>
          <w:bCs/>
          <w:i/>
          <w:iCs/>
        </w:rPr>
        <w:t>1.1.5</w:t>
      </w:r>
    </w:p>
    <w:p w14:paraId="5B9CCF85" w14:textId="1B4AE103"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xml:space="preserve">- Realizimi i programeve të specializuara të trajnimit për personelin përgjegjës për luftën kundër trafikimit të pasurive kulturore, duke u fokusuar në parandalimin, zbulimin dhe koordinimin ndërinstitucional. </w:t>
      </w:r>
    </w:p>
    <w:p w14:paraId="29D20533" w14:textId="77777777" w:rsidR="0025426C" w:rsidRPr="002128A6" w:rsidRDefault="0025426C" w:rsidP="0025426C">
      <w:pPr>
        <w:tabs>
          <w:tab w:val="left" w:pos="4660"/>
        </w:tabs>
        <w:spacing w:after="0" w:line="240" w:lineRule="auto"/>
        <w:ind w:firstLine="284"/>
        <w:jc w:val="both"/>
        <w:rPr>
          <w:rFonts w:ascii="Garamond" w:hAnsi="Garamond"/>
        </w:rPr>
      </w:pPr>
      <w:r w:rsidRPr="002128A6">
        <w:rPr>
          <w:rFonts w:ascii="Garamond" w:hAnsi="Garamond"/>
        </w:rPr>
        <w:t xml:space="preserve">Lehtësimi i seminareve për shkëmbimin e njohurive me ekspertë vendas dhe ndërkombëtarë për të forcuar aftësitë profesionale dhe për të </w:t>
      </w:r>
    </w:p>
    <w:p w14:paraId="5AF876F1" w14:textId="26190ECC" w:rsidR="00BE490C" w:rsidRPr="002128A6" w:rsidRDefault="0025426C" w:rsidP="0025426C">
      <w:pPr>
        <w:tabs>
          <w:tab w:val="left" w:pos="4678"/>
        </w:tabs>
        <w:spacing w:after="0" w:line="240" w:lineRule="auto"/>
        <w:ind w:firstLine="284"/>
        <w:jc w:val="both"/>
        <w:rPr>
          <w:rFonts w:ascii="Garamond" w:hAnsi="Garamond" w:cstheme="majorBidi"/>
        </w:rPr>
      </w:pPr>
      <w:r w:rsidRPr="002128A6">
        <w:rPr>
          <w:rFonts w:ascii="Garamond" w:hAnsi="Garamond" w:cstheme="majorBidi"/>
        </w:rPr>
        <w:t>-</w:t>
      </w:r>
      <w:r w:rsidR="00F54824" w:rsidRPr="002128A6">
        <w:rPr>
          <w:rFonts w:ascii="Garamond" w:hAnsi="Garamond" w:cstheme="majorBidi"/>
        </w:rPr>
        <w:t xml:space="preserve"> </w:t>
      </w:r>
      <w:r w:rsidR="00BE490C" w:rsidRPr="002128A6">
        <w:rPr>
          <w:rFonts w:ascii="Garamond" w:hAnsi="Garamond" w:cstheme="majorBidi"/>
        </w:rPr>
        <w:t>promovuar miratimin e praktikave moderne hetimore dhe parandaluese.</w:t>
      </w:r>
    </w:p>
    <w:p w14:paraId="08F7D731" w14:textId="77777777"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rPr>
        <w:t>Produktet e pritshme që do të rezultojnë janë:</w:t>
      </w:r>
    </w:p>
    <w:p w14:paraId="27072BE6" w14:textId="77777777"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1: </w:t>
      </w:r>
      <w:r w:rsidRPr="002128A6">
        <w:rPr>
          <w:rFonts w:ascii="Garamond" w:eastAsia="Arial" w:hAnsi="Garamond" w:cstheme="majorBidi"/>
        </w:rPr>
        <w:t>Numri i fushatave të ndërgjegjësimit të kryera çdo vit në nivel qendror dhe lokal.</w:t>
      </w:r>
    </w:p>
    <w:p w14:paraId="592BD9C4" w14:textId="77777777"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2: </w:t>
      </w:r>
      <w:r w:rsidRPr="002128A6">
        <w:rPr>
          <w:rFonts w:ascii="Garamond" w:eastAsia="Arial" w:hAnsi="Garamond" w:cstheme="majorBidi"/>
        </w:rPr>
        <w:t>Numri i seminareve/leksioneve të mbajtura në institucionet e arsimit të lartë.</w:t>
      </w:r>
    </w:p>
    <w:p w14:paraId="024E0B6C" w14:textId="77777777"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3: </w:t>
      </w:r>
      <w:r w:rsidRPr="002128A6">
        <w:rPr>
          <w:rFonts w:ascii="Garamond" w:eastAsia="Arial" w:hAnsi="Garamond" w:cstheme="majorBidi"/>
        </w:rPr>
        <w:t>Numri i materialeve multimediale të prodhuara dhe të shpërndara.</w:t>
      </w:r>
    </w:p>
    <w:p w14:paraId="0718F233" w14:textId="487FE11A" w:rsidR="00BE490C" w:rsidRPr="002128A6" w:rsidRDefault="00BE490C" w:rsidP="0025426C">
      <w:pPr>
        <w:tabs>
          <w:tab w:val="left" w:pos="4678"/>
        </w:tabs>
        <w:spacing w:after="0" w:line="240" w:lineRule="auto"/>
        <w:ind w:firstLine="284"/>
        <w:jc w:val="both"/>
        <w:rPr>
          <w:rFonts w:ascii="Garamond" w:eastAsia="Arial" w:hAnsi="Garamond" w:cstheme="majorBidi"/>
        </w:rPr>
      </w:pPr>
      <w:r w:rsidRPr="002128A6">
        <w:rPr>
          <w:rFonts w:ascii="Garamond" w:eastAsia="Arial" w:hAnsi="Garamond" w:cstheme="majorBidi"/>
          <w:b/>
          <w:bCs/>
        </w:rPr>
        <w:t xml:space="preserve">Produkti 4: </w:t>
      </w:r>
      <w:r w:rsidRPr="002128A6">
        <w:rPr>
          <w:rFonts w:ascii="Garamond" w:eastAsia="Arial" w:hAnsi="Garamond" w:cstheme="majorBidi"/>
        </w:rPr>
        <w:t>Numri i botimeve (manualeve, studimeve, udhëzuesve) të përgatitura dhe të qarkulluara</w:t>
      </w:r>
      <w:r w:rsidR="00EF05E1" w:rsidRPr="002128A6">
        <w:rPr>
          <w:rFonts w:ascii="Garamond" w:eastAsia="Arial" w:hAnsi="Garamond" w:cstheme="majorBidi"/>
        </w:rPr>
        <w:t>.</w:t>
      </w:r>
    </w:p>
    <w:p w14:paraId="63103856" w14:textId="57195B08"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b/>
          <w:bCs/>
        </w:rPr>
        <w:t xml:space="preserve">Institucionet </w:t>
      </w:r>
      <w:r w:rsidR="00514289" w:rsidRPr="002128A6">
        <w:rPr>
          <w:rFonts w:ascii="Garamond" w:eastAsia="Arial" w:hAnsi="Garamond" w:cstheme="majorBidi"/>
          <w:b/>
          <w:bCs/>
        </w:rPr>
        <w:t>përgjegjëse</w:t>
      </w:r>
      <w:r w:rsidRPr="002128A6">
        <w:rPr>
          <w:rFonts w:ascii="Garamond" w:eastAsia="Arial" w:hAnsi="Garamond" w:cstheme="majorBidi"/>
          <w:b/>
          <w:bCs/>
        </w:rPr>
        <w:t xml:space="preserve">: </w:t>
      </w:r>
      <w:r w:rsidR="00EF4822" w:rsidRPr="002128A6">
        <w:rPr>
          <w:rFonts w:ascii="Garamond" w:eastAsia="Arial" w:hAnsi="Garamond" w:cstheme="majorBidi"/>
        </w:rPr>
        <w:t xml:space="preserve">Policia e </w:t>
      </w:r>
      <w:r w:rsidR="00EF4822" w:rsidRPr="002128A6">
        <w:rPr>
          <w:rFonts w:ascii="Garamond" w:eastAsia="Arial" w:hAnsi="Garamond" w:cs="Times New Roman"/>
        </w:rPr>
        <w:t>Shtetit</w:t>
      </w:r>
      <w:r w:rsidR="00D55967" w:rsidRPr="002128A6">
        <w:rPr>
          <w:rFonts w:ascii="Garamond" w:hAnsi="Garamond" w:cs="Times New Roman"/>
        </w:rPr>
        <w:t>/Akademia e Sigurisë;</w:t>
      </w:r>
      <w:r w:rsidR="00B7025D" w:rsidRPr="002128A6">
        <w:rPr>
          <w:rFonts w:ascii="Garamond" w:hAnsi="Garamond" w:cs="Times New Roman"/>
        </w:rPr>
        <w:t xml:space="preserve"> </w:t>
      </w:r>
      <w:r w:rsidR="00B7025D" w:rsidRPr="002128A6">
        <w:rPr>
          <w:rFonts w:ascii="Garamond" w:eastAsia="Arial" w:hAnsi="Garamond" w:cs="Times New Roman"/>
        </w:rPr>
        <w:t>Ministria</w:t>
      </w:r>
      <w:r w:rsidR="00B7025D" w:rsidRPr="002128A6">
        <w:rPr>
          <w:rFonts w:ascii="Garamond" w:eastAsia="Arial" w:hAnsi="Garamond" w:cstheme="majorBidi"/>
        </w:rPr>
        <w:t xml:space="preserve"> e Turizmit, Kulturës dhe Sportit/Instituti Kombëtar </w:t>
      </w:r>
      <w:r w:rsidR="002A6F67" w:rsidRPr="002128A6">
        <w:rPr>
          <w:rFonts w:ascii="Garamond" w:eastAsia="Arial" w:hAnsi="Garamond" w:cstheme="majorBidi"/>
        </w:rPr>
        <w:t>i</w:t>
      </w:r>
      <w:r w:rsidR="00B7025D" w:rsidRPr="002128A6">
        <w:rPr>
          <w:rFonts w:ascii="Garamond" w:eastAsia="Arial" w:hAnsi="Garamond" w:cstheme="majorBidi"/>
        </w:rPr>
        <w:t xml:space="preserve"> Regjistrimit të </w:t>
      </w:r>
      <w:r w:rsidR="00EF05E1" w:rsidRPr="002128A6">
        <w:rPr>
          <w:rFonts w:ascii="Garamond" w:eastAsia="Arial" w:hAnsi="Garamond" w:cstheme="majorBidi"/>
        </w:rPr>
        <w:t>Trashëgimisë</w:t>
      </w:r>
      <w:r w:rsidR="00B7025D" w:rsidRPr="002128A6">
        <w:rPr>
          <w:rFonts w:ascii="Garamond" w:eastAsia="Arial" w:hAnsi="Garamond" w:cstheme="majorBidi"/>
        </w:rPr>
        <w:t xml:space="preserve"> Kulturore</w:t>
      </w:r>
      <w:r w:rsidR="00EF4822" w:rsidRPr="002128A6">
        <w:rPr>
          <w:rFonts w:ascii="Garamond" w:eastAsia="Arial" w:hAnsi="Garamond" w:cstheme="majorBidi"/>
        </w:rPr>
        <w:t>.</w:t>
      </w:r>
    </w:p>
    <w:p w14:paraId="166EA204" w14:textId="6E4E45FA" w:rsidR="00EF4822" w:rsidRPr="002128A6" w:rsidRDefault="00BE490C" w:rsidP="0025426C">
      <w:pPr>
        <w:tabs>
          <w:tab w:val="left" w:pos="4678"/>
        </w:tabs>
        <w:spacing w:after="0" w:line="240" w:lineRule="auto"/>
        <w:ind w:firstLine="284"/>
        <w:jc w:val="both"/>
        <w:rPr>
          <w:rFonts w:ascii="Garamond" w:eastAsia="Arial" w:hAnsi="Garamond" w:cstheme="majorBidi"/>
        </w:rPr>
      </w:pPr>
      <w:r w:rsidRPr="002128A6">
        <w:rPr>
          <w:rFonts w:ascii="Garamond" w:eastAsia="Arial" w:hAnsi="Garamond" w:cstheme="majorBidi"/>
          <w:b/>
          <w:bCs/>
        </w:rPr>
        <w:t xml:space="preserve">Institucionet </w:t>
      </w:r>
      <w:r w:rsidR="00514289" w:rsidRPr="002128A6">
        <w:rPr>
          <w:rFonts w:ascii="Garamond" w:eastAsia="Arial" w:hAnsi="Garamond" w:cstheme="majorBidi"/>
          <w:b/>
          <w:bCs/>
        </w:rPr>
        <w:t>mbështetëse</w:t>
      </w:r>
      <w:r w:rsidRPr="002128A6">
        <w:rPr>
          <w:rFonts w:ascii="Garamond" w:eastAsia="Arial" w:hAnsi="Garamond" w:cstheme="majorBidi"/>
          <w:b/>
          <w:bCs/>
        </w:rPr>
        <w:t xml:space="preserve">: </w:t>
      </w:r>
      <w:r w:rsidR="00EF4822" w:rsidRPr="002128A6">
        <w:rPr>
          <w:rFonts w:ascii="Garamond" w:eastAsia="Arial" w:hAnsi="Garamond" w:cstheme="majorBidi"/>
        </w:rPr>
        <w:t>Ministria e Arsimit/Agjen</w:t>
      </w:r>
      <w:r w:rsidR="00EF05E1" w:rsidRPr="002128A6">
        <w:rPr>
          <w:rFonts w:ascii="Garamond" w:eastAsia="Arial" w:hAnsi="Garamond" w:cstheme="majorBidi"/>
        </w:rPr>
        <w:t>c</w:t>
      </w:r>
      <w:r w:rsidR="001371F3" w:rsidRPr="002128A6">
        <w:rPr>
          <w:rFonts w:ascii="Garamond" w:eastAsia="Arial" w:hAnsi="Garamond" w:cstheme="majorBidi"/>
        </w:rPr>
        <w:t>i</w:t>
      </w:r>
      <w:r w:rsidR="00EF4822" w:rsidRPr="002128A6">
        <w:rPr>
          <w:rFonts w:ascii="Garamond" w:eastAsia="Arial" w:hAnsi="Garamond" w:cstheme="majorBidi"/>
        </w:rPr>
        <w:t>a</w:t>
      </w:r>
      <w:r w:rsidR="00F54824" w:rsidRPr="002128A6">
        <w:rPr>
          <w:rFonts w:ascii="Garamond" w:eastAsia="Arial" w:hAnsi="Garamond" w:cstheme="majorBidi"/>
        </w:rPr>
        <w:t xml:space="preserve"> </w:t>
      </w:r>
      <w:r w:rsidR="00EF4822" w:rsidRPr="002128A6">
        <w:rPr>
          <w:rFonts w:ascii="Garamond" w:eastAsia="Arial" w:hAnsi="Garamond" w:cstheme="majorBidi"/>
        </w:rPr>
        <w:t xml:space="preserve">Kombëtare e Arsimit Parauniversitar; </w:t>
      </w:r>
      <w:r w:rsidR="00EE658E" w:rsidRPr="002128A6">
        <w:rPr>
          <w:rFonts w:ascii="Garamond" w:eastAsia="Arial" w:hAnsi="Garamond" w:cstheme="majorBidi"/>
        </w:rPr>
        <w:t xml:space="preserve">IAL; </w:t>
      </w:r>
      <w:r w:rsidR="00EF4822" w:rsidRPr="002128A6">
        <w:rPr>
          <w:rFonts w:ascii="Garamond" w:eastAsia="Arial" w:hAnsi="Garamond" w:cstheme="majorBidi"/>
        </w:rPr>
        <w:t xml:space="preserve">Prefekti i Qarkut. </w:t>
      </w:r>
    </w:p>
    <w:p w14:paraId="752DEEFC" w14:textId="3FAE028D" w:rsidR="00EF4822" w:rsidRPr="002128A6" w:rsidRDefault="00EF4822" w:rsidP="0025426C">
      <w:pPr>
        <w:tabs>
          <w:tab w:val="left" w:pos="4678"/>
        </w:tabs>
        <w:spacing w:after="0" w:line="240" w:lineRule="auto"/>
        <w:ind w:firstLine="284"/>
        <w:jc w:val="both"/>
        <w:rPr>
          <w:rFonts w:ascii="Garamond" w:eastAsia="Arial" w:hAnsi="Garamond" w:cstheme="majorBidi"/>
          <w:b/>
          <w:bCs/>
        </w:rPr>
      </w:pPr>
      <w:r w:rsidRPr="002128A6">
        <w:rPr>
          <w:rFonts w:ascii="Garamond" w:eastAsia="Arial" w:hAnsi="Garamond" w:cstheme="majorBidi"/>
          <w:b/>
          <w:bCs/>
        </w:rPr>
        <w:t>Mbështetës të tjerë:</w:t>
      </w:r>
      <w:r w:rsidRPr="002128A6">
        <w:rPr>
          <w:rFonts w:ascii="Garamond" w:eastAsia="Arial" w:hAnsi="Garamond" w:cstheme="majorBidi"/>
        </w:rPr>
        <w:t xml:space="preserve"> EU4LEA; EUDA; OJF.</w:t>
      </w:r>
    </w:p>
    <w:p w14:paraId="5408DD0C" w14:textId="3D331B16"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rPr>
        <w:t xml:space="preserve">Rezultatet do të maten përmes </w:t>
      </w:r>
      <w:r w:rsidR="00EA76DB" w:rsidRPr="002128A6">
        <w:rPr>
          <w:rFonts w:ascii="Garamond" w:eastAsia="Arial" w:hAnsi="Garamond" w:cstheme="majorBidi"/>
        </w:rPr>
        <w:t>Treguesit</w:t>
      </w:r>
      <w:r w:rsidRPr="002128A6">
        <w:rPr>
          <w:rFonts w:ascii="Garamond" w:eastAsia="Arial" w:hAnsi="Garamond" w:cstheme="majorBidi"/>
        </w:rPr>
        <w:t xml:space="preserve"> të mëposhtëm:</w:t>
      </w:r>
    </w:p>
    <w:p w14:paraId="7314FEB5" w14:textId="02C6142E"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i/>
          <w:iCs/>
        </w:rPr>
        <w:t>Përqindja e grupeve të synuara të anketuara (</w:t>
      </w:r>
      <w:r w:rsidRPr="002128A6">
        <w:rPr>
          <w:rFonts w:ascii="Garamond" w:hAnsi="Garamond" w:cstheme="majorBidi"/>
          <w:i/>
          <w:iCs/>
        </w:rPr>
        <w:t xml:space="preserve">për shembull: </w:t>
      </w:r>
      <w:r w:rsidRPr="002128A6">
        <w:rPr>
          <w:rFonts w:ascii="Garamond" w:eastAsia="Arial" w:hAnsi="Garamond" w:cstheme="majorBidi"/>
          <w:i/>
          <w:iCs/>
        </w:rPr>
        <w:t>të rinj dhe banorë të lagjeve të identifikuara me rrezik të lartë) që raportojnë njohuri të përmirësuara mbi rreziqet e krimit të organizuar</w:t>
      </w:r>
      <w:r w:rsidR="00EF05E1" w:rsidRPr="002128A6">
        <w:rPr>
          <w:rFonts w:ascii="Garamond" w:eastAsia="Arial" w:hAnsi="Garamond" w:cstheme="majorBidi"/>
          <w:i/>
          <w:iCs/>
        </w:rPr>
        <w:t>.</w:t>
      </w:r>
    </w:p>
    <w:p w14:paraId="077C5CD2" w14:textId="77777777"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b/>
          <w:bCs/>
        </w:rPr>
        <w:t xml:space="preserve">Vlera bazë: </w:t>
      </w:r>
      <w:r w:rsidRPr="002128A6">
        <w:rPr>
          <w:rFonts w:ascii="Garamond" w:eastAsia="Arial" w:hAnsi="Garamond" w:cstheme="majorBidi"/>
        </w:rPr>
        <w:t>Vendoset në vitin 2027 përmes një anketimi të familjeve përfaqësues në nivel kombëtar të kryer me INSTAT-in.</w:t>
      </w:r>
    </w:p>
    <w:p w14:paraId="49018987" w14:textId="77777777" w:rsidR="00BE490C" w:rsidRPr="002128A6" w:rsidRDefault="00BE490C"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b/>
          <w:bCs/>
        </w:rPr>
        <w:t xml:space="preserve">Synimi deri në 2030: </w:t>
      </w:r>
      <w:r w:rsidRPr="002128A6">
        <w:rPr>
          <w:rFonts w:ascii="Garamond" w:eastAsia="Arial" w:hAnsi="Garamond" w:cstheme="majorBidi"/>
        </w:rPr>
        <w:t>+30% përmirësim kundrejt vlerës bazë deri në vitin 2030.</w:t>
      </w:r>
    </w:p>
    <w:p w14:paraId="5B05E472" w14:textId="0400ED20" w:rsidR="00BE490C" w:rsidRPr="002128A6" w:rsidRDefault="00BE490C" w:rsidP="0025426C">
      <w:pPr>
        <w:pStyle w:val="Heading3"/>
        <w:spacing w:before="0" w:after="0" w:line="240" w:lineRule="auto"/>
        <w:ind w:firstLine="284"/>
        <w:jc w:val="both"/>
        <w:rPr>
          <w:rFonts w:ascii="Garamond" w:hAnsi="Garamond"/>
          <w:color w:val="auto"/>
          <w:sz w:val="24"/>
          <w:szCs w:val="24"/>
        </w:rPr>
      </w:pPr>
      <w:bookmarkStart w:id="47" w:name="_Toc233371584"/>
      <w:r w:rsidRPr="002128A6">
        <w:rPr>
          <w:rFonts w:ascii="Garamond" w:eastAsia="Times New Roman" w:hAnsi="Garamond"/>
          <w:b/>
          <w:bCs/>
          <w:color w:val="auto"/>
          <w:sz w:val="24"/>
          <w:szCs w:val="24"/>
          <w:lang w:eastAsia="en-GB"/>
        </w:rPr>
        <w:lastRenderedPageBreak/>
        <w:t>Objektivi Specifik 1.2:</w:t>
      </w:r>
      <w:r w:rsidR="00F54824" w:rsidRPr="002128A6">
        <w:rPr>
          <w:rFonts w:ascii="Garamond" w:eastAsia="Times New Roman" w:hAnsi="Garamond"/>
          <w:b/>
          <w:bCs/>
          <w:color w:val="auto"/>
          <w:sz w:val="24"/>
          <w:szCs w:val="24"/>
          <w:lang w:eastAsia="en-GB"/>
        </w:rPr>
        <w:t xml:space="preserve"> </w:t>
      </w:r>
      <w:r w:rsidRPr="002128A6">
        <w:rPr>
          <w:rFonts w:ascii="Garamond" w:eastAsia="Times New Roman" w:hAnsi="Garamond"/>
          <w:b/>
          <w:bCs/>
          <w:color w:val="auto"/>
          <w:sz w:val="24"/>
          <w:szCs w:val="24"/>
          <w:lang w:eastAsia="en-GB"/>
        </w:rPr>
        <w:t xml:space="preserve">Reduktimi i cenueshmërisë së komuniteteve me </w:t>
      </w:r>
      <w:r w:rsidR="00EF05E1" w:rsidRPr="002128A6">
        <w:rPr>
          <w:rFonts w:ascii="Garamond" w:eastAsia="Times New Roman" w:hAnsi="Garamond"/>
          <w:b/>
          <w:bCs/>
          <w:color w:val="auto"/>
          <w:sz w:val="24"/>
          <w:szCs w:val="24"/>
          <w:lang w:eastAsia="en-GB"/>
        </w:rPr>
        <w:t>r</w:t>
      </w:r>
      <w:r w:rsidR="006938FA" w:rsidRPr="002128A6">
        <w:rPr>
          <w:rFonts w:ascii="Garamond" w:eastAsia="Times New Roman" w:hAnsi="Garamond"/>
          <w:b/>
          <w:bCs/>
          <w:color w:val="auto"/>
          <w:sz w:val="24"/>
          <w:szCs w:val="24"/>
          <w:lang w:eastAsia="en-GB"/>
        </w:rPr>
        <w:t>rezik</w:t>
      </w:r>
      <w:r w:rsidRPr="002128A6">
        <w:rPr>
          <w:rFonts w:ascii="Garamond" w:eastAsia="Times New Roman" w:hAnsi="Garamond"/>
          <w:b/>
          <w:bCs/>
          <w:color w:val="auto"/>
          <w:sz w:val="24"/>
          <w:szCs w:val="24"/>
          <w:lang w:eastAsia="en-GB"/>
        </w:rPr>
        <w:t xml:space="preserve"> duke përmirësuar aksesin në mekanizmat e mbështetjes sociale, ekonomike dhe të riintegrimit</w:t>
      </w:r>
      <w:bookmarkEnd w:id="47"/>
    </w:p>
    <w:p w14:paraId="0C19D28B" w14:textId="6A163927" w:rsidR="00BE490C" w:rsidRPr="002128A6" w:rsidRDefault="006938FA"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Zvogëlimi</w:t>
      </w:r>
      <w:r w:rsidR="00BE490C" w:rsidRPr="002128A6">
        <w:rPr>
          <w:rFonts w:ascii="Garamond" w:eastAsia="Times New Roman" w:hAnsi="Garamond" w:cstheme="majorBidi"/>
        </w:rPr>
        <w:t xml:space="preserve"> i cenueshmërisë së komuniteteve me </w:t>
      </w:r>
      <w:r w:rsidRPr="002128A6">
        <w:rPr>
          <w:rFonts w:ascii="Garamond" w:eastAsia="Times New Roman" w:hAnsi="Garamond" w:cstheme="majorBidi"/>
        </w:rPr>
        <w:t>rrezik</w:t>
      </w:r>
      <w:r w:rsidR="00BE490C" w:rsidRPr="002128A6">
        <w:rPr>
          <w:rFonts w:ascii="Garamond" w:eastAsia="Times New Roman" w:hAnsi="Garamond" w:cstheme="majorBidi"/>
        </w:rPr>
        <w:t xml:space="preserve"> është një shtyllë qendrore e qasjes parandaluese të </w:t>
      </w:r>
      <w:r w:rsidRPr="002128A6">
        <w:rPr>
          <w:rFonts w:ascii="Garamond" w:eastAsia="Times New Roman" w:hAnsi="Garamond" w:cstheme="majorBidi"/>
        </w:rPr>
        <w:t>strategjisë</w:t>
      </w:r>
      <w:r w:rsidR="00BE490C" w:rsidRPr="002128A6">
        <w:rPr>
          <w:rFonts w:ascii="Garamond" w:eastAsia="Times New Roman" w:hAnsi="Garamond" w:cstheme="majorBidi"/>
        </w:rPr>
        <w:t>, duke pranuar se përjashtimi social, vështirësitë ekonomike dhe aksesi i kufizuar në shërbimet thelbësore krijojnë terren pjellor për shfrytëzimin kriminal. Ky Objektiv Specifik fokusohet në forcimin e mekanizmave socialë, ekonomikë dhe të riintegrimit, që u mundësojnë individëve dhe komuniteteve të ndërtojnë rezistencë, të reduktojnë varësinë nga strukturat e paligjshme dhe të kenë akses në mundësi zhvillimi të ligjshme. Duke adresuar shkaqet rrënjësore që i bëjnë komunitetet të ndjeshëm ndaj krimit të organizuar, Strategjia synon të krijojë mjedise vendore më të sigurta, më të lidhura dhe më të fuqizuara.</w:t>
      </w:r>
    </w:p>
    <w:p w14:paraId="55AECBE7"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Arritja e këtij objektivi kërkon një qasje të koordinuar dhe gjithëpërfshirëse që bashkon institucionet shtetërore, qeverisjen vendore, shoqërinë civile, akademikët dhe partnerët ndërkombëtarë. Përmes vlerësimeve të synuara, shërbimeve sociale të përmirësuara, programeve të zgjeruara të riintegrimit dhe ripërdorimit strategjik të aseteve të konfiskuara në dobi të komuniteteve, Strategjia kërkon të rrisë cilësinë e jetës në zonat e cenueshme dhe të ofrojë alternativa të prekshme përkundër përfshirjes kriminale. Të dhënat e ndara sipas gjinisë dhe programimi i përgjegjshëm ndaj gjinisë garantojnë që ndërhyrjet të pasqyrojnë rreziqet dhe nevojat e diferencuara të grave, burrave, vajzave dhe djemve, veçanërisht në komunitetet ku grupet kriminale shfrytëzojnë cenueshmëritë gjinore.</w:t>
      </w:r>
    </w:p>
    <w:p w14:paraId="2DD1399B" w14:textId="329591E3"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 xml:space="preserve">Paralelisht, Strategjia promovon nisma </w:t>
      </w:r>
      <w:r w:rsidR="006938FA" w:rsidRPr="002128A6">
        <w:rPr>
          <w:rFonts w:ascii="Garamond" w:eastAsia="Times New Roman" w:hAnsi="Garamond" w:cstheme="majorBidi"/>
        </w:rPr>
        <w:t xml:space="preserve">për forcimin e </w:t>
      </w:r>
      <w:r w:rsidRPr="002128A6">
        <w:rPr>
          <w:rFonts w:ascii="Garamond" w:eastAsia="Times New Roman" w:hAnsi="Garamond" w:cstheme="majorBidi"/>
        </w:rPr>
        <w:t xml:space="preserve">rezistencës bazuar në komunitet, materiale të përshtatura parandaluese dhe kërkim të bazuar në </w:t>
      </w:r>
      <w:r w:rsidR="006938FA" w:rsidRPr="002128A6">
        <w:rPr>
          <w:rFonts w:ascii="Garamond" w:eastAsia="Times New Roman" w:hAnsi="Garamond" w:cstheme="majorBidi"/>
        </w:rPr>
        <w:t>të dhëna</w:t>
      </w:r>
      <w:r w:rsidRPr="002128A6">
        <w:rPr>
          <w:rFonts w:ascii="Garamond" w:eastAsia="Times New Roman" w:hAnsi="Garamond" w:cstheme="majorBidi"/>
        </w:rPr>
        <w:t>, për të kuptuar më mirë faktorët shtytës të krimit të dhunshëm dhe dëmin social. Forcimi i mbështetjes psikosociale në burgje, zgjerimi i trajnimit profesional dhe përmirësimi i rrugëve të riintegrimit, kontribuojnë më tej në reduktimin e recidivizmit dhe mbështetjen e stabilitetit afatgjatë social. Duke mobilizuar të gjithë aktorët përkatës dhe duke siguruar bashkëpunim të qëndrueshëm ndërmjet sektorëve, Shqipëria do të jetë e pozicionuar më mirë për të reduktuar cenueshmërinë komunitare, për të parandaluar rekrutimin kriminal dhe për të promovuar zhvillim gjithëpërfshirës. Ministria e Punëve të Brendshme do të mbikëqyrë monitorimin e këtyre masave për të siguruar efektivitetin dhe harmonizimin e tyre me prioritetet kombëtare të parandalimit.</w:t>
      </w:r>
    </w:p>
    <w:p w14:paraId="4E9BBD3C"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Rezultatet e pritshme të këtij objektivi janë si vijon:</w:t>
      </w:r>
    </w:p>
    <w:p w14:paraId="47B77D0A"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1: </w:t>
      </w:r>
      <w:r w:rsidRPr="002128A6">
        <w:rPr>
          <w:rFonts w:ascii="Garamond" w:eastAsia="Arial" w:hAnsi="Garamond" w:cstheme="majorBidi"/>
        </w:rPr>
        <w:t>Reduktimi në pikat e nxehta të identifikuara të rekrutimit të krimit të organizuar në zonat e synuara.</w:t>
      </w:r>
    </w:p>
    <w:p w14:paraId="6544C518"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2: </w:t>
      </w:r>
      <w:r w:rsidRPr="002128A6">
        <w:rPr>
          <w:rFonts w:ascii="Garamond" w:eastAsia="Arial" w:hAnsi="Garamond" w:cstheme="majorBidi"/>
        </w:rPr>
        <w:t>Ulja e normës së recidivizmit ndër pjesëmarrësit në program.</w:t>
      </w:r>
    </w:p>
    <w:p w14:paraId="1A4A091B" w14:textId="10EC080A"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3: </w:t>
      </w:r>
      <w:r w:rsidRPr="002128A6">
        <w:rPr>
          <w:rFonts w:ascii="Garamond" w:eastAsia="Arial" w:hAnsi="Garamond" w:cstheme="majorBidi"/>
        </w:rPr>
        <w:t>Forcimi i rezistencës</w:t>
      </w:r>
      <w:r w:rsidR="00D6225C" w:rsidRPr="002128A6">
        <w:rPr>
          <w:rFonts w:ascii="Garamond" w:eastAsia="Arial" w:hAnsi="Garamond" w:cstheme="majorBidi"/>
        </w:rPr>
        <w:t xml:space="preserve"> së</w:t>
      </w:r>
      <w:r w:rsidRPr="002128A6">
        <w:rPr>
          <w:rFonts w:ascii="Garamond" w:eastAsia="Arial" w:hAnsi="Garamond" w:cstheme="majorBidi"/>
        </w:rPr>
        <w:t xml:space="preserve"> komunit</w:t>
      </w:r>
      <w:r w:rsidR="00D6225C" w:rsidRPr="002128A6">
        <w:rPr>
          <w:rFonts w:ascii="Garamond" w:eastAsia="Arial" w:hAnsi="Garamond" w:cstheme="majorBidi"/>
        </w:rPr>
        <w:t>eteve</w:t>
      </w:r>
      <w:r w:rsidRPr="002128A6">
        <w:rPr>
          <w:rFonts w:ascii="Garamond" w:eastAsia="Arial" w:hAnsi="Garamond" w:cstheme="majorBidi"/>
        </w:rPr>
        <w:t xml:space="preserve"> dhe reduktimi i kushteve </w:t>
      </w:r>
      <w:r w:rsidR="00D6225C" w:rsidRPr="002128A6">
        <w:rPr>
          <w:rFonts w:ascii="Garamond" w:eastAsia="Arial" w:hAnsi="Garamond" w:cstheme="majorBidi"/>
        </w:rPr>
        <w:t>shoqërore</w:t>
      </w:r>
      <w:r w:rsidRPr="002128A6">
        <w:rPr>
          <w:rFonts w:ascii="Garamond" w:eastAsia="Arial" w:hAnsi="Garamond" w:cstheme="majorBidi"/>
        </w:rPr>
        <w:t xml:space="preserve"> që mundësojnë krimin e organizuar.</w:t>
      </w:r>
    </w:p>
    <w:p w14:paraId="254C0D0E" w14:textId="164411F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Arial" w:hAnsi="Garamond" w:cstheme="majorBidi"/>
        </w:rPr>
        <w:t>Ky Objektiv Specifik do të zbatohet përmes Masave të mëposhtme:</w:t>
      </w:r>
      <w:r w:rsidR="00F54824" w:rsidRPr="002128A6">
        <w:rPr>
          <w:rFonts w:ascii="Garamond" w:eastAsia="Arial" w:hAnsi="Garamond" w:cstheme="majorBidi"/>
        </w:rPr>
        <w:t xml:space="preserve"> </w:t>
      </w:r>
    </w:p>
    <w:p w14:paraId="719D870F"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1.2.1:</w:t>
      </w:r>
      <w:r w:rsidRPr="002128A6">
        <w:rPr>
          <w:rFonts w:ascii="Garamond" w:eastAsia="Times New Roman" w:hAnsi="Garamond" w:cstheme="majorBidi"/>
        </w:rPr>
        <w:t xml:space="preserve"> Identifikimi dhe analizimi i zonave gjeografike, komuniteteve dhe grupeve sociale që janë të prekura dhe të cenueshme nga strukturat e paligjshme dhe aktivitetet kriminale, duke përdorur të dhëna të ndara sipas gjinisë.</w:t>
      </w:r>
    </w:p>
    <w:p w14:paraId="43533466" w14:textId="468B6A1A" w:rsidR="00BE490C" w:rsidRPr="002128A6" w:rsidRDefault="00BE490C" w:rsidP="0025426C">
      <w:pPr>
        <w:spacing w:after="0" w:line="240" w:lineRule="auto"/>
        <w:ind w:firstLine="284"/>
        <w:jc w:val="both"/>
        <w:rPr>
          <w:rFonts w:ascii="Garamond" w:hAnsi="Garamond" w:cstheme="majorBidi"/>
        </w:rPr>
      </w:pPr>
      <w:r w:rsidRPr="002128A6">
        <w:rPr>
          <w:rFonts w:ascii="Garamond" w:eastAsia="Times New Roman" w:hAnsi="Garamond" w:cstheme="majorBidi"/>
          <w:b/>
          <w:bCs/>
        </w:rPr>
        <w:t>Masa 1.2.2:</w:t>
      </w:r>
      <w:r w:rsidRPr="002128A6">
        <w:rPr>
          <w:rFonts w:ascii="Garamond" w:eastAsia="Times New Roman" w:hAnsi="Garamond" w:cstheme="majorBidi"/>
        </w:rPr>
        <w:t xml:space="preserve"> Inkurajimi dhe </w:t>
      </w:r>
      <w:r w:rsidR="00FD1A88" w:rsidRPr="002128A6">
        <w:rPr>
          <w:rFonts w:ascii="Garamond" w:eastAsia="Times New Roman" w:hAnsi="Garamond" w:cstheme="majorBidi"/>
        </w:rPr>
        <w:t>nxitja</w:t>
      </w:r>
      <w:r w:rsidRPr="002128A6">
        <w:rPr>
          <w:rFonts w:ascii="Garamond" w:eastAsia="Times New Roman" w:hAnsi="Garamond" w:cstheme="majorBidi"/>
        </w:rPr>
        <w:t xml:space="preserve"> </w:t>
      </w:r>
      <w:r w:rsidR="00FD1A88" w:rsidRPr="002128A6">
        <w:rPr>
          <w:rFonts w:ascii="Garamond" w:eastAsia="Times New Roman" w:hAnsi="Garamond" w:cstheme="majorBidi"/>
        </w:rPr>
        <w:t>e</w:t>
      </w:r>
      <w:r w:rsidRPr="002128A6">
        <w:rPr>
          <w:rFonts w:ascii="Garamond" w:eastAsia="Times New Roman" w:hAnsi="Garamond" w:cstheme="majorBidi"/>
        </w:rPr>
        <w:t xml:space="preserve"> transferimit të pronave/aseteve të konfiskuara në pronësi të njësive të qeverisjes vendore, në mënyrë që të përdoren për qëllime sociale</w:t>
      </w:r>
      <w:r w:rsidRPr="002128A6">
        <w:rPr>
          <w:rFonts w:ascii="Garamond" w:hAnsi="Garamond" w:cstheme="majorBidi"/>
        </w:rPr>
        <w:t xml:space="preserve"> dhe në dobi të komuniteteve.</w:t>
      </w:r>
    </w:p>
    <w:p w14:paraId="6A0E00E6" w14:textId="78051BC8"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1.2.3:</w:t>
      </w:r>
      <w:r w:rsidRPr="002128A6">
        <w:rPr>
          <w:rFonts w:ascii="Garamond" w:eastAsia="Times New Roman" w:hAnsi="Garamond" w:cstheme="majorBidi"/>
        </w:rPr>
        <w:t xml:space="preserve"> Planifikimi </w:t>
      </w:r>
      <w:r w:rsidRPr="002128A6">
        <w:rPr>
          <w:rFonts w:ascii="Garamond" w:hAnsi="Garamond" w:cstheme="majorBidi"/>
        </w:rPr>
        <w:t>dhe organizimi</w:t>
      </w:r>
      <w:r w:rsidRPr="002128A6">
        <w:rPr>
          <w:rFonts w:ascii="Garamond" w:eastAsia="Times New Roman" w:hAnsi="Garamond" w:cstheme="majorBidi"/>
        </w:rPr>
        <w:t xml:space="preserve"> takimeve ndërgjegjësuese mbi procedurat për transferimin e aseteve të konfiskuara të aktivitetit kriminal, te</w:t>
      </w:r>
      <w:r w:rsidR="00F94730" w:rsidRPr="002128A6">
        <w:rPr>
          <w:rFonts w:ascii="Garamond" w:eastAsia="Times New Roman" w:hAnsi="Garamond" w:cstheme="majorBidi"/>
        </w:rPr>
        <w:t>k</w:t>
      </w:r>
      <w:r w:rsidRPr="002128A6">
        <w:rPr>
          <w:rFonts w:ascii="Garamond" w:eastAsia="Times New Roman" w:hAnsi="Garamond" w:cstheme="majorBidi"/>
        </w:rPr>
        <w:t xml:space="preserve"> institucionet qendrore dhe vendore, me qëllim lehtësimin e ripërdorimit social të tyre.</w:t>
      </w:r>
    </w:p>
    <w:p w14:paraId="36455B36" w14:textId="17DA71E9"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1.2.4:</w:t>
      </w:r>
      <w:r w:rsidRPr="002128A6">
        <w:rPr>
          <w:rFonts w:ascii="Garamond" w:hAnsi="Garamond" w:cstheme="majorBidi"/>
          <w:b/>
          <w:bCs/>
        </w:rPr>
        <w:t xml:space="preserve"> </w:t>
      </w:r>
      <w:r w:rsidRPr="002128A6">
        <w:rPr>
          <w:rFonts w:ascii="Garamond" w:hAnsi="Garamond" w:cstheme="majorBidi"/>
        </w:rPr>
        <w:t xml:space="preserve">Përmirësimi i trajtimit të të burgosurve për sa </w:t>
      </w:r>
      <w:r w:rsidR="00043DE4" w:rsidRPr="002128A6">
        <w:rPr>
          <w:rFonts w:ascii="Garamond" w:hAnsi="Garamond" w:cstheme="majorBidi"/>
        </w:rPr>
        <w:t>u</w:t>
      </w:r>
      <w:r w:rsidRPr="002128A6">
        <w:rPr>
          <w:rFonts w:ascii="Garamond" w:hAnsi="Garamond" w:cstheme="majorBidi"/>
        </w:rPr>
        <w:t xml:space="preserve"> përket aspekteve psikosociale dhe kulturore, si dhe i kushteve të strukturave dhe infrastrukturës së burgjeve, përfshirë përmes hartimit dhe zbatimit t</w:t>
      </w:r>
      <w:r w:rsidRPr="002128A6">
        <w:rPr>
          <w:rFonts w:ascii="Garamond" w:eastAsia="Times New Roman" w:hAnsi="Garamond" w:cstheme="majorBidi"/>
        </w:rPr>
        <w:t>ë programeve sociale dhe trajnimeve ose kurseve profesionale.</w:t>
      </w:r>
    </w:p>
    <w:p w14:paraId="1DC8F06D" w14:textId="3CC5BFB9" w:rsidR="00BE490C" w:rsidRPr="002128A6" w:rsidRDefault="00BE490C" w:rsidP="0025426C">
      <w:pPr>
        <w:spacing w:after="0" w:line="240" w:lineRule="auto"/>
        <w:ind w:firstLine="284"/>
        <w:jc w:val="both"/>
        <w:rPr>
          <w:rFonts w:ascii="Garamond" w:eastAsia="Times New Roman" w:hAnsi="Garamond" w:cstheme="majorBidi"/>
          <w:highlight w:val="yellow"/>
        </w:rPr>
      </w:pPr>
      <w:r w:rsidRPr="002128A6">
        <w:rPr>
          <w:rFonts w:ascii="Garamond" w:eastAsia="Times New Roman" w:hAnsi="Garamond" w:cstheme="majorBidi"/>
          <w:b/>
          <w:bCs/>
        </w:rPr>
        <w:lastRenderedPageBreak/>
        <w:t>Masa 1.2.5:</w:t>
      </w:r>
      <w:r w:rsidRPr="002128A6">
        <w:rPr>
          <w:rFonts w:ascii="Garamond" w:eastAsia="Times New Roman" w:hAnsi="Garamond" w:cstheme="majorBidi"/>
        </w:rPr>
        <w:t xml:space="preserve"> Hartimi i analizave dhe studimeve në bashkëpunim ndërmjet Akademisë së Sigurisë, specialistëve të fushës, psikologëve dhe shoqërisë civile, për të analizuar arsyet, shkaqet dhe faktorët kontribuues që çojnë në vrasje, si edhe prezantimi i opinioneve dhe alternative për trajtimin e problematikave p</w:t>
      </w:r>
      <w:r w:rsidR="004C14C6" w:rsidRPr="002128A6">
        <w:rPr>
          <w:rFonts w:ascii="Garamond" w:eastAsia="Times New Roman" w:hAnsi="Garamond" w:cstheme="majorBidi"/>
        </w:rPr>
        <w:t>ër</w:t>
      </w:r>
      <w:r w:rsidRPr="002128A6">
        <w:rPr>
          <w:rFonts w:ascii="Garamond" w:eastAsia="Times New Roman" w:hAnsi="Garamond" w:cstheme="majorBidi"/>
        </w:rPr>
        <w:t xml:space="preserve">katëse, si edhe luftimi i shkaqeve rrënjësore që çojnë në vrasje. </w:t>
      </w:r>
    </w:p>
    <w:p w14:paraId="40BC35DA" w14:textId="61D6D75B"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 xml:space="preserve">Masa 1.2.6: </w:t>
      </w:r>
      <w:r w:rsidRPr="002128A6">
        <w:rPr>
          <w:rFonts w:ascii="Garamond" w:hAnsi="Garamond" w:cstheme="majorBidi"/>
        </w:rPr>
        <w:t xml:space="preserve">Përgatitja dhe zbatimi i programeve të rezistencës komunitare në të paktën 5 zona gjeografike me </w:t>
      </w:r>
      <w:r w:rsidR="007A25B4" w:rsidRPr="002128A6">
        <w:rPr>
          <w:rFonts w:ascii="Garamond" w:hAnsi="Garamond" w:cstheme="majorBidi"/>
        </w:rPr>
        <w:t>rrezik</w:t>
      </w:r>
      <w:r w:rsidRPr="002128A6">
        <w:rPr>
          <w:rFonts w:ascii="Garamond" w:hAnsi="Garamond" w:cstheme="majorBidi"/>
        </w:rPr>
        <w:t xml:space="preserve"> të lartë të identifikuara nga të dhënat e autoriteteve ligjzbatuese, që përfshijnë module të përgjegjshme ndaj gjinisë dhe që adresojnë rreziqet e diferencuara. </w:t>
      </w:r>
    </w:p>
    <w:p w14:paraId="0F6AC523" w14:textId="380ECE64" w:rsidR="00BE490C" w:rsidRPr="002128A6" w:rsidRDefault="00BE490C" w:rsidP="0025426C">
      <w:pPr>
        <w:spacing w:after="0" w:line="240" w:lineRule="auto"/>
        <w:ind w:firstLine="284"/>
        <w:jc w:val="both"/>
        <w:rPr>
          <w:rFonts w:ascii="Garamond" w:hAnsi="Garamond" w:cstheme="majorBidi"/>
        </w:rPr>
      </w:pPr>
      <w:r w:rsidRPr="002128A6">
        <w:rPr>
          <w:rFonts w:ascii="Garamond" w:eastAsia="Times New Roman" w:hAnsi="Garamond" w:cstheme="majorBidi"/>
          <w:b/>
          <w:bCs/>
        </w:rPr>
        <w:t>Masa</w:t>
      </w:r>
      <w:r w:rsidRPr="002128A6">
        <w:rPr>
          <w:rFonts w:ascii="Garamond" w:eastAsia="Times New Roman" w:hAnsi="Garamond" w:cstheme="majorBidi"/>
        </w:rPr>
        <w:t xml:space="preserve"> </w:t>
      </w:r>
      <w:r w:rsidRPr="002128A6">
        <w:rPr>
          <w:rFonts w:ascii="Garamond" w:eastAsia="Times New Roman" w:hAnsi="Garamond" w:cstheme="majorBidi"/>
          <w:b/>
          <w:bCs/>
        </w:rPr>
        <w:t>1.2.7</w:t>
      </w:r>
      <w:r w:rsidRPr="002128A6">
        <w:rPr>
          <w:rFonts w:ascii="Garamond" w:eastAsia="Times New Roman" w:hAnsi="Garamond" w:cstheme="majorBidi"/>
        </w:rPr>
        <w:t xml:space="preserve">: </w:t>
      </w:r>
      <w:r w:rsidRPr="002128A6">
        <w:rPr>
          <w:rFonts w:ascii="Garamond" w:hAnsi="Garamond" w:cstheme="majorBidi"/>
        </w:rPr>
        <w:t xml:space="preserve">Përgatitja dhe shpërndarja e materialeve parandaluese me ndjeshmëri gjinore dhe programeve të riintegrimit që </w:t>
      </w:r>
      <w:r w:rsidRPr="002128A6">
        <w:rPr>
          <w:rFonts w:ascii="Garamond" w:eastAsia="Arial" w:hAnsi="Garamond" w:cstheme="majorBidi"/>
        </w:rPr>
        <w:t xml:space="preserve">ofrojnë mbështetje të përshtatur për gratë, burrat dhe të rinjtë. </w:t>
      </w:r>
    </w:p>
    <w:p w14:paraId="0E199A7F"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i/>
          <w:iCs/>
        </w:rPr>
        <w:t>Për të mbështetur arritjen e këtyre Masave, do të zbatohen Aktivitetet e mëposhtme (afati kohor dhe kostoja e aktiviteteve detajohen në Planin e Veprimit).</w:t>
      </w:r>
    </w:p>
    <w:p w14:paraId="0748B842" w14:textId="4E1593C6" w:rsidR="00BE490C" w:rsidRPr="002128A6" w:rsidRDefault="00EF05E1" w:rsidP="0025426C">
      <w:pPr>
        <w:spacing w:after="0" w:line="240" w:lineRule="auto"/>
        <w:ind w:firstLine="284"/>
        <w:jc w:val="both"/>
        <w:rPr>
          <w:rFonts w:ascii="Garamond" w:hAnsi="Garamond" w:cstheme="majorBidi"/>
          <w:b/>
          <w:bCs/>
          <w:i/>
          <w:iCs/>
        </w:rPr>
      </w:pPr>
      <w:r w:rsidRPr="002128A6">
        <w:rPr>
          <w:rFonts w:ascii="Garamond" w:hAnsi="Garamond" w:cstheme="majorBidi"/>
          <w:b/>
          <w:bCs/>
          <w:i/>
          <w:iCs/>
        </w:rPr>
        <w:t xml:space="preserve">Aktivitete për masën </w:t>
      </w:r>
      <w:r w:rsidR="00BE490C" w:rsidRPr="002128A6">
        <w:rPr>
          <w:rFonts w:ascii="Garamond" w:hAnsi="Garamond" w:cstheme="majorBidi"/>
          <w:b/>
          <w:bCs/>
          <w:i/>
          <w:iCs/>
        </w:rPr>
        <w:t>1.2.1</w:t>
      </w:r>
    </w:p>
    <w:p w14:paraId="57F1EB15" w14:textId="4DCD51D9"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Times New Roman"/>
          <w:kern w:val="0"/>
        </w:rPr>
        <w:t xml:space="preserve">- </w:t>
      </w:r>
      <w:r w:rsidRPr="002128A6">
        <w:rPr>
          <w:rFonts w:ascii="Garamond" w:hAnsi="Garamond" w:cs="Garamond"/>
          <w:kern w:val="0"/>
        </w:rPr>
        <w:t xml:space="preserve">Kryerja vlerësimeve të strukturuara të cenueshmërisë në zonat gjeografike me rrezik të lartë, duke përdorur të dhëna të ndara sipas gjinisë, tregues socio-ekonomikë dhe inteligjencë të ligjzbatimit, me qëllim identifikimin e komuniteteve më të ekspozuara ndaj infiltrimit kriminal. </w:t>
      </w:r>
    </w:p>
    <w:p w14:paraId="76D4685B" w14:textId="53E19143"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Përgatitja e raporteve analitike që hartëzojnë faktorët e rrezikut, nevojat e komunitetit dhe cenueshmëritë gjinore specifike, si dhe ndarja e tyre me qeverisjen vendore dhe ofruesit e shërbimeve sociale, për të orientuar ndërhyrjet e synuara.</w:t>
      </w:r>
    </w:p>
    <w:p w14:paraId="4DB46232" w14:textId="32145BC6"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1.2.2</w:t>
      </w:r>
    </w:p>
    <w:p w14:paraId="1C27EAD0" w14:textId="6E58615E"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Lehtësimi i koordinimit midis institucioneve qendrore, AAPSK-së dhe njësive të qeverisjes vendore për të përshpejtuar transferimin e pronave të konfiskuara për projekte në dobi të komunitetit. </w:t>
      </w:r>
    </w:p>
    <w:p w14:paraId="4267EE73" w14:textId="22AD8FEB"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Ofrimi i udhëzimeve teknike </w:t>
      </w:r>
      <w:r w:rsidR="00E31806" w:rsidRPr="002128A6">
        <w:rPr>
          <w:rFonts w:ascii="Garamond" w:hAnsi="Garamond" w:cs="Garamond"/>
          <w:kern w:val="0"/>
        </w:rPr>
        <w:t>N</w:t>
      </w:r>
      <w:r w:rsidR="005B359B" w:rsidRPr="002128A6">
        <w:rPr>
          <w:rFonts w:ascii="Garamond" w:hAnsi="Garamond" w:cs="Garamond"/>
          <w:kern w:val="0"/>
        </w:rPr>
        <w:t>j</w:t>
      </w:r>
      <w:r w:rsidR="00E31806" w:rsidRPr="002128A6">
        <w:rPr>
          <w:rFonts w:ascii="Garamond" w:hAnsi="Garamond" w:cs="Garamond"/>
          <w:kern w:val="0"/>
        </w:rPr>
        <w:t>VV</w:t>
      </w:r>
      <w:r w:rsidRPr="002128A6">
        <w:rPr>
          <w:rFonts w:ascii="Garamond" w:hAnsi="Garamond" w:cs="Garamond"/>
          <w:kern w:val="0"/>
        </w:rPr>
        <w:t>-ve për përgatitjen e propozimeve, vlerësimeve të fizibilitetit dhe planeve të ripërdorimit social, që të sigurohet përdorim i qëndrueshëm dhe transparent i aseteve të konfiskuara</w:t>
      </w:r>
      <w:r w:rsidRPr="002128A6">
        <w:rPr>
          <w:rFonts w:ascii="Garamond" w:hAnsi="Garamond" w:cs="Times New Roman"/>
          <w:b/>
          <w:bCs/>
          <w:i/>
          <w:iCs/>
          <w:kern w:val="0"/>
        </w:rPr>
        <w:t>.</w:t>
      </w:r>
    </w:p>
    <w:p w14:paraId="28339728" w14:textId="07F81612"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1.2.3</w:t>
      </w:r>
    </w:p>
    <w:p w14:paraId="5E3AAA27" w14:textId="3348E0FC"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Organizimi i takimeve dhe seminareve ndërgjegjësuese me institucionet qendrore dhe vendore për të sqaruar procedurat ligjore, përgjegjësitë dhe afatet kohore për transferimin e aseteve të konfiskuara. </w:t>
      </w:r>
    </w:p>
    <w:p w14:paraId="0B9E8518" w14:textId="3189EEF5"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Përgatitja dhe shpërndarja e materialeve udhëzuese, praktike për përdoruesin, që shpjegojnë hapat, dokumentacionin dhe kriteret e nevojshme për ripërdorimin social të pronave të konfiskuara.</w:t>
      </w:r>
    </w:p>
    <w:p w14:paraId="5B64A4E9" w14:textId="0B0A9390"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1.2.4</w:t>
      </w:r>
    </w:p>
    <w:p w14:paraId="3F176B84" w14:textId="70C7B5BA"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Zhvillimi dhe zbatimi i programeve </w:t>
      </w:r>
      <w:r w:rsidR="00EF05E1" w:rsidRPr="002128A6">
        <w:rPr>
          <w:rFonts w:ascii="Garamond" w:hAnsi="Garamond" w:cs="Garamond"/>
          <w:kern w:val="0"/>
        </w:rPr>
        <w:t>psikosociale</w:t>
      </w:r>
      <w:r w:rsidRPr="002128A6">
        <w:rPr>
          <w:rFonts w:ascii="Garamond" w:hAnsi="Garamond" w:cs="Garamond"/>
          <w:kern w:val="0"/>
        </w:rPr>
        <w:t xml:space="preserve">, kulturore dhe profesionale në burgje, që mbështetin rehabilitimin, reduktojnë recidivizmin dhe forcojnë perspektivat e riintegrimit. </w:t>
      </w:r>
    </w:p>
    <w:p w14:paraId="00847DE0" w14:textId="1865A372"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Përmirësimi i strukturave dhe infrastrukturës së burgjeve për të siguruar kushte humane dhe për të mundësuar ofrimin e trajnimeve të strukturuara, këshillimit dhe shërbimeve të riintegrimit.</w:t>
      </w:r>
    </w:p>
    <w:p w14:paraId="75DDA275" w14:textId="33C3CFA4"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1.2.5</w:t>
      </w:r>
    </w:p>
    <w:p w14:paraId="52AE6986" w14:textId="2DCC2B66"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Kryerja e studimeve ndërdisiplinore, së bashku me Akademinë e Sigurisë, psikologët, kriminologët dhe shoqërinë civile, për të analizuar shkaqet rrënjësore, modelet e sjelljes dhe faktorët shtytës socio-ekonomikë që çojnë në vrasje. </w:t>
      </w:r>
    </w:p>
    <w:p w14:paraId="08132B33" w14:textId="66C28866"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Formulimi i rekomandimeve politike dhe opsioneve praktike për parandalimin, ndërhyrjen e hershme dhe përgjigjen në nivel komunitar, për të reduktuar krimin e dhunshëm.</w:t>
      </w:r>
    </w:p>
    <w:p w14:paraId="626CFE1F" w14:textId="2C3D317E"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1.2.6</w:t>
      </w:r>
    </w:p>
    <w:p w14:paraId="0A5DC6C1" w14:textId="670B3FB0"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Hartimi dhe zbatimi i programeve të rezistencës komunitare në të paktën pesë zona me rrezik të lartë, duke përfshirë module të përgjegjshme ndaj gjinisë që adresojnë rreziqet e diferencuara me të cilat përballen gratë, burrat, vajzat dhe djemtë. </w:t>
      </w:r>
    </w:p>
    <w:p w14:paraId="4A9E8546" w14:textId="379465D4"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Mobilizimi i aktorëve vendorë, shkollat, bashkitë, OShC-të, grupet rinore, për të ofruar aktivitete parandaluese, nisma mentorimi dhe ndërhyrje për forcimin e komuniteteve, të përshtatura sipas c</w:t>
      </w:r>
      <w:r w:rsidR="00166584" w:rsidRPr="002128A6">
        <w:rPr>
          <w:rFonts w:ascii="Garamond" w:hAnsi="Garamond" w:cs="Garamond"/>
          <w:kern w:val="0"/>
        </w:rPr>
        <w:t>e</w:t>
      </w:r>
      <w:r w:rsidRPr="002128A6">
        <w:rPr>
          <w:rFonts w:ascii="Garamond" w:hAnsi="Garamond" w:cs="Garamond"/>
          <w:kern w:val="0"/>
        </w:rPr>
        <w:t>nueshmërive vendore.</w:t>
      </w:r>
    </w:p>
    <w:p w14:paraId="3E6B99E2" w14:textId="2097E3E3"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lastRenderedPageBreak/>
        <w:t xml:space="preserve">Aktivitete për masën </w:t>
      </w:r>
      <w:r w:rsidR="0025426C" w:rsidRPr="002128A6">
        <w:rPr>
          <w:rFonts w:ascii="Garamond" w:hAnsi="Garamond" w:cs="Garamond"/>
          <w:b/>
          <w:bCs/>
          <w:i/>
          <w:iCs/>
          <w:kern w:val="0"/>
        </w:rPr>
        <w:t>1.2.7</w:t>
      </w:r>
    </w:p>
    <w:p w14:paraId="40FB4992" w14:textId="0C282B45"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Përgatitja e materialeve parandaluese të ndjeshme ndaj gjinisë dhe mjete riintegrimi të përshtatura me nevojat e grave, burrave dhe të rinjve, duke adresuar cenueshmëritë specifike që shfrytëzojnë grupet kriminale. </w:t>
      </w:r>
    </w:p>
    <w:p w14:paraId="0342310C" w14:textId="270E421E"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Ofrimi i mbështetjes me synim riintegrimin, si këshillim, udhëzim profesional dhe rrugë referimi, për individët me rrezik, duke siguruar që shërbimet të pasqyrojnë nevojat dhe pengesat gjinore specifike</w:t>
      </w:r>
      <w:r w:rsidRPr="002128A6">
        <w:rPr>
          <w:rFonts w:ascii="Garamond" w:hAnsi="Garamond" w:cs="Times New Roman"/>
          <w:kern w:val="0"/>
        </w:rPr>
        <w:t>.</w:t>
      </w:r>
    </w:p>
    <w:p w14:paraId="3D50C64A" w14:textId="77777777"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rPr>
        <w:t>Produktet e pritshme që do të rezultojnë janë:</w:t>
      </w:r>
    </w:p>
    <w:p w14:paraId="5ED3D966" w14:textId="77777777" w:rsidR="00BE490C" w:rsidRPr="002128A6" w:rsidRDefault="00BE490C" w:rsidP="0025426C">
      <w:pPr>
        <w:spacing w:after="0" w:line="240" w:lineRule="auto"/>
        <w:ind w:firstLine="284"/>
        <w:jc w:val="both"/>
        <w:rPr>
          <w:rFonts w:ascii="Garamond" w:eastAsia="Arial" w:hAnsi="Garamond" w:cstheme="majorBidi"/>
          <w:b/>
          <w:bCs/>
        </w:rPr>
      </w:pPr>
      <w:r w:rsidRPr="002128A6">
        <w:rPr>
          <w:rFonts w:ascii="Garamond" w:eastAsia="Arial" w:hAnsi="Garamond" w:cstheme="majorBidi"/>
          <w:b/>
          <w:bCs/>
        </w:rPr>
        <w:t>Produkti 1:</w:t>
      </w:r>
      <w:r w:rsidRPr="002128A6">
        <w:rPr>
          <w:rFonts w:ascii="Garamond" w:eastAsia="Arial" w:hAnsi="Garamond" w:cstheme="majorBidi"/>
        </w:rPr>
        <w:t xml:space="preserve"> Numri i raporteve të hartimit të cenueshmërisë të prodhuara dhe të përditësuara.</w:t>
      </w:r>
    </w:p>
    <w:p w14:paraId="00481A11" w14:textId="77777777" w:rsidR="00BE490C" w:rsidRPr="002128A6" w:rsidRDefault="00BE490C" w:rsidP="0025426C">
      <w:pPr>
        <w:spacing w:after="0" w:line="240" w:lineRule="auto"/>
        <w:ind w:firstLine="284"/>
        <w:jc w:val="both"/>
        <w:rPr>
          <w:rFonts w:ascii="Garamond" w:eastAsia="Arial" w:hAnsi="Garamond" w:cstheme="majorBidi"/>
          <w:b/>
          <w:bCs/>
        </w:rPr>
      </w:pPr>
      <w:r w:rsidRPr="002128A6">
        <w:rPr>
          <w:rFonts w:ascii="Garamond" w:eastAsia="Arial" w:hAnsi="Garamond" w:cstheme="majorBidi"/>
          <w:b/>
          <w:bCs/>
        </w:rPr>
        <w:t>Produkti 2:</w:t>
      </w:r>
      <w:r w:rsidRPr="002128A6">
        <w:rPr>
          <w:rFonts w:ascii="Garamond" w:eastAsia="Arial" w:hAnsi="Garamond" w:cstheme="majorBidi"/>
        </w:rPr>
        <w:t xml:space="preserve"> Numri i të burgosurve të regjistruar në programe rehabilitimi dhe profesionale.</w:t>
      </w:r>
    </w:p>
    <w:p w14:paraId="691CA2E3" w14:textId="59F125EC" w:rsidR="00BE490C" w:rsidRPr="002128A6" w:rsidRDefault="00BE490C" w:rsidP="0025426C">
      <w:pPr>
        <w:spacing w:after="0" w:line="240" w:lineRule="auto"/>
        <w:ind w:firstLine="284"/>
        <w:jc w:val="both"/>
        <w:rPr>
          <w:rFonts w:ascii="Garamond" w:eastAsia="Arial" w:hAnsi="Garamond" w:cstheme="majorBidi"/>
          <w:b/>
          <w:bCs/>
        </w:rPr>
      </w:pPr>
      <w:r w:rsidRPr="002128A6">
        <w:rPr>
          <w:rFonts w:ascii="Garamond" w:eastAsia="Arial" w:hAnsi="Garamond" w:cstheme="majorBidi"/>
          <w:b/>
          <w:bCs/>
        </w:rPr>
        <w:t xml:space="preserve">Produkti 3: </w:t>
      </w:r>
      <w:r w:rsidRPr="002128A6">
        <w:rPr>
          <w:rFonts w:ascii="Garamond" w:eastAsia="Arial" w:hAnsi="Garamond" w:cstheme="majorBidi"/>
        </w:rPr>
        <w:t xml:space="preserve">Numri i programeve të qëndrueshmërisë komunitare të zbatuara në zonat me </w:t>
      </w:r>
      <w:r w:rsidR="00F261E5" w:rsidRPr="002128A6">
        <w:rPr>
          <w:rFonts w:ascii="Garamond" w:eastAsia="Arial" w:hAnsi="Garamond" w:cstheme="majorBidi"/>
        </w:rPr>
        <w:t xml:space="preserve">rrezik </w:t>
      </w:r>
      <w:r w:rsidRPr="002128A6">
        <w:rPr>
          <w:rFonts w:ascii="Garamond" w:eastAsia="Arial" w:hAnsi="Garamond" w:cstheme="majorBidi"/>
        </w:rPr>
        <w:t>të lartë.</w:t>
      </w:r>
    </w:p>
    <w:p w14:paraId="0AA1DED2" w14:textId="77777777"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b/>
          <w:bCs/>
        </w:rPr>
        <w:t xml:space="preserve">Produkti 4: </w:t>
      </w:r>
      <w:r w:rsidRPr="002128A6">
        <w:rPr>
          <w:rFonts w:ascii="Garamond" w:eastAsia="Arial" w:hAnsi="Garamond" w:cstheme="majorBidi"/>
        </w:rPr>
        <w:t>Numri i materialeve të ndjeshme ndaj gjinisë të prodhuara dhe të shpërndara.</w:t>
      </w:r>
    </w:p>
    <w:p w14:paraId="23CDB5E2" w14:textId="771C23B5" w:rsidR="00EF4822" w:rsidRPr="002128A6" w:rsidRDefault="00EF4822" w:rsidP="0025426C">
      <w:pPr>
        <w:tabs>
          <w:tab w:val="left" w:pos="4678"/>
        </w:tabs>
        <w:spacing w:after="0" w:line="240" w:lineRule="auto"/>
        <w:ind w:firstLine="284"/>
        <w:jc w:val="both"/>
        <w:rPr>
          <w:rFonts w:ascii="Garamond" w:hAnsi="Garamond" w:cstheme="majorBidi"/>
        </w:rPr>
      </w:pPr>
      <w:r w:rsidRPr="002128A6">
        <w:rPr>
          <w:rFonts w:ascii="Garamond" w:eastAsia="Arial" w:hAnsi="Garamond" w:cstheme="majorBidi"/>
          <w:b/>
          <w:bCs/>
        </w:rPr>
        <w:t xml:space="preserve">Institucionet </w:t>
      </w:r>
      <w:r w:rsidR="00514289" w:rsidRPr="002128A6">
        <w:rPr>
          <w:rFonts w:ascii="Garamond" w:eastAsia="Arial" w:hAnsi="Garamond" w:cstheme="majorBidi"/>
          <w:b/>
          <w:bCs/>
        </w:rPr>
        <w:t>përgjegjëse</w:t>
      </w:r>
      <w:r w:rsidRPr="002128A6">
        <w:rPr>
          <w:rFonts w:ascii="Garamond" w:eastAsia="Arial" w:hAnsi="Garamond" w:cstheme="majorBidi"/>
          <w:b/>
          <w:bCs/>
        </w:rPr>
        <w:t xml:space="preserve">: </w:t>
      </w:r>
      <w:r w:rsidRPr="002128A6">
        <w:rPr>
          <w:rFonts w:ascii="Garamond" w:eastAsia="Arial" w:hAnsi="Garamond" w:cstheme="majorBidi"/>
        </w:rPr>
        <w:t>Policia e Shtetit</w:t>
      </w:r>
      <w:r w:rsidR="00B7025D" w:rsidRPr="002128A6">
        <w:rPr>
          <w:rFonts w:ascii="Garamond" w:eastAsia="Arial" w:hAnsi="Garamond" w:cstheme="majorBidi"/>
        </w:rPr>
        <w:t>,</w:t>
      </w:r>
      <w:r w:rsidR="00B7025D" w:rsidRPr="002128A6">
        <w:rPr>
          <w:rFonts w:ascii="Garamond" w:hAnsi="Garamond"/>
        </w:rPr>
        <w:t xml:space="preserve"> </w:t>
      </w:r>
      <w:r w:rsidR="00B7025D" w:rsidRPr="002128A6">
        <w:rPr>
          <w:rFonts w:ascii="Garamond" w:eastAsia="Arial" w:hAnsi="Garamond" w:cstheme="majorBidi"/>
        </w:rPr>
        <w:t>Agjencia e Pasurive të Sekuestruara dhe Konfiskuara, Ministria e Punëve të Brendshme</w:t>
      </w:r>
      <w:r w:rsidRPr="002128A6">
        <w:rPr>
          <w:rFonts w:ascii="Garamond" w:eastAsia="Arial" w:hAnsi="Garamond" w:cstheme="majorBidi"/>
        </w:rPr>
        <w:t>.</w:t>
      </w:r>
    </w:p>
    <w:p w14:paraId="265FB669" w14:textId="1306D76F" w:rsidR="00EF4822" w:rsidRPr="002128A6" w:rsidRDefault="00EF4822" w:rsidP="0025426C">
      <w:pPr>
        <w:tabs>
          <w:tab w:val="left" w:pos="4678"/>
        </w:tabs>
        <w:spacing w:after="0" w:line="240" w:lineRule="auto"/>
        <w:ind w:firstLine="284"/>
        <w:jc w:val="both"/>
        <w:rPr>
          <w:rFonts w:ascii="Garamond" w:eastAsia="Arial" w:hAnsi="Garamond" w:cstheme="majorBidi"/>
        </w:rPr>
      </w:pPr>
      <w:r w:rsidRPr="002128A6">
        <w:rPr>
          <w:rFonts w:ascii="Garamond" w:eastAsia="Arial" w:hAnsi="Garamond" w:cstheme="majorBidi"/>
          <w:b/>
          <w:bCs/>
        </w:rPr>
        <w:t xml:space="preserve">Institucionet </w:t>
      </w:r>
      <w:r w:rsidR="00514289" w:rsidRPr="002128A6">
        <w:rPr>
          <w:rFonts w:ascii="Garamond" w:eastAsia="Arial" w:hAnsi="Garamond" w:cstheme="majorBidi"/>
          <w:b/>
          <w:bCs/>
        </w:rPr>
        <w:t>mbështetëse</w:t>
      </w:r>
      <w:r w:rsidRPr="002128A6">
        <w:rPr>
          <w:rFonts w:ascii="Garamond" w:eastAsia="Arial" w:hAnsi="Garamond" w:cstheme="majorBidi"/>
          <w:b/>
          <w:bCs/>
        </w:rPr>
        <w:t xml:space="preserve">: </w:t>
      </w:r>
      <w:r w:rsidR="00D55967" w:rsidRPr="002128A6">
        <w:rPr>
          <w:rFonts w:ascii="Garamond" w:eastAsia="Arial" w:hAnsi="Garamond" w:cstheme="majorBidi"/>
        </w:rPr>
        <w:t>Bashkitë, Prefekti i Qarkut, Ministria e Punëve të Brendshme, Ministria e Drejtësisë; Ministria e Shëndetësisë dhe Mirëq</w:t>
      </w:r>
      <w:r w:rsidR="00EF05E1" w:rsidRPr="002128A6">
        <w:rPr>
          <w:rFonts w:ascii="Garamond" w:eastAsia="Arial" w:hAnsi="Garamond" w:cstheme="majorBidi"/>
        </w:rPr>
        <w:t>e</w:t>
      </w:r>
      <w:r w:rsidR="00D55967" w:rsidRPr="002128A6">
        <w:rPr>
          <w:rFonts w:ascii="Garamond" w:eastAsia="Arial" w:hAnsi="Garamond" w:cstheme="majorBidi"/>
        </w:rPr>
        <w:t>n</w:t>
      </w:r>
      <w:r w:rsidR="00EF05E1" w:rsidRPr="002128A6">
        <w:rPr>
          <w:rFonts w:ascii="Garamond" w:eastAsia="Arial" w:hAnsi="Garamond" w:cstheme="majorBidi"/>
        </w:rPr>
        <w:t>i</w:t>
      </w:r>
      <w:r w:rsidR="00D55967" w:rsidRPr="002128A6">
        <w:rPr>
          <w:rFonts w:ascii="Garamond" w:eastAsia="Arial" w:hAnsi="Garamond" w:cstheme="majorBidi"/>
        </w:rPr>
        <w:t>es Sociale, Ministritë përkatëse të linjës;.</w:t>
      </w:r>
    </w:p>
    <w:p w14:paraId="47A5386D" w14:textId="65B57324"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 xml:space="preserve">Rezultatet do të maten përmes </w:t>
      </w:r>
      <w:r w:rsidR="00F261E5" w:rsidRPr="002128A6">
        <w:rPr>
          <w:rFonts w:ascii="Garamond" w:eastAsia="Arial" w:hAnsi="Garamond" w:cstheme="majorBidi"/>
        </w:rPr>
        <w:t>Treguesit</w:t>
      </w:r>
      <w:r w:rsidRPr="002128A6">
        <w:rPr>
          <w:rFonts w:ascii="Garamond" w:eastAsia="Arial" w:hAnsi="Garamond" w:cstheme="majorBidi"/>
        </w:rPr>
        <w:t xml:space="preserve"> të mëposhtëm:</w:t>
      </w:r>
    </w:p>
    <w:p w14:paraId="28729AD8" w14:textId="33713FD9" w:rsidR="00BE490C" w:rsidRPr="002128A6" w:rsidRDefault="00BE490C" w:rsidP="0025426C">
      <w:pPr>
        <w:spacing w:after="0" w:line="240" w:lineRule="auto"/>
        <w:ind w:firstLine="284"/>
        <w:jc w:val="both"/>
        <w:rPr>
          <w:rFonts w:ascii="Garamond" w:eastAsia="Arial" w:hAnsi="Garamond" w:cstheme="majorBidi"/>
          <w:i/>
          <w:iCs/>
        </w:rPr>
      </w:pPr>
      <w:r w:rsidRPr="002128A6">
        <w:rPr>
          <w:rFonts w:ascii="Garamond" w:eastAsia="Arial" w:hAnsi="Garamond" w:cstheme="majorBidi"/>
          <w:i/>
          <w:iCs/>
        </w:rPr>
        <w:t>Ulja e normës së rasteve të regjistruara të krimit të rëndë dhe të organizuar për 10,000 banorë në njësitë e vetëqeverisjes vendore (N</w:t>
      </w:r>
      <w:r w:rsidR="00E03EBB" w:rsidRPr="002128A6">
        <w:rPr>
          <w:rFonts w:ascii="Garamond" w:eastAsia="Arial" w:hAnsi="Garamond" w:cstheme="majorBidi"/>
          <w:i/>
          <w:iCs/>
        </w:rPr>
        <w:t>j</w:t>
      </w:r>
      <w:r w:rsidRPr="002128A6">
        <w:rPr>
          <w:rFonts w:ascii="Garamond" w:eastAsia="Arial" w:hAnsi="Garamond" w:cstheme="majorBidi"/>
          <w:i/>
          <w:iCs/>
        </w:rPr>
        <w:t>VV) të identifikuara si me rrezik të lartë.</w:t>
      </w:r>
    </w:p>
    <w:p w14:paraId="4FAB23DD" w14:textId="48F06F8E" w:rsidR="00BE490C" w:rsidRPr="002128A6" w:rsidRDefault="00BE490C" w:rsidP="0025426C">
      <w:pPr>
        <w:spacing w:after="0" w:line="240" w:lineRule="auto"/>
        <w:ind w:firstLine="284"/>
        <w:jc w:val="both"/>
        <w:rPr>
          <w:rFonts w:ascii="Garamond" w:eastAsia="Arial" w:hAnsi="Garamond" w:cstheme="majorBidi"/>
          <w:b/>
          <w:bCs/>
        </w:rPr>
      </w:pPr>
      <w:r w:rsidRPr="002128A6">
        <w:rPr>
          <w:rFonts w:ascii="Garamond" w:eastAsia="Arial" w:hAnsi="Garamond" w:cstheme="majorBidi"/>
          <w:b/>
          <w:bCs/>
        </w:rPr>
        <w:t>Vlera bazë</w:t>
      </w:r>
      <w:r w:rsidRPr="002128A6">
        <w:rPr>
          <w:rFonts w:ascii="Garamond" w:eastAsia="Arial" w:hAnsi="Garamond" w:cstheme="majorBidi"/>
        </w:rPr>
        <w:t>:</w:t>
      </w:r>
      <w:r w:rsidR="00F54824" w:rsidRPr="002128A6">
        <w:rPr>
          <w:rFonts w:ascii="Garamond" w:eastAsia="Arial" w:hAnsi="Garamond" w:cstheme="majorBidi"/>
        </w:rPr>
        <w:t xml:space="preserve"> </w:t>
      </w:r>
      <w:r w:rsidR="00FE5A97" w:rsidRPr="002128A6">
        <w:rPr>
          <w:rFonts w:ascii="Garamond" w:eastAsia="Arial" w:hAnsi="Garamond" w:cstheme="majorBidi"/>
        </w:rPr>
        <w:t>2025 – 40 raste për 10,000 banorë.</w:t>
      </w:r>
    </w:p>
    <w:p w14:paraId="738BB57E" w14:textId="3590F9E3"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Arial" w:hAnsi="Garamond" w:cstheme="majorBidi"/>
          <w:b/>
          <w:bCs/>
        </w:rPr>
        <w:t xml:space="preserve">Synimi deri </w:t>
      </w:r>
      <w:r w:rsidR="00EF05E1" w:rsidRPr="002128A6">
        <w:rPr>
          <w:rFonts w:ascii="Garamond" w:eastAsia="Arial" w:hAnsi="Garamond" w:cstheme="majorBidi"/>
          <w:b/>
          <w:bCs/>
        </w:rPr>
        <w:t>m</w:t>
      </w:r>
      <w:r w:rsidRPr="002128A6">
        <w:rPr>
          <w:rFonts w:ascii="Garamond" w:eastAsia="Arial" w:hAnsi="Garamond" w:cstheme="majorBidi"/>
          <w:b/>
          <w:bCs/>
        </w:rPr>
        <w:t>ë 2030</w:t>
      </w:r>
      <w:r w:rsidRPr="002128A6">
        <w:rPr>
          <w:rFonts w:ascii="Garamond" w:eastAsia="Arial" w:hAnsi="Garamond" w:cstheme="majorBidi"/>
        </w:rPr>
        <w:t xml:space="preserve">: </w:t>
      </w:r>
      <w:r w:rsidRPr="002128A6">
        <w:rPr>
          <w:rFonts w:ascii="Garamond" w:eastAsia="Times New Roman" w:hAnsi="Garamond" w:cstheme="majorBidi"/>
        </w:rPr>
        <w:t xml:space="preserve">-15% krahasuar me vlerësimin bazë deri në vitin 2030. </w:t>
      </w:r>
    </w:p>
    <w:p w14:paraId="51BE854E" w14:textId="1439F915" w:rsidR="00BE490C" w:rsidRPr="002128A6" w:rsidRDefault="00BE490C" w:rsidP="0025426C">
      <w:pPr>
        <w:pStyle w:val="Heading3"/>
        <w:spacing w:before="0" w:after="0" w:line="240" w:lineRule="auto"/>
        <w:ind w:firstLine="284"/>
        <w:jc w:val="both"/>
        <w:rPr>
          <w:rFonts w:ascii="Garamond" w:eastAsia="Times New Roman" w:hAnsi="Garamond"/>
          <w:b/>
          <w:bCs/>
          <w:color w:val="auto"/>
          <w:sz w:val="24"/>
          <w:szCs w:val="24"/>
          <w:lang w:eastAsia="en-GB"/>
        </w:rPr>
      </w:pPr>
      <w:bookmarkStart w:id="48" w:name="_Toc233371585"/>
      <w:r w:rsidRPr="002128A6">
        <w:rPr>
          <w:rFonts w:ascii="Garamond" w:eastAsia="Times New Roman" w:hAnsi="Garamond"/>
          <w:b/>
          <w:bCs/>
          <w:color w:val="auto"/>
          <w:sz w:val="24"/>
          <w:szCs w:val="24"/>
          <w:lang w:eastAsia="en-GB"/>
        </w:rPr>
        <w:t>Objektivi Specifik</w:t>
      </w:r>
      <w:r w:rsidRPr="002128A6">
        <w:rPr>
          <w:rFonts w:ascii="Garamond" w:hAnsi="Garamond"/>
          <w:b/>
          <w:bCs/>
          <w:color w:val="auto"/>
          <w:sz w:val="24"/>
          <w:szCs w:val="24"/>
        </w:rPr>
        <w:t xml:space="preserve"> 1.3: </w:t>
      </w:r>
      <w:r w:rsidRPr="002128A6">
        <w:rPr>
          <w:rFonts w:ascii="Garamond" w:eastAsia="Times New Roman" w:hAnsi="Garamond"/>
          <w:b/>
          <w:bCs/>
          <w:color w:val="auto"/>
          <w:sz w:val="24"/>
          <w:szCs w:val="24"/>
          <w:lang w:eastAsia="en-GB"/>
        </w:rPr>
        <w:t>Forcimi i sigurisë dhe i mbrojtjes së individë</w:t>
      </w:r>
      <w:r w:rsidR="00742424" w:rsidRPr="002128A6">
        <w:rPr>
          <w:rFonts w:ascii="Garamond" w:eastAsia="Times New Roman" w:hAnsi="Garamond"/>
          <w:b/>
          <w:bCs/>
          <w:color w:val="auto"/>
          <w:sz w:val="24"/>
          <w:szCs w:val="24"/>
          <w:lang w:eastAsia="en-GB"/>
        </w:rPr>
        <w:t>ve</w:t>
      </w:r>
      <w:r w:rsidRPr="002128A6">
        <w:rPr>
          <w:rFonts w:ascii="Garamond" w:eastAsia="Times New Roman" w:hAnsi="Garamond"/>
          <w:b/>
          <w:bCs/>
          <w:color w:val="auto"/>
          <w:sz w:val="24"/>
          <w:szCs w:val="24"/>
          <w:lang w:eastAsia="en-GB"/>
        </w:rPr>
        <w:t xml:space="preserve"> me </w:t>
      </w:r>
      <w:r w:rsidR="00742424" w:rsidRPr="002128A6">
        <w:rPr>
          <w:rFonts w:ascii="Garamond" w:eastAsia="Times New Roman" w:hAnsi="Garamond"/>
          <w:b/>
          <w:bCs/>
          <w:color w:val="auto"/>
          <w:sz w:val="24"/>
          <w:szCs w:val="24"/>
          <w:lang w:eastAsia="en-GB"/>
        </w:rPr>
        <w:t>rrezik</w:t>
      </w:r>
      <w:r w:rsidRPr="002128A6">
        <w:rPr>
          <w:rFonts w:ascii="Garamond" w:eastAsia="Times New Roman" w:hAnsi="Garamond"/>
          <w:b/>
          <w:bCs/>
          <w:color w:val="auto"/>
          <w:sz w:val="24"/>
          <w:szCs w:val="24"/>
          <w:lang w:eastAsia="en-GB"/>
        </w:rPr>
        <w:t>, përfshirë dëshmitarët, bashkëpunëtorët e drejtësisë, përmes standardeve të mbrojtjes të harmonizuara me ato të BE-së</w:t>
      </w:r>
      <w:bookmarkEnd w:id="48"/>
    </w:p>
    <w:p w14:paraId="36F03940" w14:textId="4CAD8D04" w:rsidR="00CB4111" w:rsidRPr="002128A6" w:rsidRDefault="00CB4111"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 xml:space="preserve">Forcimi i mbrojtjes, sigurisë dhe riintegrimit të individëve të rrezikuar, veçanërisht të dëshmitarëve, bashkëpunëtorëve të drejtësisë dhe viktimave të krimit të organizuar ose veprave të rënda penale, është thelbësor për një përgjigje efektive dhe të besueshme ndaj krimit të organizuar. Këta individë, shpesh përballen me kërcënime serioze për jetën, integritetin fizik dhe mirëqenien e tyre psikologjike dhe gatishmëria e tyre për të bashkëpunuar me institucionet e drejtësisë varet nga ekzistenca e mekanizmave të mbrojtjes të fuqishëm, të besueshëm dhe konfidencialë. Siguria e tyre nuk është vetëm detyrim ligjor, por edhe parakusht themelor për </w:t>
      </w:r>
      <w:r w:rsidR="00300542" w:rsidRPr="002128A6">
        <w:rPr>
          <w:rFonts w:ascii="Garamond" w:eastAsia="Times New Roman" w:hAnsi="Garamond" w:cstheme="majorBidi"/>
        </w:rPr>
        <w:t>goditjen</w:t>
      </w:r>
      <w:r w:rsidRPr="002128A6">
        <w:rPr>
          <w:rFonts w:ascii="Garamond" w:eastAsia="Times New Roman" w:hAnsi="Garamond" w:cstheme="majorBidi"/>
        </w:rPr>
        <w:t xml:space="preserve"> e strukturave kriminale dhe për ndjekje penale të suksesshme. Në këtë kuadër, duhet të sigurohet që shërbimet e mbrojtjes dhe riintegrimit të jenë të aksesueshme dhe të përshtatshme, përfshirë strehimore dhe shtëpi të sigurta fizikisht të aksesueshme, si dhe personel të trajnuar për të ofruar mbështetje për individë me nevoja të ndryshme, përfshirë personat me aftësi të kufizuara dhe grupet e cenueshme.</w:t>
      </w:r>
    </w:p>
    <w:p w14:paraId="28722855" w14:textId="0ADEE2B6"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 xml:space="preserve">Ky Objektiv Specifik përqendrohet në përafrimin e sistemeve të mbrojtjes së Shqipërisë me standardet e BE-së, duke forcuar kapacitetet institucionale, duke përmirësuar procedurat operative dhe duke zgjeruar gamën e shërbimeve mbështetëse në dispozicion të individëve nën mbrojtje. Kërkohet një qasje gjithëpërfshirëse, një qasje që kombinon mbrojtjen fizike dhe teknike, mbështetjen psikologjike, ndihmën financiare dhe rrugët afatgjata të riintegrimit. Duke forcuar programet e mbrojtjes së dëshmitarëve, duke rritur bashkëpunimin ndërkufitar për sistemimin e individëve dhe duke përmirësuar cilësinë e shërbimeve të rehabilitimit dhe riintegrimit, Strategjia synon të ndërtojë një sistem që viktimat dhe bashkëpunëtorët mund t'i besojnë, duke i mundësuar atyre të marrin pjesë në mënyrë të sigurt dhe kuptimplotë në proceset gjyqësore. Të gjitha ndërhyrjet nën këtë objektiv </w:t>
      </w:r>
      <w:r w:rsidRPr="002128A6">
        <w:rPr>
          <w:rFonts w:ascii="Garamond" w:hAnsi="Garamond" w:cstheme="majorBidi"/>
        </w:rPr>
        <w:t xml:space="preserve">udhëhiqen nga qasja e orientuar drejt viktimës dhe bazohen në të drejtat e njeriut, duke siguruar mbrojtje, mosdiskriminim, </w:t>
      </w:r>
      <w:r w:rsidRPr="002128A6">
        <w:rPr>
          <w:rFonts w:ascii="Garamond" w:eastAsia="Times New Roman" w:hAnsi="Garamond" w:cstheme="majorBidi"/>
        </w:rPr>
        <w:t xml:space="preserve">konfidencialitet, </w:t>
      </w:r>
      <w:r w:rsidRPr="002128A6">
        <w:rPr>
          <w:rFonts w:ascii="Garamond" w:hAnsi="Garamond" w:cstheme="majorBidi"/>
        </w:rPr>
        <w:t xml:space="preserve">dhe zbatimin e parimit të mosndëshkimit për viktimat e trafikimit ose krimit të organizuar. Procedurat standarde operacionale do të hartohen në bashkëpunim </w:t>
      </w:r>
      <w:r w:rsidRPr="002128A6">
        <w:rPr>
          <w:rFonts w:ascii="Garamond" w:hAnsi="Garamond" w:cstheme="majorBidi"/>
        </w:rPr>
        <w:lastRenderedPageBreak/>
        <w:t xml:space="preserve">me organizatat e shoqërisë civile dhe Zyrën e Komisionerit për të Drejtën e Informimit dhe Mbrojtjen e të Dhënave Personale, duke siguruar privatësinë dhe mekanizmat e sigurt të referimit dhe do të përshtaten vazhdimisht në përputhje me praktikat më të mira ndërkombëtare për të rritur efikasitetin dhe mbrojtjen e të drejtave të viktimave. </w:t>
      </w:r>
      <w:r w:rsidRPr="002128A6">
        <w:rPr>
          <w:rFonts w:ascii="Garamond" w:eastAsia="Times New Roman" w:hAnsi="Garamond" w:cstheme="majorBidi"/>
        </w:rPr>
        <w:t xml:space="preserve">Përmes këtyre masave, Shqipëria do të forcojë besimin e publikut tek institucionet shtetërore, do të përforcojë sundimin e ligjit dhe do të garantojë që individët me </w:t>
      </w:r>
      <w:r w:rsidR="00CB4111" w:rsidRPr="002128A6">
        <w:rPr>
          <w:rFonts w:ascii="Garamond" w:eastAsia="Times New Roman" w:hAnsi="Garamond" w:cstheme="majorBidi"/>
        </w:rPr>
        <w:t xml:space="preserve">rrezik </w:t>
      </w:r>
      <w:r w:rsidRPr="002128A6">
        <w:rPr>
          <w:rFonts w:ascii="Garamond" w:eastAsia="Times New Roman" w:hAnsi="Garamond" w:cstheme="majorBidi"/>
        </w:rPr>
        <w:t>të marrin mbrojtjen, dinjitetin dhe mbështetjen që u nevojitet për të rindërtuar jetën e tyre.</w:t>
      </w:r>
    </w:p>
    <w:p w14:paraId="3E821414"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Rezultatet e pritshme të këtij objektivi janë si vijon:</w:t>
      </w:r>
    </w:p>
    <w:p w14:paraId="5E7B47B0" w14:textId="0F04749B" w:rsidR="00CB4111" w:rsidRPr="002128A6" w:rsidRDefault="00CB4111"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1: </w:t>
      </w:r>
      <w:r w:rsidRPr="002128A6">
        <w:rPr>
          <w:rFonts w:ascii="Garamond" w:eastAsia="Arial" w:hAnsi="Garamond" w:cstheme="majorBidi"/>
        </w:rPr>
        <w:t>Rritja e gatishmërisë së dëshmitarëve dhe bashkëpunëtorëve për të dëshmuar, e matur me shkall</w:t>
      </w:r>
      <w:r w:rsidRPr="002128A6">
        <w:rPr>
          <w:rFonts w:ascii="Garamond" w:eastAsia="Times New Roman" w:hAnsi="Garamond" w:cstheme="majorBidi"/>
        </w:rPr>
        <w:t>ë të</w:t>
      </w:r>
      <w:r w:rsidR="00EF05E1" w:rsidRPr="002128A6">
        <w:rPr>
          <w:rFonts w:ascii="Garamond" w:eastAsia="Times New Roman" w:hAnsi="Garamond" w:cstheme="majorBidi"/>
        </w:rPr>
        <w:t xml:space="preserve"> </w:t>
      </w:r>
      <w:r w:rsidRPr="002128A6">
        <w:rPr>
          <w:rFonts w:ascii="Garamond" w:eastAsia="Times New Roman" w:hAnsi="Garamond" w:cstheme="majorBidi"/>
        </w:rPr>
        <w:t>rritur të</w:t>
      </w:r>
      <w:r w:rsidRPr="002128A6">
        <w:rPr>
          <w:rFonts w:ascii="Garamond" w:eastAsia="Arial" w:hAnsi="Garamond" w:cstheme="majorBidi"/>
        </w:rPr>
        <w:t xml:space="preserve"> bashkëpunimit në procedimet e krimit të organizuar.</w:t>
      </w:r>
    </w:p>
    <w:p w14:paraId="3A7A102B" w14:textId="3B678FCD" w:rsidR="00CB4111" w:rsidRPr="002128A6" w:rsidRDefault="00CB4111"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2: </w:t>
      </w:r>
      <w:r w:rsidRPr="002128A6">
        <w:rPr>
          <w:rFonts w:ascii="Garamond" w:eastAsia="Arial" w:hAnsi="Garamond" w:cstheme="majorBidi"/>
        </w:rPr>
        <w:t xml:space="preserve">Siguri fizike e qëndrueshme e personave të mbrojtur, me zero humbje për shkak të dështimeve të sigurisë dhe </w:t>
      </w:r>
      <w:r w:rsidR="00EF05E1" w:rsidRPr="002128A6">
        <w:rPr>
          <w:rFonts w:ascii="Garamond" w:eastAsia="Arial" w:hAnsi="Garamond" w:cstheme="majorBidi"/>
        </w:rPr>
        <w:t>mbrojtjes</w:t>
      </w:r>
      <w:r w:rsidRPr="002128A6">
        <w:rPr>
          <w:rFonts w:ascii="Garamond" w:eastAsia="Arial" w:hAnsi="Garamond" w:cstheme="majorBidi"/>
        </w:rPr>
        <w:t xml:space="preserve"> s</w:t>
      </w:r>
      <w:r w:rsidRPr="002128A6">
        <w:rPr>
          <w:rFonts w:ascii="Garamond" w:eastAsia="Times New Roman" w:hAnsi="Garamond" w:cstheme="majorBidi"/>
        </w:rPr>
        <w:t>ë tyre</w:t>
      </w:r>
      <w:r w:rsidRPr="002128A6">
        <w:rPr>
          <w:rFonts w:ascii="Garamond" w:eastAsia="Arial" w:hAnsi="Garamond" w:cstheme="majorBidi"/>
        </w:rPr>
        <w:t>.</w:t>
      </w:r>
    </w:p>
    <w:p w14:paraId="77CB044E" w14:textId="41F42BDF" w:rsidR="00CB4111" w:rsidRPr="002128A6" w:rsidRDefault="00CB4111"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3: </w:t>
      </w:r>
      <w:r w:rsidRPr="002128A6">
        <w:rPr>
          <w:rFonts w:ascii="Garamond" w:eastAsia="Arial" w:hAnsi="Garamond" w:cstheme="majorBidi"/>
        </w:rPr>
        <w:t xml:space="preserve">Integrimi i suksesshëm pas daljes nga programi i mbrojtjes në jetën </w:t>
      </w:r>
      <w:r w:rsidRPr="002128A6">
        <w:rPr>
          <w:rFonts w:ascii="Garamond" w:hAnsi="Garamond" w:cstheme="majorBidi"/>
        </w:rPr>
        <w:t>normale</w:t>
      </w:r>
      <w:r w:rsidRPr="002128A6">
        <w:rPr>
          <w:rFonts w:ascii="Garamond" w:eastAsia="Arial" w:hAnsi="Garamond" w:cstheme="majorBidi"/>
        </w:rPr>
        <w:t xml:space="preserve"> i pjesëmarrësve.</w:t>
      </w:r>
    </w:p>
    <w:p w14:paraId="48B3F485"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Arial" w:hAnsi="Garamond" w:cstheme="majorBidi"/>
        </w:rPr>
        <w:t>Ky Objektiv Specifik do të zbatohet përmes Masave të mëposhtme:</w:t>
      </w:r>
    </w:p>
    <w:p w14:paraId="3AB868A2"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1.3.1</w:t>
      </w:r>
      <w:r w:rsidRPr="002128A6">
        <w:rPr>
          <w:rFonts w:ascii="Garamond" w:eastAsia="Times New Roman" w:hAnsi="Garamond" w:cstheme="majorBidi"/>
        </w:rPr>
        <w:t>: Garantimi i jetës dhe sigurisë fizike të dëshmitarëve, bashkëpunëtorëve të drejtësisë, viktimave të trafikimit dhe zyrtarëve të ngarkuar me luftimin e krimit të organizuar.</w:t>
      </w:r>
    </w:p>
    <w:p w14:paraId="41CB6E90" w14:textId="345D5A1D" w:rsidR="00CB4111" w:rsidRPr="002128A6" w:rsidRDefault="00BE490C" w:rsidP="0025426C">
      <w:pPr>
        <w:spacing w:after="0" w:line="240" w:lineRule="auto"/>
        <w:ind w:firstLine="284"/>
        <w:jc w:val="both"/>
        <w:rPr>
          <w:rFonts w:ascii="Garamond" w:eastAsia="Times New Roman" w:hAnsi="Garamond" w:cs="Times New Roman"/>
          <w:kern w:val="0"/>
          <w14:ligatures w14:val="none"/>
        </w:rPr>
      </w:pPr>
      <w:r w:rsidRPr="002128A6">
        <w:rPr>
          <w:rFonts w:ascii="Garamond" w:eastAsia="Times New Roman" w:hAnsi="Garamond" w:cstheme="majorBidi"/>
          <w:b/>
          <w:bCs/>
        </w:rPr>
        <w:t>Masa 1.3.2:</w:t>
      </w:r>
      <w:r w:rsidRPr="002128A6">
        <w:rPr>
          <w:rFonts w:ascii="Garamond" w:eastAsia="Times New Roman" w:hAnsi="Garamond" w:cstheme="majorBidi"/>
        </w:rPr>
        <w:t xml:space="preserve"> </w:t>
      </w:r>
      <w:r w:rsidR="00CB4111" w:rsidRPr="002128A6">
        <w:rPr>
          <w:rFonts w:ascii="Garamond" w:eastAsia="Times New Roman" w:hAnsi="Garamond" w:cs="Times New Roman"/>
          <w:kern w:val="0"/>
          <w14:ligatures w14:val="none"/>
        </w:rPr>
        <w:t>Nënshkrimi i marrëveshjeve me njësitë homologe për rialokimin jashtë të programeve të mbrojtjes me qëllim përforcimin e mekanizmave të sigurimit të jetës së bashkëpunëtorëve dhe dëshmitarëve të drejtësisë.</w:t>
      </w:r>
    </w:p>
    <w:p w14:paraId="53658F6B" w14:textId="436F582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1.3.3:</w:t>
      </w:r>
      <w:r w:rsidRPr="002128A6">
        <w:rPr>
          <w:rFonts w:ascii="Garamond" w:eastAsia="Times New Roman" w:hAnsi="Garamond" w:cstheme="majorBidi"/>
        </w:rPr>
        <w:t xml:space="preserve"> Garantimi i mbrojtjes fizike dhe teknike në vendin e banimit si dhe gjatë lëvizjeve të tyre, për personat e përfshirë në programin e mbrojtjes me Vendim të Komisionit për Vlerësimin e Programit të Mbrojtjes së Dëshmitarëve dhe Bashkëpunëtorëve të Drejtësisë.</w:t>
      </w:r>
    </w:p>
    <w:p w14:paraId="7A3BDED9"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1.3.4:</w:t>
      </w:r>
      <w:r w:rsidRPr="002128A6">
        <w:rPr>
          <w:rFonts w:ascii="Garamond" w:eastAsia="Times New Roman" w:hAnsi="Garamond" w:cstheme="majorBidi"/>
        </w:rPr>
        <w:t xml:space="preserve"> Ofrimi i mbështetjes dhe testimit periodik dhe vjetor psikologjik</w:t>
      </w:r>
      <w:r w:rsidRPr="002128A6">
        <w:rPr>
          <w:rFonts w:ascii="Garamond" w:hAnsi="Garamond" w:cstheme="majorBidi"/>
        </w:rPr>
        <w:t xml:space="preserve"> për personat e përfshirë në programin e mbrojtjes</w:t>
      </w:r>
      <w:r w:rsidRPr="002128A6">
        <w:rPr>
          <w:rFonts w:ascii="Garamond" w:eastAsia="Times New Roman" w:hAnsi="Garamond" w:cstheme="majorBidi"/>
        </w:rPr>
        <w:t>.</w:t>
      </w:r>
    </w:p>
    <w:p w14:paraId="65E12902"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1.3.5:</w:t>
      </w:r>
      <w:r w:rsidRPr="002128A6">
        <w:rPr>
          <w:rFonts w:ascii="Garamond" w:eastAsia="Times New Roman" w:hAnsi="Garamond" w:cstheme="majorBidi"/>
        </w:rPr>
        <w:t xml:space="preserve"> Rehabilitimi social i personave të përfshirë në programin e mbrojtjes me Vendim të Komisionit për Vlerësimin e Programit të Mbrojtjes së Dëshmitarëve dhe Bashkëpunëtorëve të Drejtësisë.</w:t>
      </w:r>
    </w:p>
    <w:p w14:paraId="09EF2D70"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1.3.6:</w:t>
      </w:r>
      <w:r w:rsidRPr="002128A6">
        <w:rPr>
          <w:rFonts w:ascii="Garamond" w:eastAsia="Times New Roman" w:hAnsi="Garamond" w:cstheme="majorBidi"/>
        </w:rPr>
        <w:t xml:space="preserve"> Ofrimi i ndihmës financiare për personat e përfshirë në programin e mbrojtjes me Vendim të Komisionit për Vlerësimin e Programit të Mbrojtjes së Dëshmitarëve dhe Bashkëpunëtorëve të Drejtësisë.</w:t>
      </w:r>
    </w:p>
    <w:p w14:paraId="37AED0E5"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1.3.7:</w:t>
      </w:r>
      <w:r w:rsidRPr="002128A6">
        <w:rPr>
          <w:rFonts w:ascii="Garamond" w:eastAsia="Times New Roman" w:hAnsi="Garamond" w:cstheme="majorBidi"/>
        </w:rPr>
        <w:t xml:space="preserve"> Ofrimi i rikualifikimeve profesionale, me qëllim integrimin pas përfundimit të programit të mbrojtjes, për personat e përfshirë në programin e mbrojtjes me Vendim të Komisionit për Vlerësimin e Programit të Mbrojtjes së Dëshmitarëve dhe Bashkëpunëtorëve të Drejtësisë.</w:t>
      </w:r>
    </w:p>
    <w:p w14:paraId="4890A54D" w14:textId="2969698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1.3.8:</w:t>
      </w:r>
      <w:r w:rsidRPr="002128A6">
        <w:rPr>
          <w:rFonts w:ascii="Garamond" w:eastAsia="Times New Roman" w:hAnsi="Garamond" w:cstheme="majorBidi"/>
        </w:rPr>
        <w:t xml:space="preserve"> Ofrimi i këshillimit dhe ndihmës ligjore të specializuar për personat e përfshirë në programin e mbrojtjes me Vendim të Komisionit për Vlerësimin e Programit të Mbrojtjes së Dëshmitarëve dhe Bashkëpunëtorëve të Drejtësisë.</w:t>
      </w:r>
    </w:p>
    <w:p w14:paraId="70225914"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Për të mbështetur arritjen e këtyre Masave, do të zbatohen Aktivitetet e mëposhtme:</w:t>
      </w:r>
    </w:p>
    <w:p w14:paraId="70C059DC" w14:textId="408CB9CD" w:rsidR="00BE490C" w:rsidRPr="002128A6" w:rsidRDefault="00EF05E1" w:rsidP="0025426C">
      <w:pPr>
        <w:spacing w:after="0" w:line="240" w:lineRule="auto"/>
        <w:ind w:firstLine="284"/>
        <w:jc w:val="both"/>
        <w:rPr>
          <w:rFonts w:ascii="Garamond" w:hAnsi="Garamond" w:cstheme="majorBidi"/>
        </w:rPr>
      </w:pPr>
      <w:r w:rsidRPr="002128A6">
        <w:rPr>
          <w:rFonts w:ascii="Garamond" w:eastAsia="Arial" w:hAnsi="Garamond" w:cstheme="majorBidi"/>
          <w:b/>
          <w:bCs/>
          <w:i/>
          <w:iCs/>
        </w:rPr>
        <w:t xml:space="preserve">Aktivitete për masën </w:t>
      </w:r>
      <w:r w:rsidR="00BE490C" w:rsidRPr="002128A6">
        <w:rPr>
          <w:rFonts w:ascii="Garamond" w:eastAsia="Arial" w:hAnsi="Garamond" w:cstheme="majorBidi"/>
          <w:b/>
          <w:bCs/>
          <w:i/>
          <w:iCs/>
        </w:rPr>
        <w:t>1.3.1</w:t>
      </w:r>
    </w:p>
    <w:p w14:paraId="69E10C6A" w14:textId="0DA49D69"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Kryerja e vlerësimeve të vazhdueshme të rrezikut dhe hartimi i planeve të sigurisë të përshtatura për çdo person të mbrojtur, duke siguruar përshtatje të shpejtë me kërcënimet në evolim dhe rrethanat operacionale. </w:t>
      </w:r>
    </w:p>
    <w:p w14:paraId="79A639E9" w14:textId="0C12F4D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Forcimi i njësive mbrojtëse përmes trajnimit të specializuar, sistemeve të sigurta të komunikimit dhe protokolleve të koordinuara operacionale për të garantuar siguri fizike të pandërprerë.</w:t>
      </w:r>
    </w:p>
    <w:p w14:paraId="7908A610" w14:textId="095AF461"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1.3.2</w:t>
      </w:r>
    </w:p>
    <w:p w14:paraId="5BD7AEEB" w14:textId="1E5CF43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Negocimi dhe formalizimi</w:t>
      </w:r>
      <w:r w:rsidR="00F54824" w:rsidRPr="002128A6">
        <w:rPr>
          <w:rFonts w:ascii="Garamond" w:hAnsi="Garamond" w:cs="Garamond"/>
        </w:rPr>
        <w:t xml:space="preserve"> </w:t>
      </w:r>
      <w:r w:rsidRPr="002128A6">
        <w:rPr>
          <w:rFonts w:ascii="Garamond" w:hAnsi="Garamond" w:cs="Garamond"/>
        </w:rPr>
        <w:t xml:space="preserve">i marrëveshjeve dypalëshe dhe shumëpalëshe të bashkëpunimit me njësitë homologe të mbrojtjes, për të mundësuar zhvendosje të sigurt jashtme vendit kur mbrojtja brenda vendit është e pamjaftueshme. </w:t>
      </w:r>
    </w:p>
    <w:p w14:paraId="7C5E57FE" w14:textId="0E5C665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lastRenderedPageBreak/>
        <w:t>- Miratimi i procedurave të standardizuara për transferimet ndërkombëtare, përfshirë protokollet e ndarjes së informacionit, garancitë e konfidencialitetit dhe planifikimin e koordinuar operacional.</w:t>
      </w:r>
    </w:p>
    <w:p w14:paraId="4A629752" w14:textId="0A2F1665"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1.3.3</w:t>
      </w:r>
    </w:p>
    <w:p w14:paraId="4353FBEE" w14:textId="64872346"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Hartimi dhe mbajtja e masave mbrojtëse teknike, si sistemet e mbikëqyrjes, transportin e sigurt dhe rregullave të aksesit të kontrolluar në vendbanime dhe vendndodhje e tjera të sigurta. </w:t>
      </w:r>
    </w:p>
    <w:p w14:paraId="07F4BCD2" w14:textId="398FBD30"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Kryerja e operacioneve të sigurta dhe të paraplanifikuara të zhvendosjes/lëvizjes, duke përdorur vlerësim të rrezikut të rrugë të përdorura, skuadra shoqëruese dhe monitorim në kohë reale, për të parandaluar ekspozimin ndaj kërcënimeve.</w:t>
      </w:r>
    </w:p>
    <w:p w14:paraId="52FC7238" w14:textId="45496ED8"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1.3.4</w:t>
      </w:r>
    </w:p>
    <w:p w14:paraId="39B6B572" w14:textId="3CAB2D6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Kryerja e vlerësimeve periodike psikologjike dhe e sesioneve të këshillimit, për të monitoruar mirëqenien emocionale, reagimet ndaj traumës dhe nivelet e stresit të personave të mbrojtur. </w:t>
      </w:r>
    </w:p>
    <w:p w14:paraId="315BADDB" w14:textId="1C8AAC5C"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Hartimi i planeve të personalizuara të mbështetjes psikologjike, përfshirë mekanizmat e ndërhyrjes në krizë dhe referimet te profesionistët e specializuar të shëndetit mendor, kur është e nevojshme.</w:t>
      </w:r>
    </w:p>
    <w:p w14:paraId="2529836D" w14:textId="5CDC1F17"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1.3.5</w:t>
      </w:r>
    </w:p>
    <w:p w14:paraId="44A3B068" w14:textId="6489BF24"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Realizimi i programeve të strukturuara të rehabilitimit, që përfshijnë zhvillimin e aftësive sociale, mbështetjen familjare dhe rrugët e riintegrimit komunitar, të përshtatura me nevojat individuale. </w:t>
      </w:r>
    </w:p>
    <w:p w14:paraId="56B36E61" w14:textId="4CFFDA1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Koordinimi me ofruesit e shërbimeve sociale, bashkitë dhe shoqërinë civile, për të siguruar strehim, arsim, kujdes shëndetësor dhe rrjete mbështetëse me bazë komunitare.</w:t>
      </w:r>
    </w:p>
    <w:p w14:paraId="3C9E6EF5" w14:textId="68F397D7"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1.3.6</w:t>
      </w:r>
    </w:p>
    <w:p w14:paraId="2513802D" w14:textId="4009822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Alokimi dhe menaxhimi i paketave të mbështetjes financiare, që mbulojnë shpenzimet bazë të jetesës, nevojat emergjente dhe kostot e riintegrimit, për individët në programin e mbrojtjes. </w:t>
      </w:r>
    </w:p>
    <w:p w14:paraId="782909A6" w14:textId="61A34BC0"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Rishikime periodike të ndihmës financiare për të siguruar mjaftueshmëri, transparencë dhe harmonizim me nevojat e ndryshueshme të personave të mbrojtur.</w:t>
      </w:r>
    </w:p>
    <w:p w14:paraId="59641433" w14:textId="16C0B8D1"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1.3.7</w:t>
      </w:r>
    </w:p>
    <w:p w14:paraId="6F67BBC5" w14:textId="57F4A48A"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Përgatitja dhe zbatimi i programeve të trajnimit profesional dhe të zhvillimit të aftësive, të përshtatura me nevojat e tregut të punës dhe profilet personale të personave të mbrojtur. </w:t>
      </w:r>
    </w:p>
    <w:p w14:paraId="799B6D33" w14:textId="0F030B55"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Mbështetje për sistemimit në punë, përfshirë këshillimin e karrierës, angazhimin e punëdhënësve dhe referimin te shërbimet e punësimit për të siguruar riintegrim të qëndrueshëm.</w:t>
      </w:r>
    </w:p>
    <w:p w14:paraId="5AB92873" w14:textId="6F067557"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1.3.8</w:t>
      </w:r>
    </w:p>
    <w:p w14:paraId="0C51A56A" w14:textId="4130FB43"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Ofrimi i këshillimit të vazhdueshëm ligjor për personat e mbrojtur mbi të drejtat, detyrimet dhe aspektet procedurale të bashkëpunimit gjyqësor, duke siguruar pjesëmarrje të informuar në procedime. </w:t>
      </w:r>
    </w:p>
    <w:p w14:paraId="33437A9F" w14:textId="75F7FDC5"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Ofrimi i përfaqësimit ligjor të specializuar dhe mbështetjes gjatë proceseve gjyqësore, procedurave administrative dhe çështjeve ligjore të lidhura me riintegrimin.</w:t>
      </w:r>
    </w:p>
    <w:p w14:paraId="3EC3F88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7F2354C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Numri i personave të pranuar dhe aktivisht të mbrojtur nga programi i mbrojtjes.</w:t>
      </w:r>
    </w:p>
    <w:p w14:paraId="09780D1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marrëveshjeve dypalëshe të lidhura për zhvendosje jashtë vendit</w:t>
      </w:r>
      <w:r w:rsidRPr="002128A6">
        <w:rPr>
          <w:rFonts w:ascii="Garamond" w:hAnsi="Garamond"/>
        </w:rPr>
        <w:t>.</w:t>
      </w:r>
    </w:p>
    <w:p w14:paraId="5D9A169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vlerësimeve psikologjike dhe sesioneve mbështetëse të ofruara.</w:t>
      </w:r>
    </w:p>
    <w:p w14:paraId="7B62BC9B"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4: </w:t>
      </w:r>
      <w:r w:rsidRPr="002128A6">
        <w:rPr>
          <w:rFonts w:ascii="Garamond" w:hAnsi="Garamond" w:cs="Garamond"/>
        </w:rPr>
        <w:t>Numri i paketave të rikualifikimit dhe riintegrimit të ofruara.</w:t>
      </w:r>
    </w:p>
    <w:p w14:paraId="15EA8743" w14:textId="77777777" w:rsidR="0025426C" w:rsidRPr="002128A6" w:rsidRDefault="0025426C" w:rsidP="0025426C">
      <w:pPr>
        <w:tabs>
          <w:tab w:val="left" w:pos="4660"/>
        </w:tabs>
        <w:spacing w:after="0" w:line="240" w:lineRule="auto"/>
        <w:ind w:firstLine="284"/>
        <w:jc w:val="both"/>
        <w:rPr>
          <w:rFonts w:ascii="Garamond" w:hAnsi="Garamond" w:cs="Garamond"/>
        </w:rPr>
      </w:pPr>
      <w:r w:rsidRPr="002128A6">
        <w:rPr>
          <w:rFonts w:ascii="Garamond" w:hAnsi="Garamond" w:cs="Garamond"/>
          <w:b/>
          <w:bCs/>
        </w:rPr>
        <w:t xml:space="preserve">Institucionet përgjegjëse: </w:t>
      </w:r>
      <w:r w:rsidRPr="002128A6">
        <w:rPr>
          <w:rFonts w:ascii="Garamond" w:hAnsi="Garamond" w:cs="Garamond"/>
        </w:rPr>
        <w:t>Policia e Shtetit.</w:t>
      </w:r>
    </w:p>
    <w:p w14:paraId="6153E00B"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69C6E381"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Shkalla e suksesit të mbrojtjes së individëve të rrezikuar, përfshirë dëshmitarët dhe bashkëpunëtorët e drejtësisë.</w:t>
      </w:r>
    </w:p>
    <w:p w14:paraId="0E12C01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Vlera bazë: </w:t>
      </w:r>
      <w:r w:rsidRPr="002128A6">
        <w:rPr>
          <w:rFonts w:ascii="Garamond" w:hAnsi="Garamond" w:cs="Garamond"/>
        </w:rPr>
        <w:t xml:space="preserve">Vlera bazë e programit (93% shkalla e mbrojtjes së suksesshme) e vendosur në vitin 2026. </w:t>
      </w:r>
    </w:p>
    <w:p w14:paraId="005F8E8B"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në 2030: </w:t>
      </w:r>
      <w:r w:rsidRPr="002128A6">
        <w:rPr>
          <w:rFonts w:ascii="Garamond" w:hAnsi="Garamond" w:cs="Garamond"/>
        </w:rPr>
        <w:t>96% shkalla e mbrojtjes së suksesshme.</w:t>
      </w:r>
    </w:p>
    <w:p w14:paraId="6CEC24B7" w14:textId="77777777" w:rsidR="0025426C" w:rsidRPr="002128A6" w:rsidRDefault="0025426C" w:rsidP="0025426C">
      <w:pPr>
        <w:pStyle w:val="Heading3"/>
        <w:spacing w:before="0" w:after="0" w:line="240" w:lineRule="auto"/>
        <w:ind w:firstLine="284"/>
        <w:jc w:val="both"/>
        <w:rPr>
          <w:rFonts w:ascii="Garamond" w:hAnsi="Garamond" w:cs="Garamond"/>
          <w:color w:val="auto"/>
          <w:sz w:val="24"/>
          <w:szCs w:val="24"/>
        </w:rPr>
      </w:pPr>
      <w:r w:rsidRPr="002128A6">
        <w:rPr>
          <w:rFonts w:ascii="Garamond" w:hAnsi="Garamond" w:cs="Garamond"/>
          <w:b/>
          <w:bCs/>
          <w:color w:val="auto"/>
          <w:sz w:val="24"/>
          <w:szCs w:val="24"/>
        </w:rPr>
        <w:t>Objektivi Specifik 1.4: Rritja e profesionalizmit, kapacitetit teknologjik dhe efikasitetit operacional të institucioneve ligjzbatuese dhe të drejtësisë</w:t>
      </w:r>
    </w:p>
    <w:p w14:paraId="3A495F7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Në një kohë kur krimi i organizuar vazhdon të gjejë mënyra të reja dhe më të sofistikuara për të vepruar, përfshirë pastrimin e parave dhe aktivitetet e paligjshme në shumë aspekte, rritja e </w:t>
      </w:r>
      <w:r w:rsidRPr="002128A6">
        <w:rPr>
          <w:rFonts w:ascii="Garamond" w:hAnsi="Garamond" w:cs="Garamond"/>
        </w:rPr>
        <w:lastRenderedPageBreak/>
        <w:t>profesionalizmit të institucioneve ligjzbatuese është një domosdoshmëri dhe prioritet strategjik. Për të mundësuar një luftë më efektive kundër krimit, është thelbësore që shërbimet ligjzbatuese, prokuroritë dhe gjykatat të kenë njohuri të thella, teknologji moderne dhe kapacitete të avancuara për hetime dhe procedura ligjore. Ky profesionalizëm duhet të shtrihet jo vetëm në nivelin e njohurive teknike, por edhe në aftësinë për të menaxhuar sfidat e reja që rrjedhin nga zhvillimet e shpejta në teknologji dhe metodat e krimit.</w:t>
      </w:r>
    </w:p>
    <w:p w14:paraId="2BE132ED" w14:textId="02D6816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Për të arritur këtë, nevojiten investime në trajnim të vazhdueshëm, zhvillim të kapaciteteve, si dhe shkëmbim të përvojave me partnerët ndërkombëtarë. Në të njëjtën kohë, mekanizmat e mbikëqyrjes dhe llogaridhënies brenda institucioneve të zbatimit të ligjit duhet të forcohen, me qëllim parandalimin e çdo mundësie abuzimi me pushtetin dhe zbatimin e barabartë të ligjit për të gjithë. Rritja e nivelit të profesionalizmit do të përmirësojë jo vetëm efikasitetin e institucioneve, por do të krijojë gjithashtu besim më të madh publik te drejtësia dhe ligji, duke mundësuar një mjedis më të sigurt dhe më të drejtë për shoqërinë.</w:t>
      </w:r>
    </w:p>
    <w:p w14:paraId="796B72E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2A23183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Rritje e matshme në zbulimin dhe hetimin e çështjeve komplekse të krimit të organizuar.</w:t>
      </w:r>
    </w:p>
    <w:p w14:paraId="1F643D1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Përqindje më e lartë e hetimeve që zbatojnë teknikat e hetimit paralel financiar.</w:t>
      </w:r>
    </w:p>
    <w:p w14:paraId="63893A2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3: </w:t>
      </w:r>
      <w:r w:rsidRPr="002128A6">
        <w:rPr>
          <w:rFonts w:ascii="Garamond" w:hAnsi="Garamond" w:cs="Garamond"/>
        </w:rPr>
        <w:t>Cilësi e përmirësuar e të dhënave të menaxhimit të çështjeve që mundëson alokim të burimeve bazuar në të dhëna.</w:t>
      </w:r>
    </w:p>
    <w:p w14:paraId="2289DCD7" w14:textId="230A6973"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4: </w:t>
      </w:r>
      <w:r w:rsidRPr="002128A6">
        <w:rPr>
          <w:rFonts w:ascii="Garamond" w:hAnsi="Garamond" w:cs="Garamond"/>
        </w:rPr>
        <w:t>Sigurimi i pavarësisë operacionale të BKH</w:t>
      </w:r>
      <w:r w:rsidR="000A777C" w:rsidRPr="002128A6">
        <w:rPr>
          <w:rFonts w:ascii="Garamond" w:hAnsi="Garamond" w:cs="Garamond"/>
        </w:rPr>
        <w:t>-së</w:t>
      </w:r>
      <w:r w:rsidRPr="002128A6">
        <w:rPr>
          <w:rFonts w:ascii="Garamond" w:hAnsi="Garamond" w:cs="Garamond"/>
        </w:rPr>
        <w:t>.</w:t>
      </w:r>
    </w:p>
    <w:p w14:paraId="1DE9EDB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Ky Objektiv Specifik do të zbatohet përmes Masave të mëposhtme:</w:t>
      </w:r>
    </w:p>
    <w:p w14:paraId="32503AA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1.4.1</w:t>
      </w:r>
      <w:r w:rsidRPr="002128A6">
        <w:rPr>
          <w:rFonts w:ascii="Garamond" w:hAnsi="Garamond" w:cs="Garamond"/>
        </w:rPr>
        <w:t>: Reformimi i Policisë Kriminale përmes modernizimit të strukturës organizative, përmirësimit të kapaciteteve teknologjike, trajnimit, zhvillimit profesional të personelit dhe forcimit të bashkëpunimit ndërkombëtar, përfshirë zbatimin e dispozitave të ligjit të ri nr. 82/2024 për Policinë e Shtetit.</w:t>
      </w:r>
    </w:p>
    <w:p w14:paraId="4AE6D79B"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1.4.2</w:t>
      </w:r>
      <w:r w:rsidRPr="002128A6">
        <w:rPr>
          <w:rFonts w:ascii="Garamond" w:hAnsi="Garamond" w:cs="Garamond"/>
        </w:rPr>
        <w:t>: Rritja e kapaciteteve hetimore kundër të gjitha formave të krimit të organizuar (në veçanti krimit ekonomik dhe financiar, krimit kibernetik, hetimit financiar, identifikimit dhe sekuestrimit të aseteve), përmes trajnimeve të avancuara, futjes dhe përdorimit të vazhdueshëm të teknologjive moderne, forcimit të kapaciteteve teknike, financiare, dhe infrastrukturore, përdorimit të inteligjencës kriminale, dhe bashkëpunimit e shkëmbimit të informacionit me partnerët ndërkombëtarë.</w:t>
      </w:r>
    </w:p>
    <w:p w14:paraId="14EA455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1.4.3</w:t>
      </w:r>
      <w:r w:rsidRPr="002128A6">
        <w:rPr>
          <w:rFonts w:ascii="Garamond" w:hAnsi="Garamond" w:cs="Garamond"/>
        </w:rPr>
        <w:t>: Rekrutimi punonjësve për shërbimin e policisë gjyqësore, në përputhje me nevojat operacionale të identifikuara dhe boshllëqet e prioritizuara të aftësive.</w:t>
      </w:r>
    </w:p>
    <w:p w14:paraId="7A72703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1.4.4:</w:t>
      </w:r>
      <w:r w:rsidRPr="002128A6">
        <w:rPr>
          <w:rFonts w:ascii="Garamond" w:hAnsi="Garamond" w:cs="Garamond"/>
        </w:rPr>
        <w:t xml:space="preserve"> Profilizimi i programeve të Akademisë së Sigurisë dhe arsimimi/trajnimi i punonjësve të Policisë së Shtetit në luftën kundër krimit të organizuar, përfshirë përmes përditësimit të kurrikulave dhe ofrimit të moduleve të specializuara të Akademisë së Sigurisë.</w:t>
      </w:r>
    </w:p>
    <w:p w14:paraId="13470F5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1.4.5</w:t>
      </w:r>
      <w:r w:rsidRPr="002128A6">
        <w:rPr>
          <w:rFonts w:ascii="Garamond" w:hAnsi="Garamond" w:cs="Garamond"/>
        </w:rPr>
        <w:t>: Trajnimi i oficerëve të policisë gjyqësore për hetimin financiar paralel me hetimin penal, për veprat parësore që gjenerojnë të ardhura kriminale.</w:t>
      </w:r>
    </w:p>
    <w:p w14:paraId="2824937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Masa 1.4.6: </w:t>
      </w:r>
      <w:r w:rsidRPr="002128A6">
        <w:rPr>
          <w:rFonts w:ascii="Garamond" w:hAnsi="Garamond" w:cs="Garamond"/>
        </w:rPr>
        <w:t xml:space="preserve">Rritja e kapaciteteve njerëzore dhe teknike të Prokurorisë së Posaçme dhe Byrosë Kombëtare të Hetimit, me qëllim forcimin e luftës kundër krimit të organizuar dhe korrupsionit, si dhe efikasitetin e hetimit dhe ndjekjeve të veprave penale. </w:t>
      </w:r>
    </w:p>
    <w:p w14:paraId="1E38FBD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1.4.7:</w:t>
      </w:r>
      <w:r w:rsidRPr="002128A6">
        <w:rPr>
          <w:rFonts w:ascii="Garamond" w:hAnsi="Garamond" w:cs="Garamond"/>
        </w:rPr>
        <w:t xml:space="preserve"> Rritja kapaciteteve hetimore dhe analitike (njerëzore dhe teknike) të Prokurorisë së Posaçme dhe Byrosë Kombëtare të Hetimit, me qëllim forcimin e luftës kundër krimit të organizuar dhe korrupsionit, si dhe efikasitetin e hetimit dhe ndjekjeve të veprave penale.</w:t>
      </w:r>
    </w:p>
    <w:p w14:paraId="0B214963" w14:textId="33FF67C8"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1.4.8:</w:t>
      </w:r>
      <w:r w:rsidRPr="002128A6">
        <w:rPr>
          <w:rFonts w:ascii="Garamond" w:hAnsi="Garamond" w:cs="Garamond"/>
        </w:rPr>
        <w:t xml:space="preserve"> Operacionalizimi plotë i sistemit </w:t>
      </w:r>
      <w:r w:rsidRPr="006815D8">
        <w:rPr>
          <w:rFonts w:ascii="Garamond" w:hAnsi="Garamond" w:cs="Garamond"/>
          <w:i/>
          <w:iCs/>
        </w:rPr>
        <w:t>e-Presto,</w:t>
      </w:r>
      <w:r w:rsidRPr="002128A6">
        <w:rPr>
          <w:rFonts w:ascii="Garamond" w:hAnsi="Garamond" w:cs="Garamond"/>
        </w:rPr>
        <w:t xml:space="preserve"> për të cilin masat administrative paraprake për zhvillimin teknologjik kanë përfunduar, ndërkohë që prok</w:t>
      </w:r>
      <w:r w:rsidR="009E177C" w:rsidRPr="002128A6">
        <w:rPr>
          <w:rFonts w:ascii="Garamond" w:hAnsi="Garamond" w:cs="Garamond"/>
        </w:rPr>
        <w:t>u</w:t>
      </w:r>
      <w:r w:rsidRPr="002128A6">
        <w:rPr>
          <w:rFonts w:ascii="Garamond" w:hAnsi="Garamond" w:cs="Garamond"/>
        </w:rPr>
        <w:t>rorët e Prokurorisë së Përgjithshme finalizojnë dhe përditësojnë çështjet dhe seksionet përkatëse.</w:t>
      </w:r>
    </w:p>
    <w:p w14:paraId="170900E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lastRenderedPageBreak/>
        <w:t>Masa 1.4.9</w:t>
      </w:r>
      <w:r w:rsidRPr="002128A6">
        <w:rPr>
          <w:rFonts w:ascii="Garamond" w:hAnsi="Garamond" w:cs="Garamond"/>
        </w:rPr>
        <w:t>: Operacionalizimi plotë i i Sistemit të Menaxhimit të Çështjeve në Prokurorinë e Përgjithshme.</w:t>
      </w:r>
    </w:p>
    <w:p w14:paraId="4F738E2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1.4.10</w:t>
      </w:r>
      <w:r w:rsidRPr="002128A6">
        <w:rPr>
          <w:rFonts w:ascii="Garamond" w:hAnsi="Garamond" w:cs="Garamond"/>
        </w:rPr>
        <w:t>: Operacionalizimi plotë i Sistemit të Menaxhimit të Çështjeve në Prokurorinë e Posaçme kundër Korrupsionit dhe Krimit të Organizuar dhe Byrosë Kombëtare të Hetimit.</w:t>
      </w:r>
    </w:p>
    <w:p w14:paraId="1F20726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Për të mbështetur arritjen e këtyre Masave, do të zbatohen Aktivitetet e mëposhtme:</w:t>
      </w:r>
    </w:p>
    <w:p w14:paraId="3AD1171B" w14:textId="0898A4EC"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1.4.1</w:t>
      </w:r>
    </w:p>
    <w:p w14:paraId="02704A2B" w14:textId="24F5669D"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Zbatimi i masave të ristrukturimit organizativ dhe modernizimit që kërkon </w:t>
      </w:r>
      <w:r w:rsidR="008A173E" w:rsidRPr="002128A6">
        <w:rPr>
          <w:rFonts w:ascii="Garamond" w:hAnsi="Garamond" w:cs="Garamond"/>
        </w:rPr>
        <w:t xml:space="preserve">ligji </w:t>
      </w:r>
      <w:r w:rsidRPr="002128A6">
        <w:rPr>
          <w:rFonts w:ascii="Garamond" w:hAnsi="Garamond" w:cs="Garamond"/>
        </w:rPr>
        <w:t xml:space="preserve">nr. 82/2024, përfshirë rolet e përditësuara funksionale, strukturat e thjeshtuara të komandimit dhe mekanizmat e përmirësuar të llogaridhënies së brendshme. </w:t>
      </w:r>
    </w:p>
    <w:p w14:paraId="28DA018E" w14:textId="4DE93ADB"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Modernizimi i kapaciteteve teknologjike (si mjetet e hetimit </w:t>
      </w:r>
      <w:r w:rsidR="00F54824" w:rsidRPr="002128A6">
        <w:rPr>
          <w:rFonts w:ascii="Garamond" w:hAnsi="Garamond" w:cs="Garamond"/>
        </w:rPr>
        <w:t>digjital</w:t>
      </w:r>
      <w:r w:rsidRPr="002128A6">
        <w:rPr>
          <w:rFonts w:ascii="Garamond" w:hAnsi="Garamond" w:cs="Garamond"/>
        </w:rPr>
        <w:t>, sistemet e komunikimit të sigurt dhe platformat analitike) dhe ofrimi i programeve të vazhdueshme të zhvillimit profesional të harmonizuara me standardet e policisë në BE.</w:t>
      </w:r>
    </w:p>
    <w:p w14:paraId="4E7A6553" w14:textId="693A8E97"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1.4.2</w:t>
      </w:r>
    </w:p>
    <w:p w14:paraId="488E0F99" w14:textId="5AE39A26"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Ofrimi i programeve të avancuara të trajnimit mbi krimin ekonomik dhe financiar, hetimin e krimit kibernetik, profilizimin financiar dhe teknikat e gjurmimit të aseteve, duke siguruar zbatim të metodologjive moderne nga ana e hetuesve. </w:t>
      </w:r>
    </w:p>
    <w:p w14:paraId="0CF93062" w14:textId="65C90F6C"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Zgjerimi i përdorimit të inteligjencës kriminale, kriminalistikës </w:t>
      </w:r>
      <w:r w:rsidR="00F54824" w:rsidRPr="002128A6">
        <w:rPr>
          <w:rFonts w:ascii="Garamond" w:hAnsi="Garamond" w:cs="Garamond"/>
        </w:rPr>
        <w:t>digjital</w:t>
      </w:r>
      <w:r w:rsidRPr="002128A6">
        <w:rPr>
          <w:rFonts w:ascii="Garamond" w:hAnsi="Garamond" w:cs="Garamond"/>
        </w:rPr>
        <w:t>e dhe mjeteve analitike, dhe forcimi i bashkëpunimit me partnerët ndërkombëtarë për të mbështetur hetime komplekse ndërkufitare.</w:t>
      </w:r>
    </w:p>
    <w:p w14:paraId="4EC1E43C" w14:textId="0BDE75D3"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1.4.3</w:t>
      </w:r>
    </w:p>
    <w:p w14:paraId="7F5DBA51" w14:textId="60083AA4"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Kryerja e vlerësimeve të nevojave për të identifikuar boshllëqet operacionale dhe fushat prioritare ku kërkohet personel shtesë të policisë gjyqësore. </w:t>
      </w:r>
    </w:p>
    <w:p w14:paraId="49C1C48A" w14:textId="489D75D7"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Zbatimi i proceseve transparente të rekrutimit për të garantuar përzgjedhjen e kandidatëve të kualifikuar me aftësitë e nevojshme për funksionet e specializuara hetimore.</w:t>
      </w:r>
    </w:p>
    <w:p w14:paraId="299DB993" w14:textId="67A487AF"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1.4.4</w:t>
      </w:r>
    </w:p>
    <w:p w14:paraId="22E51545" w14:textId="39267EF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Përditësimi i kurrikulave të Akademisë së Sigurisë, duke futur module të specializuara mbi krimin e organizuar, hetimin financiar, krimin kibernetik dhe policimin e udhëhequr nga inteligjenca. </w:t>
      </w:r>
    </w:p>
    <w:p w14:paraId="496DBBE0" w14:textId="09A6BB5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Ofrimi i cikleve të vazhdueshme të trajnimit për punonjësit e Policisë së Shtetit, duke siguruar harmonizim me tendencat evoluese të krimit, standardet e BE-së dhe nevojat operacionale.</w:t>
      </w:r>
    </w:p>
    <w:p w14:paraId="11CD68FA" w14:textId="58F637C7"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1.4.5</w:t>
      </w:r>
    </w:p>
    <w:p w14:paraId="1041082E" w14:textId="7D2F0593"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Ofrimi i trajnimeve të specializuara për kryerjen e hetimeve financiare krahas hetimeve të veprave penale parësore, përfshirë gjurmimin e aseteve, analizën financiare dhe mbledhjen e provave. </w:t>
      </w:r>
    </w:p>
    <w:p w14:paraId="29E37985" w14:textId="62394A05"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Përgatitja e procedurave standarde operacionale dhe e ushtrimeve praktike të çështjeve, për të siguruar zbatim konsistent të teknikave të hetimit paralel financiar.</w:t>
      </w:r>
    </w:p>
    <w:p w14:paraId="16B9AE9F" w14:textId="7A67F99A"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1.4.6</w:t>
      </w:r>
    </w:p>
    <w:p w14:paraId="6C6CD24A" w14:textId="414C605D" w:rsidR="0025426C" w:rsidRPr="002128A6" w:rsidRDefault="0025426C" w:rsidP="0025426C">
      <w:pPr>
        <w:pStyle w:val="ListParagraph"/>
        <w:spacing w:after="0" w:line="240" w:lineRule="auto"/>
        <w:ind w:left="0" w:firstLine="284"/>
        <w:jc w:val="both"/>
        <w:rPr>
          <w:rFonts w:ascii="Garamond" w:hAnsi="Garamond" w:cs="Garamond"/>
          <w:strike/>
        </w:rPr>
      </w:pPr>
      <w:r w:rsidRPr="002128A6">
        <w:rPr>
          <w:rFonts w:ascii="Garamond" w:hAnsi="Garamond" w:cs="Garamond"/>
        </w:rPr>
        <w:t>- Rekrutimi i prokurorëve shtesë të specializuar, analistë dhe personel mbështetës, për të forcuar aftësinë e SPAK-ut, si dhe të hetuesve dhe oficerëve të shërbimeve të policisë gjyq</w:t>
      </w:r>
      <w:r w:rsidR="00257B20" w:rsidRPr="002128A6">
        <w:rPr>
          <w:rFonts w:ascii="Garamond" w:hAnsi="Garamond" w:cs="Garamond"/>
        </w:rPr>
        <w:t>ë</w:t>
      </w:r>
      <w:r w:rsidRPr="002128A6">
        <w:rPr>
          <w:rFonts w:ascii="Garamond" w:hAnsi="Garamond" w:cs="Garamond"/>
        </w:rPr>
        <w:t xml:space="preserve">sore në Byronë Kombëtare të hetimit, me qëllim forcimin e kapaciteteve institucionale për hetimin dhe ndjekjen penale të krimit të organizuar dhe korrupsionit. Në kuadër të zbatimit të strukturës së re organizative, BKH-ja parashikohet të rekrutojë 40 hetues dhe 40 oficerë të shërbimeve të policisë gjyqësore. </w:t>
      </w:r>
    </w:p>
    <w:p w14:paraId="25CC5A7E" w14:textId="5096CE6D"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Prokurimi i teknologjive të avancuara hetimore, sistemeve </w:t>
      </w:r>
      <w:r w:rsidR="00F54824" w:rsidRPr="002128A6">
        <w:rPr>
          <w:rFonts w:ascii="Garamond" w:hAnsi="Garamond" w:cs="Garamond"/>
        </w:rPr>
        <w:t>digjital</w:t>
      </w:r>
      <w:r w:rsidRPr="002128A6">
        <w:rPr>
          <w:rFonts w:ascii="Garamond" w:hAnsi="Garamond" w:cs="Garamond"/>
        </w:rPr>
        <w:t>e të sigurta dhe mjeteve analitike dhe pajisjeve në funksion të pavarësisë operacionale, për të rritur efikasitetin operacional të SPAK-ut dhe kapacitetet për trajtimin e çështjeve.</w:t>
      </w:r>
    </w:p>
    <w:p w14:paraId="2BB8661F" w14:textId="78DF3A10"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1.4.7</w:t>
      </w:r>
    </w:p>
    <w:p w14:paraId="5C327EA3" w14:textId="19771C9E"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Ngritja e skuadrave analitike shumëdisiplinore, të pajisura me mjete moderne për analizën e të dhënave, skicimin e lidhjeve, profilizimin financiar dhe përpunimin e provave </w:t>
      </w:r>
      <w:r w:rsidR="00F54824" w:rsidRPr="002128A6">
        <w:rPr>
          <w:rFonts w:ascii="Garamond" w:hAnsi="Garamond" w:cs="Garamond"/>
        </w:rPr>
        <w:t>digjital</w:t>
      </w:r>
      <w:r w:rsidRPr="002128A6">
        <w:rPr>
          <w:rFonts w:ascii="Garamond" w:hAnsi="Garamond" w:cs="Garamond"/>
        </w:rPr>
        <w:t xml:space="preserve">e. </w:t>
      </w:r>
    </w:p>
    <w:p w14:paraId="18312914" w14:textId="4F699EC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Ofrimi i trajnimit të vazhdueshëm për hetuesit dhe analistët e SPAK-ut mbi ndërtimin e çështjeve komplekse, shfrytëzimin e inteligjencës dhe mekanizmat e bashkëpunimit ndërkombëtar.</w:t>
      </w:r>
    </w:p>
    <w:p w14:paraId="3101B364" w14:textId="34AC3106"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lastRenderedPageBreak/>
        <w:t xml:space="preserve">Aktivitete për masën </w:t>
      </w:r>
      <w:r w:rsidR="0025426C" w:rsidRPr="002128A6">
        <w:rPr>
          <w:rFonts w:ascii="Garamond" w:hAnsi="Garamond" w:cs="Garamond"/>
          <w:b/>
          <w:bCs/>
          <w:i/>
          <w:iCs/>
        </w:rPr>
        <w:t>1.4.8</w:t>
      </w:r>
    </w:p>
    <w:p w14:paraId="294BD5FA" w14:textId="61296D14" w:rsidR="0025426C" w:rsidRPr="006815D8" w:rsidRDefault="0025426C" w:rsidP="0025426C">
      <w:pPr>
        <w:pStyle w:val="ListParagraph"/>
        <w:spacing w:after="0" w:line="240" w:lineRule="auto"/>
        <w:ind w:left="0" w:firstLine="284"/>
        <w:jc w:val="both"/>
        <w:rPr>
          <w:rFonts w:ascii="Garamond" w:hAnsi="Garamond" w:cs="Garamond"/>
          <w:i/>
          <w:iCs/>
        </w:rPr>
      </w:pPr>
      <w:r w:rsidRPr="002128A6">
        <w:rPr>
          <w:rFonts w:ascii="Garamond" w:hAnsi="Garamond" w:cs="Garamond"/>
        </w:rPr>
        <w:t xml:space="preserve">- Përfundimi i hedhjes së të dhënave, përditësimeve të çështjeve dhe popullimit të seksioneve nga prokurorët në zyrat me juridiksion të përgjithshëm, për të siguruar funksionalitet të plotë të sistemit </w:t>
      </w:r>
      <w:r w:rsidRPr="006815D8">
        <w:rPr>
          <w:rFonts w:ascii="Garamond" w:hAnsi="Garamond" w:cs="Garamond"/>
          <w:i/>
          <w:iCs/>
        </w:rPr>
        <w:t xml:space="preserve">e-Presto. </w:t>
      </w:r>
    </w:p>
    <w:p w14:paraId="5D5C98B5" w14:textId="006C34EB"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Ofrimi i trajnimit dhe mbështetjes teknike për prokurorët dhe personelin administrativ, për të siguruar përdorim konsistent të sistemit për menaxhimin dhe raportimin e çështjeve.</w:t>
      </w:r>
    </w:p>
    <w:p w14:paraId="445B3D22" w14:textId="7FEF5865"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1.4.9</w:t>
      </w:r>
    </w:p>
    <w:p w14:paraId="7B4511F9" w14:textId="1B960D6A"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Finalizimi i integrimit të sistemit, aksesit të përdoruesit dhe migrimit të të dhënave, për të mundësuar përdorim të plotë operacional të Sistemit të Menaxhimit të Çështjeve në Prokurorinë e Përgjithshme. </w:t>
      </w:r>
    </w:p>
    <w:p w14:paraId="23CF6862" w14:textId="565568A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Ofrimi i trajnimit për prokurorët dhe personelin administrativ mbi funksionalitetet e SMÇ-së, që të përmirësohet cilësia e të dhënave, gjurmimi i çështjeve dhe alokimi i burimeve bazuar në të dhëna.</w:t>
      </w:r>
    </w:p>
    <w:p w14:paraId="66E432DE" w14:textId="710CACDD"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1.4.10</w:t>
      </w:r>
    </w:p>
    <w:p w14:paraId="5B80627C" w14:textId="684EEA93"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Instalimi, konfigurimi dhe funksionimi i sigurt i Sistemit të Menaxhimit të Çështjeve brenda SPAK-ut, përfshirë integrimin me mjetet hetimore dhe analitike. </w:t>
      </w:r>
    </w:p>
    <w:p w14:paraId="674F2834" w14:textId="67745E6E"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Ofrimi i trajnimit të specializuar për prokurorët dhe personelin e SPAK-ut për të maksimizuar përdorimin e sistemit për menaxhimin e çështjeve komplekse, monitorimin e performancës dhe planifikimin strategjik.</w:t>
      </w:r>
    </w:p>
    <w:p w14:paraId="62C6481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6BC80466" w14:textId="1B57BEB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 xml:space="preserve">Numri i njësive organizative të Policisë Kriminale të ristrukturuara sipas </w:t>
      </w:r>
      <w:r w:rsidR="00257B20" w:rsidRPr="002128A6">
        <w:rPr>
          <w:rFonts w:ascii="Garamond" w:hAnsi="Garamond" w:cs="Garamond"/>
        </w:rPr>
        <w:t xml:space="preserve">ligjit </w:t>
      </w:r>
      <w:r w:rsidRPr="002128A6">
        <w:rPr>
          <w:rFonts w:ascii="Garamond" w:hAnsi="Garamond" w:cs="Garamond"/>
        </w:rPr>
        <w:t>nr. 82/2024, si dhe të Byrosë Kombëtare të Hetimit sipas Ligjit nr. 95/2026, i ndryshuar.</w:t>
      </w:r>
    </w:p>
    <w:p w14:paraId="735DB4C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oficerëve, hetuesve dhe shërbimeve të policisë gjyqësore në BKH të trajnuar në hetime financiare dhe teknika të specializuara në çështjet kundër krimit të organizuar.</w:t>
      </w:r>
    </w:p>
    <w:p w14:paraId="6CED8D6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vendeve të punës në policinë gjyqësore të plotësuara për cikël rekrutimi.</w:t>
      </w:r>
    </w:p>
    <w:p w14:paraId="7056E1D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4: </w:t>
      </w:r>
      <w:r w:rsidRPr="002128A6">
        <w:rPr>
          <w:rFonts w:ascii="Garamond" w:hAnsi="Garamond" w:cs="Garamond"/>
        </w:rPr>
        <w:t xml:space="preserve">Statusi operacional i </w:t>
      </w:r>
      <w:r w:rsidRPr="002128A6">
        <w:rPr>
          <w:rFonts w:ascii="Garamond" w:hAnsi="Garamond" w:cs="Garamond"/>
          <w:i/>
          <w:iCs/>
        </w:rPr>
        <w:t>e-Presto</w:t>
      </w:r>
      <w:r w:rsidRPr="002128A6">
        <w:rPr>
          <w:rFonts w:ascii="Garamond" w:hAnsi="Garamond" w:cs="Garamond"/>
        </w:rPr>
        <w:t xml:space="preserve"> dhe SMÇ-së, si dhe metrika e popullimit të çështjeve.</w:t>
      </w:r>
    </w:p>
    <w:p w14:paraId="5023CAB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Institucionet përgjegjëse:</w:t>
      </w:r>
      <w:r w:rsidRPr="002128A6">
        <w:rPr>
          <w:rFonts w:ascii="Garamond" w:hAnsi="Garamond" w:cs="Garamond"/>
        </w:rPr>
        <w:t xml:space="preserve"> Policia e Shtetit, Akademia e Sigurisë, Byroja Kombëtare e Hetimit, Struktura e Posaçme Kundër Korrupsionit dhe Krimit të Organizuar, Prokuroria e Përgjithshme.</w:t>
      </w:r>
    </w:p>
    <w:p w14:paraId="0824392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Institucionet mbështetëse:</w:t>
      </w:r>
      <w:r w:rsidRPr="002128A6">
        <w:rPr>
          <w:rFonts w:ascii="Garamond" w:hAnsi="Garamond" w:cs="Garamond"/>
        </w:rPr>
        <w:t xml:space="preserve"> Ministria e Punëve të Brendshme, Prokuroria e Përgjithshme;, Prokuroria e Posaçme kundër Korrupsionit dhe Krimit të Organizuar, Byroja Kombëtare e Hetimit, Policia e Shtetit/Akademia e Sigurisë, Ministria e Drejtësisë. </w:t>
      </w:r>
    </w:p>
    <w:p w14:paraId="70B0636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39E16983"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Përqindja e çështjeve të krimit të organizuar të dërguara për gjykim që përfshijnë hetim financiar paralel.</w:t>
      </w:r>
    </w:p>
    <w:p w14:paraId="1799A860" w14:textId="5FC050AB" w:rsidR="0025426C" w:rsidRPr="002128A6" w:rsidRDefault="0025426C" w:rsidP="0025426C">
      <w:pPr>
        <w:tabs>
          <w:tab w:val="left" w:pos="900"/>
        </w:tabs>
        <w:spacing w:after="0" w:line="240" w:lineRule="auto"/>
        <w:ind w:firstLine="284"/>
        <w:jc w:val="both"/>
        <w:rPr>
          <w:rFonts w:ascii="Garamond" w:hAnsi="Garamond" w:cs="Garamond"/>
        </w:rPr>
      </w:pPr>
      <w:r w:rsidRPr="002128A6">
        <w:rPr>
          <w:rFonts w:ascii="Garamond" w:hAnsi="Garamond" w:cs="Garamond"/>
          <w:b/>
          <w:bCs/>
        </w:rPr>
        <w:t xml:space="preserve">Vlera bazë: </w:t>
      </w:r>
      <w:r w:rsidRPr="002128A6">
        <w:rPr>
          <w:rFonts w:ascii="Garamond" w:hAnsi="Garamond" w:cs="Garamond"/>
        </w:rPr>
        <w:t>Viti 2025, SPAK: 20%</w:t>
      </w:r>
      <w:r w:rsidR="00CC782F" w:rsidRPr="002128A6">
        <w:rPr>
          <w:rFonts w:ascii="Garamond" w:hAnsi="Garamond" w:cs="Garamond"/>
        </w:rPr>
        <w:t>;</w:t>
      </w:r>
    </w:p>
    <w:p w14:paraId="7CDD1FEC" w14:textId="1127E6B3"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në 2030: </w:t>
      </w:r>
      <w:r w:rsidRPr="002128A6">
        <w:rPr>
          <w:rFonts w:ascii="Garamond" w:hAnsi="Garamond" w:cs="Garamond"/>
        </w:rPr>
        <w:t>do të konfirmohet në vitin 2026</w:t>
      </w:r>
      <w:r w:rsidR="00CC782F" w:rsidRPr="002128A6">
        <w:rPr>
          <w:rFonts w:ascii="Garamond" w:hAnsi="Garamond" w:cs="Garamond"/>
        </w:rPr>
        <w:t>.</w:t>
      </w:r>
    </w:p>
    <w:p w14:paraId="4A1E91A7" w14:textId="77777777" w:rsidR="0025426C" w:rsidRPr="002128A6" w:rsidRDefault="0025426C" w:rsidP="0025426C">
      <w:pPr>
        <w:pStyle w:val="Heading3"/>
        <w:spacing w:before="0" w:after="0" w:line="240" w:lineRule="auto"/>
        <w:ind w:firstLine="284"/>
        <w:jc w:val="both"/>
        <w:rPr>
          <w:rFonts w:ascii="Garamond" w:hAnsi="Garamond" w:cs="Garamond"/>
          <w:b/>
          <w:bCs/>
          <w:color w:val="auto"/>
          <w:sz w:val="24"/>
          <w:szCs w:val="24"/>
        </w:rPr>
      </w:pPr>
      <w:r w:rsidRPr="002128A6">
        <w:rPr>
          <w:rFonts w:ascii="Garamond" w:hAnsi="Garamond" w:cs="Garamond"/>
          <w:b/>
          <w:bCs/>
          <w:color w:val="auto"/>
          <w:sz w:val="24"/>
          <w:szCs w:val="24"/>
        </w:rPr>
        <w:t>Objektivi Specifik 1.5: Reduktimi i stimujve dhe mundësive financiare për krimin e organizuar nëpërmjet forcimit të kontrolleve ekonomike dhe ndërprerjes së burimeve të financimit</w:t>
      </w:r>
    </w:p>
    <w:p w14:paraId="11C68352" w14:textId="7D72F7BB"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Krimi i organizuar lulëzon kur gjen mundësi financiare dhe aftësia e tij për të gjeneruar, fshehur dhe riinvestuar fitimet e paligjshme është ajo që mban strukturat kriminale të qëndrueshme me kalimin e kohës. Prandaj, reduktimi i incentivave dhe mundësive financiare për krimin e organizuar është një komponent kritik i arkitekturës parandaluese dhe zbatuese të Shqipërisë. Duke forcuar kontrollet ekonomike, duke përmirësuar mbikëqyrjen e bazuar në rrezik dhe duke ndërprerë flukset e paligjshme financiare, Strategjia synon të dërgojë një mesazh të qartë dhe të qëndrueshëm: përfshirja në krimin e organizuar nuk ia vlen. Vendosja në shënjestër e dimensionit financiar të aktivitetit kriminal jo vetëm dobëson rrjetet kriminale, por edhe dekurajon shkelësit e mundshëm duke hequr përfitimet ekonomike që nxitin pjesëmarrjen në tregjet e paligjshme.</w:t>
      </w:r>
    </w:p>
    <w:p w14:paraId="07A8977E"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Ky Objektiv Specifik fokusohet në rritjen e kapacitetit të institucioneve shtetërore në zbulimin, parandalimin dhe kundërpërgjigjen ndaj krimeve financiare të lidhura me grupet e organizuara </w:t>
      </w:r>
      <w:r w:rsidRPr="002128A6">
        <w:rPr>
          <w:rFonts w:ascii="Garamond" w:hAnsi="Garamond" w:cs="Garamond"/>
        </w:rPr>
        <w:lastRenderedPageBreak/>
        <w:t>kriminale. Përmes vlerësimeve gjithëpërfshirëse të kërcënimeve, inspektimeve të koordinuara dhe zhvillimit të mjeteve specifike sektoriale të vlerësimit të rrezikut, institucionet do të jenë më të mirëpajisura në identifikimit e sektorëve me rrezik të lartë, në monitorimin e aktiviteteve të dyshimta dhe në ndërhyrjen e hershme. Forcimi i kontrolleve kundër informalitetit, evazionit fiskal dhe shmangies tatimore do të reduktojnë më tej hapësirën ekonomike në të cilën veprojnë grupet kriminale, ndërsa përmirëson transparencën dhe llogaridhënien në të gjithë ekonominë. Këto masa mbështesin edhe përpjekjet më të gjera kombëtare për të përmirësuar integritetin fiskal dhe për t’u harmonizuar me standardet e BE-së për luftën kundër pastrimit të parave dhe për mbikëqyrjen financiare.</w:t>
      </w:r>
    </w:p>
    <w:p w14:paraId="69C860D0"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Element kyç i këtij objektivi është përdorimi strategjik i aseteve të konfiskuara, në mënyrë që të ardhurat kriminale jo vetëm t’u hiqen shkelësve, por edhe të riinvestohen për interes publik. Duke promovuar ripërdorimin social të pronave të konfiskuara dhe duke integruar metodologjitë e bazuara në rrezik në sistemet e inspektimit, Shqipëria përforcon një model parandalues që ndërpret financat kriminale, ndërsa mbështet zhvillimin komunitar. Përmes veprimit të koordinuar midis autoriteteve ligjzbatuese, tatimore dhe doganore, qeverisjes vendore dhe partnerëve ndërkombëtarë, Strategjia synon të ndërtojë një kornizë të fortë për ndërprerjen e krimeve financiare, forcojë rezistencën institucionale dhe kontribuojë në stabilitetin afatgjatë ekonomik dhe social.</w:t>
      </w:r>
    </w:p>
    <w:p w14:paraId="4736F39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222AB9A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Rritje e konsiderueshme e vlerës vjetore të aseteve të sekuestruara dhe të konfiskuara.</w:t>
      </w:r>
    </w:p>
    <w:p w14:paraId="5C20E31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Hetimi paralel financiar bëhet standard operacional për të gjitha veprat penale që sigurojnë të ardhura të jashtëligjshme.</w:t>
      </w:r>
    </w:p>
    <w:p w14:paraId="74B464E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3: </w:t>
      </w:r>
      <w:r w:rsidRPr="002128A6">
        <w:rPr>
          <w:rFonts w:ascii="Garamond" w:hAnsi="Garamond" w:cs="Garamond"/>
        </w:rPr>
        <w:t>Monitorimi i bazuar në rrezik i sektorëve me rrezik të lartë institucionalizohet dhe mbahet i qëndrueshëm.</w:t>
      </w:r>
    </w:p>
    <w:p w14:paraId="4791098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Ky Objektiv Specifik do të zbatohet përmes Masave të mëposhtme:</w:t>
      </w:r>
    </w:p>
    <w:p w14:paraId="22275EA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1.5.1:</w:t>
      </w:r>
      <w:r w:rsidRPr="002128A6">
        <w:rPr>
          <w:rFonts w:ascii="Garamond" w:hAnsi="Garamond" w:cs="Garamond"/>
        </w:rPr>
        <w:t xml:space="preserve"> Kryerja e vlerësimit kombëtar të kërcënimeve nga krimi i organizuar dhe krimet e rënda.</w:t>
      </w:r>
    </w:p>
    <w:p w14:paraId="5B67FC7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1.5.2:</w:t>
      </w:r>
      <w:r w:rsidRPr="002128A6">
        <w:rPr>
          <w:rFonts w:ascii="Garamond" w:hAnsi="Garamond" w:cs="Garamond"/>
        </w:rPr>
        <w:t xml:space="preserve"> Rritja e kontrolleve të bazuara në rrezik, të kryera kundër informalitetit, evazionit fiskal dhe shmangies tatimore.</w:t>
      </w:r>
    </w:p>
    <w:p w14:paraId="3F4E725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1.5.3:</w:t>
      </w:r>
      <w:r w:rsidRPr="002128A6">
        <w:rPr>
          <w:rFonts w:ascii="Garamond" w:hAnsi="Garamond" w:cs="Garamond"/>
        </w:rPr>
        <w:t xml:space="preserve"> Forcimi i kontrolleve dhe inspektimeve të koordinuara dhe inspektimeve te bizneset me rrezik të lartë.</w:t>
      </w:r>
    </w:p>
    <w:p w14:paraId="3F8499F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1.5.4:</w:t>
      </w:r>
      <w:r w:rsidRPr="002128A6">
        <w:rPr>
          <w:rFonts w:ascii="Garamond" w:hAnsi="Garamond" w:cs="Garamond"/>
        </w:rPr>
        <w:t xml:space="preserve"> Monitorimi i mallrave me risk të lartë mallrave të cenueshme ndaj evazionit fiskal.</w:t>
      </w:r>
    </w:p>
    <w:p w14:paraId="5D1475D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Për të mbështetur arritjen e këtyre Masave, do të zbatohen Aktivitetet e mëposhtme.</w:t>
      </w:r>
    </w:p>
    <w:p w14:paraId="74F8DD3E" w14:textId="42DF3AC7"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1.5.1</w:t>
      </w:r>
    </w:p>
    <w:p w14:paraId="0A4C7934" w14:textId="762E0BBC"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w:t>
      </w:r>
      <w:r w:rsidR="00F54824" w:rsidRPr="002128A6">
        <w:rPr>
          <w:rFonts w:ascii="Garamond" w:hAnsi="Garamond" w:cs="Garamond"/>
        </w:rPr>
        <w:t xml:space="preserve"> </w:t>
      </w:r>
      <w:r w:rsidRPr="002128A6">
        <w:rPr>
          <w:rFonts w:ascii="Garamond" w:hAnsi="Garamond" w:cs="Garamond"/>
        </w:rPr>
        <w:t xml:space="preserve">Kryerja e një vlerësim gjithëpërfshirës kombëtar të kërcënimeve, duke integruar inteligjencën ligjzbatuese, të dhënat e sektorit financiar dhe treguesit specifikë sektorialë të rrezikut, për të identifikuar tregjet kriminale, tendencat në zhvillim dhe sektorët me rrezik të lartë. </w:t>
      </w:r>
    </w:p>
    <w:p w14:paraId="32D28619" w14:textId="33037F3B"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Përgatitja e një raport analitik me kërcënimet e prioritizuara, masat zbutëse të rekomanduara dhe inteligjencën që orienton veprimet, me qëllim që të udhëheqë planifikimin operacional dhe alokimin e burimeve nëpër institucione.</w:t>
      </w:r>
    </w:p>
    <w:p w14:paraId="516F4E7D" w14:textId="658700A2"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1.5.2</w:t>
      </w:r>
    </w:p>
    <w:p w14:paraId="3622F058" w14:textId="0E5B8C1F"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Zbatimi i inspektimeve dhe auditime të shënjestruara të bazuara në rrezik, në sektorët me ekspozim të lartë ndaj informalitetit dhe evazionit fiskal, duke përdorur analitikë të të dhënave dhe shkëmbim ndërinstitucional të informacionit për të prioritizuar çështjet. </w:t>
      </w:r>
    </w:p>
    <w:p w14:paraId="756B3F20" w14:textId="54D6FBEA"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Forcimi i zbatueshmërisë duke integruar rezultatet e inteligjencës financiare, treguesit e transaksioneve të dyshimta dhe profilet specifike sektoriale të rrezikut në planifikimin e inspektimeve dhe procedurat vijuese.</w:t>
      </w:r>
    </w:p>
    <w:p w14:paraId="2E61A2B1" w14:textId="5D90CA64"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1.5.3</w:t>
      </w:r>
    </w:p>
    <w:p w14:paraId="72AB21B6" w14:textId="354DFEC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lastRenderedPageBreak/>
        <w:t>- Ngritja e skuadrave të përbashkëta të inspektimit/kontrollit/mbikëqyrjes, që përfshijnë autoritetet mbikëqyrëse në fushën e PPP/FT, autoritetet doganore dhe tatimore, autoritetet licencuese, për të kryer kontrolle të koordinuara të bizneseve me rrezik të lartë, duke siguruar zbatim konsistent dhe dublikim të reduktuar, sipas fushës së përgjegjësisë.</w:t>
      </w:r>
    </w:p>
    <w:p w14:paraId="2A3932E9" w14:textId="2215AAFF"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Zhvillimi dhe zbatimi i mjeteve specifike sektoriale të vlerësimit të rrezikut, për të identifikuar bizneset me ekspozim të shtuar ndaj infiltrimit të krimit të organizuar, duke mundësuar ndërhyrje të hershme dhe mbikëqyrje të bazuar në risk.</w:t>
      </w:r>
    </w:p>
    <w:p w14:paraId="6F62EEC8" w14:textId="2BD80C59" w:rsidR="0025426C" w:rsidRPr="002128A6" w:rsidRDefault="00EF05E1" w:rsidP="0025426C">
      <w:pPr>
        <w:spacing w:after="0" w:line="240" w:lineRule="auto"/>
        <w:ind w:firstLine="284"/>
        <w:jc w:val="both"/>
        <w:rPr>
          <w:rFonts w:ascii="Garamond" w:hAnsi="Garamond" w:cs="Garamond"/>
          <w:b/>
          <w:bCs/>
          <w:i/>
          <w:iCs/>
        </w:rPr>
      </w:pPr>
      <w:r w:rsidRPr="002128A6">
        <w:rPr>
          <w:rFonts w:ascii="Garamond" w:hAnsi="Garamond" w:cs="Garamond"/>
          <w:b/>
          <w:bCs/>
          <w:i/>
          <w:iCs/>
        </w:rPr>
        <w:t xml:space="preserve">Aktivitete për masën </w:t>
      </w:r>
      <w:r w:rsidR="0025426C" w:rsidRPr="002128A6">
        <w:rPr>
          <w:rFonts w:ascii="Garamond" w:hAnsi="Garamond" w:cs="Garamond"/>
          <w:b/>
          <w:bCs/>
          <w:i/>
          <w:iCs/>
        </w:rPr>
        <w:t>1.5.4</w:t>
      </w:r>
    </w:p>
    <w:p w14:paraId="416F5C34" w14:textId="341A8DE7"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Monitorimi sistematik i mallrave me rrezik të lartë, si karburanti, duhani, alkooli dhe produktet e akcizës, duke përdorur sistemet </w:t>
      </w:r>
      <w:r w:rsidR="00F54824" w:rsidRPr="002128A6">
        <w:rPr>
          <w:rFonts w:ascii="Garamond" w:hAnsi="Garamond" w:cs="Garamond"/>
        </w:rPr>
        <w:t>digjital</w:t>
      </w:r>
      <w:r w:rsidRPr="002128A6">
        <w:rPr>
          <w:rFonts w:ascii="Garamond" w:hAnsi="Garamond" w:cs="Garamond"/>
        </w:rPr>
        <w:t xml:space="preserve">e të gjurmimit, të dhënat doganore dhe profilizimin e bazuar në rrezik. </w:t>
      </w:r>
    </w:p>
    <w:p w14:paraId="6830FFF2" w14:textId="0102FA9B"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Kryerja e veprimeve të përbashkëta operacionale për të zbuluar parregullsitë në zinxhirët e importit, eksportit dhe shpërndarjes, duke siguruar referim në kohë të rasteve të dyshimta për hetim dhe ndjekje financiare.</w:t>
      </w:r>
    </w:p>
    <w:p w14:paraId="3AD7C493"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029D173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Numri i manualeve të vlerësimit sektorial të rrezikut të hartuar dhe të përditësuar çdo vit.</w:t>
      </w:r>
    </w:p>
    <w:p w14:paraId="5F8F79D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Vlera vjetore e aseteve të sekuestruara dhe të konfiskuara përmes hetimit paralel financiar.</w:t>
      </w:r>
    </w:p>
    <w:p w14:paraId="1E41C1B7" w14:textId="12B4A152"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Volumi i informacioneve (inteligjencës financiare) të ndarë nga AIF,</w:t>
      </w:r>
      <w:r w:rsidR="00F54824" w:rsidRPr="002128A6">
        <w:rPr>
          <w:rFonts w:ascii="Garamond" w:hAnsi="Garamond" w:cs="Garamond"/>
        </w:rPr>
        <w:t xml:space="preserve"> </w:t>
      </w:r>
      <w:r w:rsidRPr="002128A6">
        <w:rPr>
          <w:rFonts w:ascii="Garamond" w:hAnsi="Garamond" w:cs="Garamond"/>
        </w:rPr>
        <w:t>tek institucionet e zbatimit të ligjit (DPT, PP dhe PSH) dhe rezultatet hetimore të raportuara prej këtyre agjencive (rastet e referuara në prokurori).</w:t>
      </w:r>
    </w:p>
    <w:p w14:paraId="5BB15216" w14:textId="6151E8F6"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përgjegjëse: </w:t>
      </w:r>
      <w:r w:rsidRPr="002128A6">
        <w:rPr>
          <w:rFonts w:ascii="Garamond" w:hAnsi="Garamond" w:cs="Garamond"/>
        </w:rPr>
        <w:t xml:space="preserve">Ministria e Punëve të Brendshme, Drejtoria e </w:t>
      </w:r>
      <w:r w:rsidR="00523F34" w:rsidRPr="002128A6">
        <w:rPr>
          <w:rFonts w:ascii="Garamond" w:hAnsi="Garamond" w:cs="Garamond"/>
        </w:rPr>
        <w:t>Përgjithshme</w:t>
      </w:r>
      <w:r w:rsidRPr="002128A6">
        <w:rPr>
          <w:rFonts w:ascii="Garamond" w:hAnsi="Garamond" w:cs="Garamond"/>
        </w:rPr>
        <w:t xml:space="preserve"> e Tatimeve.</w:t>
      </w:r>
    </w:p>
    <w:p w14:paraId="3CA6F035" w14:textId="51C47BBF"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mbështetëse: </w:t>
      </w:r>
      <w:r w:rsidRPr="002128A6">
        <w:rPr>
          <w:rFonts w:ascii="Garamond" w:hAnsi="Garamond" w:cs="Garamond"/>
        </w:rPr>
        <w:t>Ministritë relevante të linjës; Policia e Shtetit, Agjencia e Inteligjencës Financiare, Shërbimi Informativ i Shtetit, Autoriteti Kombëtar për Sigurinë Kibernetike,</w:t>
      </w:r>
      <w:r w:rsidR="00F54824" w:rsidRPr="002128A6">
        <w:rPr>
          <w:rFonts w:ascii="Garamond" w:hAnsi="Garamond" w:cs="Garamond"/>
        </w:rPr>
        <w:t xml:space="preserve"> </w:t>
      </w:r>
      <w:r w:rsidRPr="002128A6">
        <w:rPr>
          <w:rFonts w:ascii="Garamond" w:hAnsi="Garamond" w:cs="Garamond"/>
        </w:rPr>
        <w:t>Prokuroria e Përgjithshme; Prokuroria e Posaçme; Byroja Kombëtare e Hetimit;</w:t>
      </w:r>
    </w:p>
    <w:p w14:paraId="6B59EF6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74422D90"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Norma e aseteve të konfiskuara kundrejt vlerës së pasurive të sekuestruara në procedimet penale.</w:t>
      </w:r>
    </w:p>
    <w:p w14:paraId="29DAE3ED" w14:textId="6F529D69"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Vlera bazë: </w:t>
      </w:r>
      <w:r w:rsidRPr="002128A6">
        <w:rPr>
          <w:rFonts w:ascii="Garamond" w:hAnsi="Garamond" w:cs="Garamond"/>
        </w:rPr>
        <w:t>Vlera bazë e 2025 (3%): pasuri të sekuestruara 5,885,833,434 ALL; konfiskuara 180,670,028.80 ALL;</w:t>
      </w:r>
      <w:r w:rsidR="00F54824" w:rsidRPr="002128A6">
        <w:rPr>
          <w:rFonts w:ascii="Garamond" w:hAnsi="Garamond" w:cs="Garamond"/>
        </w:rPr>
        <w:t xml:space="preserve"> </w:t>
      </w:r>
    </w:p>
    <w:p w14:paraId="4D66C34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në 2030: </w:t>
      </w:r>
      <w:r w:rsidRPr="002128A6">
        <w:rPr>
          <w:rFonts w:ascii="Garamond" w:hAnsi="Garamond" w:cs="Garamond"/>
        </w:rPr>
        <w:t xml:space="preserve">+8% rritje e vlerës deri në vitin 2030. </w:t>
      </w:r>
    </w:p>
    <w:p w14:paraId="6CED4F1D" w14:textId="16B1AFFA" w:rsidR="0025426C" w:rsidRPr="002128A6" w:rsidRDefault="0025426C" w:rsidP="0025426C">
      <w:pPr>
        <w:pStyle w:val="Heading3"/>
        <w:spacing w:before="0" w:after="0" w:line="240" w:lineRule="auto"/>
        <w:ind w:firstLine="284"/>
        <w:jc w:val="both"/>
        <w:rPr>
          <w:rFonts w:ascii="Garamond" w:hAnsi="Garamond" w:cs="Garamond"/>
          <w:b/>
          <w:bCs/>
          <w:color w:val="auto"/>
          <w:sz w:val="24"/>
          <w:szCs w:val="24"/>
        </w:rPr>
      </w:pPr>
      <w:r w:rsidRPr="002128A6">
        <w:rPr>
          <w:rFonts w:ascii="Garamond" w:hAnsi="Garamond" w:cs="Garamond"/>
          <w:b/>
          <w:bCs/>
          <w:color w:val="auto"/>
          <w:sz w:val="24"/>
          <w:szCs w:val="24"/>
        </w:rPr>
        <w:t xml:space="preserve">Objektivi </w:t>
      </w:r>
      <w:r w:rsidR="00D75A11" w:rsidRPr="002128A6">
        <w:rPr>
          <w:rFonts w:ascii="Garamond" w:hAnsi="Garamond" w:cs="Garamond"/>
          <w:b/>
          <w:bCs/>
          <w:color w:val="auto"/>
          <w:sz w:val="24"/>
          <w:szCs w:val="24"/>
        </w:rPr>
        <w:t xml:space="preserve">specifik </w:t>
      </w:r>
      <w:r w:rsidRPr="002128A6">
        <w:rPr>
          <w:rFonts w:ascii="Garamond" w:hAnsi="Garamond" w:cs="Garamond"/>
          <w:b/>
          <w:bCs/>
          <w:color w:val="auto"/>
          <w:sz w:val="24"/>
          <w:szCs w:val="24"/>
        </w:rPr>
        <w:t>1.6: Zbatimi i efektshëm i qasjes administrative për të parandaluar infiltrimin e krimit të organizuar në ekonomi dhe në administratën publike</w:t>
      </w:r>
    </w:p>
    <w:p w14:paraId="6700F48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Qasja administrative ndaj krimit të organizuar është një model gjithëpërfshirës i politikave publike, që përdor instrumentet ligjore dhe administrative ekzistuese për të parandaluar, dobësuar dhe kufizuar veprimtarinë e strukturave kriminale pa u kufizuar vetëm në ndjekjen penale. Në këtë kuptim, ajo është plotësuese me hetimin e veprave penale, jo zëvendësuese, dhe synon të ndërhyjë në fazat e hershme të ciklit kriminal, duke bllokuar të ardhurat dhe aksesin e aktorëve kriminalë në ekonomi dhe institucionet publike. Përfshirja e elementeve të qasjes administrative në kornizën strategjike të luftës kundër krimit të organizuar mund të krijojë një kornizë më të balancuar dhe parandaluese për masa institucionale në këtë fushë. Kjo qasje forcon instrumentet që parandalojnë ndikimin ekonomik dhe institucional të strukturave kriminale, duke rritur efikasitetin e përgjigjes shtetërore përtej mekanizmave penalë ekzistues.</w:t>
      </w:r>
    </w:p>
    <w:p w14:paraId="2AB10B8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Përfshirja e qasjes administrative ndaj krimit të organizuar në Strategjinë Kombëtare 2026-2030 dhe në Planin e Veprimit 2026-2028, përbën një hap të nevojshëm drejt modernizimit të politikave publike të sigurisë dhe forcimit të komponentit parandalues të shtetit shqiptar në luftën kundër krimit të organizuar, në pajtim të plotë me kornizën e politikave të Bashkimit Evropian në fushën e drejtësisë </w:t>
      </w:r>
      <w:r w:rsidRPr="002128A6">
        <w:rPr>
          <w:rFonts w:ascii="Garamond" w:hAnsi="Garamond" w:cs="Garamond"/>
        </w:rPr>
        <w:lastRenderedPageBreak/>
        <w:t xml:space="preserve">dhe sigurisë (Kapitujt 23 dhe 24), si dhe me Strategjinë Evropiane për Sigurinë e Brendshme - ProtectEU (COM(2025) 148 final) dhe prioritetet e EMPACT-it. </w:t>
      </w:r>
    </w:p>
    <w:p w14:paraId="6512F30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Qasja administrative është tashmë një instrument i konsoliduar në Shtetet Anëtare, ku përdoret për: </w:t>
      </w:r>
    </w:p>
    <w:p w14:paraId="23026954" w14:textId="48EC8575"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pengimin e futjes së strukturave kriminale në ekonominë e ligjshme dhe administratën publike; </w:t>
      </w:r>
    </w:p>
    <w:p w14:paraId="2E8F72D0" w14:textId="155548F5"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forcimin e rezistencës institucionale ndaj korrupsionit dhe ndikimeve kriminale; </w:t>
      </w:r>
    </w:p>
    <w:p w14:paraId="50347159" w14:textId="43C63DFF"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plotësimin e mekanizmave penalë me mjete administrative, tatimore, fiskale, mjedisore dhe licencimi. </w:t>
      </w:r>
    </w:p>
    <w:p w14:paraId="06ED50BB" w14:textId="5EA75426"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Për Shqipërinë, e cila është në fazë të avancuar negocimin për mbylljen e Kapitujve 23-24, ndjekja e kësaj qasjeje do të sinjalizonte një harmonizim të drejtpërdrejtë me </w:t>
      </w:r>
      <w:r w:rsidR="006815D8" w:rsidRPr="002128A6">
        <w:rPr>
          <w:rFonts w:ascii="Garamond" w:hAnsi="Garamond" w:cs="Garamond"/>
          <w:i/>
          <w:iCs/>
        </w:rPr>
        <w:t>Acquis</w:t>
      </w:r>
      <w:r w:rsidR="006815D8" w:rsidRPr="002128A6">
        <w:rPr>
          <w:rFonts w:ascii="Garamond" w:hAnsi="Garamond" w:cs="Garamond"/>
        </w:rPr>
        <w:t xml:space="preserve"> </w:t>
      </w:r>
      <w:r w:rsidRPr="002128A6">
        <w:rPr>
          <w:rFonts w:ascii="Garamond" w:hAnsi="Garamond" w:cs="Garamond"/>
        </w:rPr>
        <w:t xml:space="preserve">të BE-së dhe me praktikat e Rrjetit Evropian për Qasjen Administrative (ENAA), në të cilin vendet e rajonit janë tashmë të përfshira si vëzhgues. </w:t>
      </w:r>
    </w:p>
    <w:p w14:paraId="593ED0E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Në realitetin shqiptar, ku krimi i organizuar ka dimension të theksuar ekonomik dhe shpesh vepron përmes infiltrimit në sektorët publikë dhe privatë, qasja administrative ofron një mjet praktik, fleksibël dhe parandalues për ndërhyrje të hershme. </w:t>
      </w:r>
    </w:p>
    <w:p w14:paraId="59E105E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Kjo qasje: </w:t>
      </w:r>
    </w:p>
    <w:p w14:paraId="28AB9262" w14:textId="268CA58E"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forcon bashkëpunimin ndërinstitucional, duke ndërlidhur policinë, prokurorinë, autoritetet tatimore, doganat, inspektoratet dhe njësitë vendore në një sistem paralel parandalimi; </w:t>
      </w:r>
    </w:p>
    <w:p w14:paraId="591B86ED" w14:textId="7A2F888F"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redukton mbështetjen te ndjekjet e veprave penale si mekanizmi i vetëm kundër krimit të organizuar; </w:t>
      </w:r>
    </w:p>
    <w:p w14:paraId="10141D53" w14:textId="3EBFB6FE"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shmang koston dhe vonesat e procedimeve gjyqësore, duke vepruar përmes mjeteve administrative ligjore ekzistuese; </w:t>
      </w:r>
    </w:p>
    <w:p w14:paraId="6EB5A9DA" w14:textId="211F2A01"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krijon një model të qëndrueshëm për mbrojtjen e integritetit publik dhe ekonomik. </w:t>
      </w:r>
    </w:p>
    <w:p w14:paraId="4A4212F2" w14:textId="3DD9B3F2"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Përfshirja e qasjes administrative si objektiv specifik si dhe masa konkrete në Planin e Veprimit 2026-2028 ndihmojnë në: i</w:t>
      </w:r>
      <w:r w:rsidR="00523F34" w:rsidRPr="002128A6">
        <w:rPr>
          <w:rFonts w:ascii="Garamond" w:hAnsi="Garamond" w:cs="Garamond"/>
        </w:rPr>
        <w:t>.</w:t>
      </w:r>
      <w:r w:rsidRPr="002128A6">
        <w:rPr>
          <w:rFonts w:ascii="Garamond" w:hAnsi="Garamond" w:cs="Garamond"/>
        </w:rPr>
        <w:t xml:space="preserve"> forcimin e koordinimit midis institucioneve rregullatore dhe atyre ligjzbatuese; ii</w:t>
      </w:r>
      <w:r w:rsidR="00523F34" w:rsidRPr="002128A6">
        <w:rPr>
          <w:rFonts w:ascii="Garamond" w:hAnsi="Garamond" w:cs="Garamond"/>
        </w:rPr>
        <w:t>.</w:t>
      </w:r>
      <w:r w:rsidRPr="002128A6">
        <w:rPr>
          <w:rFonts w:ascii="Garamond" w:hAnsi="Garamond" w:cs="Garamond"/>
        </w:rPr>
        <w:t xml:space="preserve"> rritjen e efikasitetit në zbatimin e Strategjisë; iii</w:t>
      </w:r>
      <w:r w:rsidR="00523F34" w:rsidRPr="002128A6">
        <w:rPr>
          <w:rFonts w:ascii="Garamond" w:hAnsi="Garamond" w:cs="Garamond"/>
        </w:rPr>
        <w:t>.</w:t>
      </w:r>
      <w:r w:rsidRPr="002128A6">
        <w:rPr>
          <w:rFonts w:ascii="Garamond" w:hAnsi="Garamond" w:cs="Garamond"/>
        </w:rPr>
        <w:t xml:space="preserve"> dhe krijimin e mekanizmave kombëtarë për vlerësimin e rrezikut administrativ, të cilët aktualisht mungojnë në kornizën ligjore shqiptare.</w:t>
      </w:r>
    </w:p>
    <w:p w14:paraId="63DDA66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Dimensioni institucional i qasjes administrative bazohet në bashkëpunimin ndërinstitucional dhe shkëmbimin e vazhdueshëm të informacionit midis institucioneve të ligjzbatuese, administratës tatimore, inspektorateve, njësive vendore dhe institucioneve financiare. Ky mekanizëm mundëson identifikimin e hershëm të rrezikut, miratimin e masave parandaluese administrative dhe përgjigje të shpejtë institucionale, duke forcuar integritetin dhe bashkëpunimin kombëtar.</w:t>
      </w:r>
    </w:p>
    <w:p w14:paraId="4945AB1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Në të njëjtën kohë, dimensioni ekonomik, parandalues dhe social synon të dobësojë motivimin financiar të krimit përmes masave administrative si revokimi i licencave, përjashtimi nga tenderët dhe inspektimet e bazuara në risk. Kjo qasje e zhvendos fokusin nga reagimi penal te parandalimi, duke mbrojtur ekonominë e ligjshme dhe duke forcuar kulturën e integritetit, transparencës dhe bashkëpunimit me shoqërinë civile.</w:t>
      </w:r>
    </w:p>
    <w:p w14:paraId="10C24E6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0945A6B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Verifikimi i subjekteve të krimit të organizuar zbatohet në të gjitha vendimet përkatëse të prokurimit publik dhe licencimit.</w:t>
      </w:r>
    </w:p>
    <w:p w14:paraId="5019C59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Reduktimi i dokumentuar i infiltrimit të suksesshëm në kontratat publike dhe licencat me rrezik të lartë.</w:t>
      </w:r>
    </w:p>
    <w:p w14:paraId="07BF4A5E" w14:textId="2FEBEE0A"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Ky </w:t>
      </w:r>
      <w:r w:rsidR="00D75A11" w:rsidRPr="002128A6">
        <w:rPr>
          <w:rFonts w:ascii="Garamond" w:hAnsi="Garamond" w:cs="Garamond"/>
        </w:rPr>
        <w:t xml:space="preserve">objektiv specifik </w:t>
      </w:r>
      <w:r w:rsidRPr="002128A6">
        <w:rPr>
          <w:rFonts w:ascii="Garamond" w:hAnsi="Garamond" w:cs="Garamond"/>
        </w:rPr>
        <w:t xml:space="preserve">do të zbatohet përmes </w:t>
      </w:r>
      <w:r w:rsidR="00D75A11" w:rsidRPr="002128A6">
        <w:rPr>
          <w:rFonts w:ascii="Garamond" w:hAnsi="Garamond" w:cs="Garamond"/>
        </w:rPr>
        <w:t xml:space="preserve">masave </w:t>
      </w:r>
      <w:r w:rsidRPr="002128A6">
        <w:rPr>
          <w:rFonts w:ascii="Garamond" w:hAnsi="Garamond" w:cs="Garamond"/>
        </w:rPr>
        <w:t>të mëposhtme:</w:t>
      </w:r>
    </w:p>
    <w:p w14:paraId="5094B75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1.6.1:</w:t>
      </w:r>
      <w:r w:rsidRPr="002128A6">
        <w:rPr>
          <w:rFonts w:ascii="Garamond" w:hAnsi="Garamond" w:cs="Garamond"/>
        </w:rPr>
        <w:t xml:space="preserve"> Hartimi i Udhëzuesit Kombëtar për Qasjen Administrative ndaj Krimit të Organizuar</w:t>
      </w:r>
    </w:p>
    <w:p w14:paraId="7449569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1.6.2:</w:t>
      </w:r>
      <w:r w:rsidRPr="002128A6">
        <w:rPr>
          <w:rFonts w:ascii="Garamond" w:hAnsi="Garamond" w:cs="Garamond"/>
        </w:rPr>
        <w:t xml:space="preserve"> Ngritja e një rrjeti ndërinstitucional për zbatimin e qasjes administrative, që përfshin të gjitha agjencitë me kompetenca inspektimi dhe licencimi, për shkëmbimin e të dhënave dhe sinjalizimin e rrezikut. </w:t>
      </w:r>
    </w:p>
    <w:p w14:paraId="3C8CF47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lastRenderedPageBreak/>
        <w:t>Masa 1.6.3:</w:t>
      </w:r>
      <w:r w:rsidRPr="002128A6">
        <w:rPr>
          <w:rFonts w:ascii="Garamond" w:hAnsi="Garamond" w:cs="Garamond"/>
        </w:rPr>
        <w:t xml:space="preserve"> Ngritja e mekanizmave të verifikimit të integritetit për operatorët ekonomikë që marrin pjesë në tenderë publikë, licenca, ose subvencione shtetërore, përmes filtrave të bazuar në të dhëna administrative. </w:t>
      </w:r>
    </w:p>
    <w:p w14:paraId="068A756F" w14:textId="4D1DAD41"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1.6.4:</w:t>
      </w:r>
      <w:r w:rsidRPr="002128A6">
        <w:rPr>
          <w:rFonts w:ascii="Garamond" w:hAnsi="Garamond" w:cs="Garamond"/>
        </w:rPr>
        <w:t xml:space="preserve"> Trajnimi i zyrtarëve të administratës publike dhe vendore mbi qasjen administrative, menaxhimin e rrezikut dhe parandalimin e infiltrimit kriminal në vendimmarrjen administrative.</w:t>
      </w:r>
      <w:r w:rsidR="00F54824" w:rsidRPr="002128A6">
        <w:rPr>
          <w:rFonts w:ascii="Garamond" w:hAnsi="Garamond" w:cs="Garamond"/>
        </w:rPr>
        <w:t xml:space="preserve"> </w:t>
      </w:r>
    </w:p>
    <w:p w14:paraId="08C7E9C3" w14:textId="1F8396D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Për të mbështetur arritjen e këtyre </w:t>
      </w:r>
      <w:r w:rsidR="00D75A11" w:rsidRPr="002128A6">
        <w:rPr>
          <w:rFonts w:ascii="Garamond" w:hAnsi="Garamond" w:cs="Garamond"/>
        </w:rPr>
        <w:t>masave</w:t>
      </w:r>
      <w:r w:rsidRPr="002128A6">
        <w:rPr>
          <w:rFonts w:ascii="Garamond" w:hAnsi="Garamond" w:cs="Garamond"/>
        </w:rPr>
        <w:t xml:space="preserve">, do të zbatohen </w:t>
      </w:r>
      <w:r w:rsidR="00D75A11" w:rsidRPr="002128A6">
        <w:rPr>
          <w:rFonts w:ascii="Garamond" w:hAnsi="Garamond" w:cs="Garamond"/>
        </w:rPr>
        <w:t xml:space="preserve">aktivitetet </w:t>
      </w:r>
      <w:r w:rsidRPr="002128A6">
        <w:rPr>
          <w:rFonts w:ascii="Garamond" w:hAnsi="Garamond" w:cs="Garamond"/>
        </w:rPr>
        <w:t>e mëposhtme:</w:t>
      </w:r>
    </w:p>
    <w:p w14:paraId="785F876C" w14:textId="382BA60C"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1.6.1</w:t>
      </w:r>
    </w:p>
    <w:p w14:paraId="03DB332C" w14:textId="4E882820"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Hartimi i Udhëzuesit Kombëtar duke konsoliduar praktikat më të mira të BE-së (ENAA), legjislacionin kombëtar dhe mandatet institucionale, si dhe duke vendosur procedura të qarta për parandalimin, shkëmbimin e informacionit dhe zbutjen e riskut administrativ. </w:t>
      </w:r>
    </w:p>
    <w:p w14:paraId="0B46D90F" w14:textId="16F34EB4"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Kryerja e konsultimeve ndërinstitucionale me autoritetet ligjzbatuese dhe tatimore, doganat, inspektoratet, qeverisjen vendore dhe shoqërinë civile, për të konsoliduar Udhëzuesin dhe për të siguruar zbatueshmëri praktike nëpër sektorë.</w:t>
      </w:r>
    </w:p>
    <w:p w14:paraId="3801BF29" w14:textId="45E767DA"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1.6.2</w:t>
      </w:r>
    </w:p>
    <w:p w14:paraId="360F4FE7" w14:textId="37C5C1E5"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Formalizimi i rrjetit ndërinstitucional përmes memorandumeve të bashkëpunimit, duke përcaktuar role, përgjegjësi, protokolle të shkëmbimit të të dhënave dhe procedura të sinjalizimit të rrezikut midis të gjitha organeve të inspektimit dhe licencimit. </w:t>
      </w:r>
    </w:p>
    <w:p w14:paraId="047919C1" w14:textId="5C38FBE4"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Ngritja dhe vënia në punë e një platformë t</w:t>
      </w:r>
      <w:r w:rsidR="00F94730" w:rsidRPr="002128A6">
        <w:rPr>
          <w:rFonts w:ascii="Garamond" w:hAnsi="Garamond" w:cs="Garamond"/>
        </w:rPr>
        <w:t>ë</w:t>
      </w:r>
      <w:r w:rsidRPr="002128A6">
        <w:rPr>
          <w:rFonts w:ascii="Garamond" w:hAnsi="Garamond" w:cs="Garamond"/>
        </w:rPr>
        <w:t xml:space="preserve"> sigurt për ndarjen e informacionit, e cila mundëson shkëmbim në kohë reale të të dhënave administrative, sinjalizimeve dhe tregues të rrezikut, midis institucioneve pjesëmarrëse.</w:t>
      </w:r>
    </w:p>
    <w:p w14:paraId="34DDA382" w14:textId="4E8C20E4"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1.6.3</w:t>
      </w:r>
    </w:p>
    <w:p w14:paraId="35D67404" w14:textId="7B7877F0"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Miratimi dhe zbatimi i filtrave administrativë të integritetit, bazuar në të dhënat tatimore, historikun e licencimit, konstatimet e inspektimeve, informacionin për pronësinë përfituese dhe sinjalizimet e autoriteteve ligjzbatuese, me qëllim skanimin e operatorëve ekonomikë përpara se të merren vendimet publike. </w:t>
      </w:r>
    </w:p>
    <w:p w14:paraId="7F2D835C" w14:textId="69596B0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Integrimi i procedurave të verifikimit të integritetit në praktikat e prokurimit, licencimit dhe subvencionit, duke siguruar që operatorët me rrezik të lartë të sinjalizohen, rishikohen ose përjashtohen në përputhje me dispozitat ligjore.</w:t>
      </w:r>
    </w:p>
    <w:p w14:paraId="10154C52" w14:textId="75108A72"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i/>
          <w:iCs/>
        </w:rPr>
        <w:t xml:space="preserve">Aktivitete për masën </w:t>
      </w:r>
      <w:r w:rsidR="0025426C" w:rsidRPr="002128A6">
        <w:rPr>
          <w:rFonts w:ascii="Garamond" w:hAnsi="Garamond" w:cs="Garamond"/>
          <w:b/>
          <w:bCs/>
          <w:i/>
          <w:iCs/>
        </w:rPr>
        <w:t>1.6.4</w:t>
      </w:r>
    </w:p>
    <w:p w14:paraId="1C1DAED9" w14:textId="1C48D246"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Trajnimi i zyrtarëve të administratës publike dhe vendore mbi qasjen administrative, menaxhimin e rrezikut dhe parandalimin e infiltrimit kriminal.</w:t>
      </w:r>
    </w:p>
    <w:p w14:paraId="39C9722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002C37C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Numri i kontrolleve të prokurimit publik të kryera kundrejt listave të subjekteve të krimit të organizuar.</w:t>
      </w:r>
    </w:p>
    <w:p w14:paraId="3B649453"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licencave me rrezik të lartë të verifikuara dhe të lëshuara në kuadrin e procedurave administrative të parandalimit.</w:t>
      </w:r>
    </w:p>
    <w:p w14:paraId="1C9B157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skualifikimeve dhe veprimeve korrigjuese të ndërmarra ndaj subjekteve të infiltruara.</w:t>
      </w:r>
    </w:p>
    <w:p w14:paraId="04941C6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përgjegjëse: </w:t>
      </w:r>
      <w:r w:rsidRPr="002128A6">
        <w:rPr>
          <w:rFonts w:ascii="Garamond" w:hAnsi="Garamond" w:cs="Garamond"/>
        </w:rPr>
        <w:t>Ministria e Punëve të Brendshme.</w:t>
      </w:r>
    </w:p>
    <w:p w14:paraId="4112538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mbështetëse: </w:t>
      </w:r>
      <w:r w:rsidRPr="002128A6">
        <w:rPr>
          <w:rFonts w:ascii="Garamond" w:hAnsi="Garamond" w:cs="Garamond"/>
        </w:rPr>
        <w:t>Qendra për Studimin e Demokracisë dhe Qeverisjes, Agjencia e Inteligjencës Financiare, Drejtoria e Përgjithshme e Doganave, Drejtoria e Përgjithshme e Tatimeve, Kontrolli i Lartë i Shtetit, ASIG, Bashkitë, Agjencia Kombëtare e Shoqërisë së Informacionit, Shkolla Shqiptare e Administratës Publike, Ministria e Financave.</w:t>
      </w:r>
    </w:p>
    <w:p w14:paraId="771BB0D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7C5C34E4"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Ulja e rasteve të identifikuara të infiltrimit të krimit të organizuar në prokurimet publike dhe sektorët e licencuar.</w:t>
      </w:r>
    </w:p>
    <w:p w14:paraId="78661AB7" w14:textId="286D7FB0"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Vlera bazë: </w:t>
      </w:r>
      <w:r w:rsidRPr="002128A6">
        <w:rPr>
          <w:rFonts w:ascii="Garamond" w:hAnsi="Garamond" w:cs="Garamond"/>
        </w:rPr>
        <w:t>Vlera bazë e rasteve aktuale të infiltrimit dhe normave të kontrollit</w:t>
      </w:r>
      <w:r w:rsidR="005C084B" w:rsidRPr="002128A6">
        <w:rPr>
          <w:rFonts w:ascii="Garamond" w:hAnsi="Garamond" w:cs="Garamond"/>
        </w:rPr>
        <w:t>/</w:t>
      </w:r>
      <w:r w:rsidRPr="002128A6">
        <w:rPr>
          <w:rFonts w:ascii="Garamond" w:hAnsi="Garamond" w:cs="Garamond"/>
        </w:rPr>
        <w:t>verifikimit do të vendoset në vitin 2026</w:t>
      </w:r>
      <w:r w:rsidR="00D86AE7" w:rsidRPr="002128A6">
        <w:rPr>
          <w:rFonts w:ascii="Garamond" w:hAnsi="Garamond" w:cs="Garamond"/>
        </w:rPr>
        <w:t>;</w:t>
      </w:r>
    </w:p>
    <w:p w14:paraId="001BE37B" w14:textId="77777777" w:rsidR="0025426C" w:rsidRPr="002128A6" w:rsidRDefault="0025426C" w:rsidP="00523F34">
      <w:pPr>
        <w:spacing w:after="0" w:line="240" w:lineRule="auto"/>
        <w:ind w:firstLine="284"/>
        <w:jc w:val="both"/>
        <w:rPr>
          <w:rFonts w:ascii="Garamond" w:hAnsi="Garamond" w:cs="Garamond"/>
        </w:rPr>
      </w:pPr>
      <w:r w:rsidRPr="002128A6">
        <w:rPr>
          <w:rFonts w:ascii="Garamond" w:hAnsi="Garamond" w:cs="Garamond"/>
          <w:b/>
          <w:bCs/>
        </w:rPr>
        <w:lastRenderedPageBreak/>
        <w:t xml:space="preserve">Synimi deri në 2030: </w:t>
      </w:r>
      <w:r w:rsidRPr="002128A6">
        <w:rPr>
          <w:rFonts w:ascii="Garamond" w:hAnsi="Garamond" w:cs="Garamond"/>
        </w:rPr>
        <w:t>-9% ulje e rasteve të identifikuara të infiltrimit të krimit të organizuar në prokurimet publike dhe sektorët e licencuar.</w:t>
      </w:r>
    </w:p>
    <w:p w14:paraId="5E389F42" w14:textId="1C7B576D" w:rsidR="00BE490C" w:rsidRPr="002128A6" w:rsidRDefault="00BE490C" w:rsidP="00523F34">
      <w:pPr>
        <w:pStyle w:val="Heading2"/>
        <w:spacing w:before="0" w:after="0" w:line="240" w:lineRule="auto"/>
        <w:ind w:firstLine="284"/>
        <w:jc w:val="both"/>
        <w:rPr>
          <w:rFonts w:ascii="Garamond" w:eastAsia="Times New Roman" w:hAnsi="Garamond"/>
          <w:color w:val="auto"/>
          <w:sz w:val="24"/>
          <w:szCs w:val="24"/>
        </w:rPr>
      </w:pPr>
      <w:bookmarkStart w:id="49" w:name="_Toc227770712"/>
      <w:bookmarkStart w:id="50" w:name="_Toc233371589"/>
      <w:r w:rsidRPr="002128A6">
        <w:rPr>
          <w:rFonts w:ascii="Garamond" w:eastAsia="Times New Roman" w:hAnsi="Garamond"/>
          <w:color w:val="auto"/>
          <w:sz w:val="24"/>
          <w:szCs w:val="24"/>
        </w:rPr>
        <w:t xml:space="preserve">2.2 QËLLIMI </w:t>
      </w:r>
      <w:r w:rsidR="0049467E" w:rsidRPr="002128A6">
        <w:rPr>
          <w:rFonts w:ascii="Garamond" w:eastAsia="Times New Roman" w:hAnsi="Garamond"/>
          <w:color w:val="auto"/>
          <w:sz w:val="24"/>
          <w:szCs w:val="24"/>
        </w:rPr>
        <w:t xml:space="preserve">I </w:t>
      </w:r>
      <w:r w:rsidRPr="002128A6">
        <w:rPr>
          <w:rFonts w:ascii="Garamond" w:eastAsia="Times New Roman" w:hAnsi="Garamond"/>
          <w:color w:val="auto"/>
          <w:sz w:val="24"/>
          <w:szCs w:val="24"/>
        </w:rPr>
        <w:t>POLITIK</w:t>
      </w:r>
      <w:r w:rsidR="0049467E" w:rsidRPr="002128A6">
        <w:rPr>
          <w:rFonts w:ascii="Garamond" w:eastAsia="Times New Roman" w:hAnsi="Garamond"/>
          <w:color w:val="auto"/>
          <w:sz w:val="24"/>
          <w:szCs w:val="24"/>
        </w:rPr>
        <w:t>ËS</w:t>
      </w:r>
      <w:r w:rsidRPr="002128A6">
        <w:rPr>
          <w:rFonts w:ascii="Garamond" w:eastAsia="Times New Roman" w:hAnsi="Garamond"/>
          <w:color w:val="auto"/>
          <w:sz w:val="24"/>
          <w:szCs w:val="24"/>
        </w:rPr>
        <w:t xml:space="preserve"> II: NDJEKJA PENALE DHE </w:t>
      </w:r>
      <w:r w:rsidR="0007688B" w:rsidRPr="002128A6">
        <w:rPr>
          <w:rFonts w:ascii="Garamond" w:eastAsia="Times New Roman" w:hAnsi="Garamond"/>
          <w:color w:val="auto"/>
          <w:sz w:val="24"/>
          <w:szCs w:val="24"/>
        </w:rPr>
        <w:t>GODITJA</w:t>
      </w:r>
      <w:r w:rsidRPr="002128A6">
        <w:rPr>
          <w:rFonts w:ascii="Garamond" w:eastAsia="Times New Roman" w:hAnsi="Garamond"/>
          <w:color w:val="auto"/>
          <w:sz w:val="24"/>
          <w:szCs w:val="24"/>
        </w:rPr>
        <w:t xml:space="preserve"> </w:t>
      </w:r>
      <w:r w:rsidR="0007688B" w:rsidRPr="002128A6">
        <w:rPr>
          <w:rFonts w:ascii="Garamond" w:eastAsia="Times New Roman" w:hAnsi="Garamond"/>
          <w:color w:val="auto"/>
          <w:sz w:val="24"/>
          <w:szCs w:val="24"/>
        </w:rPr>
        <w:t>E</w:t>
      </w:r>
      <w:r w:rsidRPr="002128A6">
        <w:rPr>
          <w:rFonts w:ascii="Garamond" w:eastAsia="Times New Roman" w:hAnsi="Garamond"/>
          <w:color w:val="auto"/>
          <w:sz w:val="24"/>
          <w:szCs w:val="24"/>
        </w:rPr>
        <w:t xml:space="preserve"> KRIMIT TË ORGANIZUAR DHE KRIMEVE TË RËNDA</w:t>
      </w:r>
      <w:bookmarkEnd w:id="49"/>
      <w:bookmarkEnd w:id="50"/>
    </w:p>
    <w:p w14:paraId="56AE8B48" w14:textId="6BF9AB9F" w:rsidR="0099634D" w:rsidRPr="002128A6" w:rsidRDefault="0099634D" w:rsidP="0025426C">
      <w:pPr>
        <w:spacing w:after="0" w:line="240" w:lineRule="auto"/>
        <w:ind w:firstLine="284"/>
        <w:jc w:val="both"/>
        <w:rPr>
          <w:rFonts w:ascii="Garamond" w:hAnsi="Garamond" w:cstheme="majorBidi"/>
        </w:rPr>
      </w:pPr>
      <w:r w:rsidRPr="002128A6">
        <w:rPr>
          <w:rFonts w:ascii="Garamond" w:hAnsi="Garamond" w:cstheme="majorBidi"/>
        </w:rPr>
        <w:t xml:space="preserve">Ndjekja penale dhe ndërprerja operacionale e krimit të organizuar dhe krimeve të rënda përbën Qëllim Politik të dytë të kësaj strategjie, duke përfshirë nëntë </w:t>
      </w:r>
      <w:r w:rsidR="00B76863" w:rsidRPr="002128A6">
        <w:rPr>
          <w:rFonts w:ascii="Garamond" w:hAnsi="Garamond" w:cstheme="majorBidi"/>
        </w:rPr>
        <w:t xml:space="preserve">objektiva specifikë </w:t>
      </w:r>
      <w:r w:rsidRPr="002128A6">
        <w:rPr>
          <w:rFonts w:ascii="Garamond" w:hAnsi="Garamond" w:cstheme="majorBidi"/>
        </w:rPr>
        <w:t xml:space="preserve">që adresojnë spektrin e plotë të kërcënimeve kriminale të identifikuara në Pjesën I. Qëllimi i Politikës II kalon nga parandalimi te zbatimi i drejtpërdrejtë, duke ndërtuar kapacitetet hetimore, kriminalistike, analitike dhe institucionale të nevojshme për zbulimin, ndërprerjen, ndjekjen penale dhe </w:t>
      </w:r>
      <w:r w:rsidR="00300542" w:rsidRPr="002128A6">
        <w:rPr>
          <w:rFonts w:ascii="Garamond" w:hAnsi="Garamond" w:cstheme="majorBidi"/>
        </w:rPr>
        <w:t>goditjen</w:t>
      </w:r>
      <w:r w:rsidRPr="002128A6">
        <w:rPr>
          <w:rFonts w:ascii="Garamond" w:hAnsi="Garamond" w:cstheme="majorBidi"/>
        </w:rPr>
        <w:t xml:space="preserve"> e rrjeteve të organizuara kriminale.</w:t>
      </w:r>
    </w:p>
    <w:p w14:paraId="3F961295" w14:textId="3231271F"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rPr>
        <w:t>Nëntë Objektivat Specifikë nën këtë Qëllim mbulojnë: zbatimin e luftës kundër narkotikëve të udhëhequr nga inteligjenca dhe sistemin kombëtar të monitorimit të drogës; ndërprerjen e trafikimit të paligjshëm në të gjitha format e tij; zbulimin dhe ndjekjen penale të krimit ekonomik dhe financiar</w:t>
      </w:r>
      <w:r w:rsidR="005577F8" w:rsidRPr="002128A6">
        <w:rPr>
          <w:rFonts w:ascii="Garamond" w:hAnsi="Garamond" w:cstheme="majorBidi"/>
        </w:rPr>
        <w:t xml:space="preserve"> dhe </w:t>
      </w:r>
      <w:r w:rsidRPr="002128A6">
        <w:rPr>
          <w:rFonts w:ascii="Garamond" w:hAnsi="Garamond" w:cstheme="majorBidi"/>
        </w:rPr>
        <w:t xml:space="preserve">krimit kibernetik; cilësinë dhe akreditimin </w:t>
      </w:r>
      <w:r w:rsidR="0099634D" w:rsidRPr="002128A6">
        <w:rPr>
          <w:rFonts w:ascii="Garamond" w:hAnsi="Garamond" w:cstheme="majorBidi"/>
        </w:rPr>
        <w:t>të shërbimit forenksik</w:t>
      </w:r>
      <w:r w:rsidRPr="002128A6">
        <w:rPr>
          <w:rFonts w:ascii="Garamond" w:hAnsi="Garamond" w:cstheme="majorBidi"/>
        </w:rPr>
        <w:t>; gjurmimin, sekuestrimin dhe ripërdorimin e aseteve; hetimet dhe ndjekjet penale të synuara me vlerë të lartë të udhëheqësve të grupeve të organizuara kriminale; luftën kundër krimit mjedisor; dhe ndjekjen ndërkombëtare të personave të kërkuar. Së bashku, ato përfaqësojnë një arkitekturë gjithëpërfshirëse të ndjekjes penale, bazuar në evidenca, të harmonizuar me prioritetet EMPACT të BE-së dhe rekomandimet e Raportit të Progresit të BE-së 2024 për Shqipërinë.</w:t>
      </w:r>
    </w:p>
    <w:p w14:paraId="633A8205" w14:textId="5361A9B0" w:rsidR="00447B60" w:rsidRPr="002128A6" w:rsidRDefault="00447B60" w:rsidP="0025426C">
      <w:pPr>
        <w:spacing w:after="0" w:line="240" w:lineRule="auto"/>
        <w:ind w:firstLine="284"/>
        <w:jc w:val="both"/>
        <w:rPr>
          <w:rFonts w:ascii="Garamond" w:eastAsia="Times New Roman" w:hAnsi="Garamond" w:cstheme="majorBidi"/>
          <w:b/>
          <w:bCs/>
        </w:rPr>
      </w:pPr>
      <w:r w:rsidRPr="002128A6">
        <w:rPr>
          <w:rFonts w:ascii="Garamond" w:hAnsi="Garamond" w:cstheme="majorBidi"/>
        </w:rPr>
        <w:t>Një parim ndërsektorial sipas këtij Qëllimi është zbatimi sistematik i hetimeve paralele financiare, krahas të gjitha hetimeve penale për krimin e organizuar, trafikimin dhe korrupsionin. Kjo qasje “ndiq paranë” garanton që hetimet penale të adresojnë njëkohësisht si aktivitetin kriminal, ashtu edhe dimensionin e tij financiar, duke maksimizuar ndërprerjen e të ardhurave kriminale dhe efektin parandalues të ndjekjes penale.</w:t>
      </w:r>
    </w:p>
    <w:p w14:paraId="575AC488" w14:textId="77777777" w:rsidR="00BE490C" w:rsidRPr="002128A6" w:rsidRDefault="00BE490C" w:rsidP="0025426C">
      <w:pPr>
        <w:pStyle w:val="Heading3"/>
        <w:spacing w:before="0" w:after="0" w:line="240" w:lineRule="auto"/>
        <w:ind w:firstLine="284"/>
        <w:jc w:val="both"/>
        <w:rPr>
          <w:rFonts w:ascii="Garamond" w:eastAsia="Times New Roman" w:hAnsi="Garamond"/>
          <w:b/>
          <w:bCs/>
          <w:color w:val="auto"/>
          <w:sz w:val="24"/>
          <w:szCs w:val="24"/>
          <w:lang w:eastAsia="en-GB"/>
        </w:rPr>
      </w:pPr>
      <w:bookmarkStart w:id="51" w:name="_Toc233371590"/>
      <w:r w:rsidRPr="002128A6">
        <w:rPr>
          <w:rFonts w:ascii="Garamond" w:eastAsia="Times New Roman" w:hAnsi="Garamond"/>
          <w:b/>
          <w:bCs/>
          <w:color w:val="auto"/>
          <w:sz w:val="24"/>
          <w:szCs w:val="24"/>
          <w:lang w:eastAsia="en-GB"/>
        </w:rPr>
        <w:t xml:space="preserve">Objektivi Specifik 2.1: Reduktimi i </w:t>
      </w:r>
      <w:r w:rsidRPr="002128A6">
        <w:rPr>
          <w:rFonts w:ascii="Garamond" w:hAnsi="Garamond"/>
          <w:b/>
          <w:bCs/>
          <w:color w:val="auto"/>
          <w:sz w:val="24"/>
          <w:szCs w:val="24"/>
        </w:rPr>
        <w:t>disponueshmërisë, prodhimit dhe trafikimit të narkotikëve përmes forcimit të zbulimit, hetimit dhe koordinimit ndërinstitucional</w:t>
      </w:r>
      <w:bookmarkEnd w:id="51"/>
    </w:p>
    <w:p w14:paraId="50326940"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Ky objektiv synon të ndërmarrë masa efektive dhe të koordinuara për të forcuar kontrollin dhe monitorimin e aktiviteteve të dyshimta të lidhura me trafikimin dhe shpërndarjen e lëndëve narkotike. Për arritjen e këtij qëllimi, krijimi dhe zhvillimi i bashkëpunimit të ngushtë dhe të vazhdueshëm midis agjencive kombëtare ligjzbatuese, institucioneve të sigurisë dhe organeve hetimore, si dhe partnerëve ndërkombëtarë që veprojnë në fushën e luftimit të lëndëve narkotike, është një element thelbësor. Ky bashkëpunim do të mundësojë shkëmbimin në kohë të informacionit të nevojshëm, koordinimin e operacioneve të përbashkëta dhe ndarjen e praktikave më të mira, duke rritur kështu kapacitetin e përgjithshëm për ndërprerjen e rrjeteve kriminale që veprojnë në këtë sektor.</w:t>
      </w:r>
    </w:p>
    <w:p w14:paraId="38FC9FE8"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 xml:space="preserve">Në kuadrin e këtij objektivi, procesi i reformimit dhe forcimit të sistemit ligjor dhe institucional do të vazhdojë, me qëllim sigurimin e funksionimit efikas të mekanizmave të avancuar dhe strukturave për identifikimin, ndjekjen penale dhe parandalimin e aktiviteteve kriminale të lidhura me lëndët narkotike. Kjo përfshin përmirësimin e kornizës ligjore për t'u përshtatur me sfidat e reja dhe vendimet e Komisionit për Lëndët Narkotike, si dhe forcimin e kapaciteteve të strukturave përgjegjëse për monitorimin dhe hetimin e këtyre aktiviteteve. Për më tepër, parashikohet investim në teknologji dhe trajnim të specializuar për punonjësit e strukturave përgjegjëse, duke rritur aftësinë për të zbuluar dhe ndërprerë zinxhirët e shpërndarjes së drogës, duke siguruar kështu një përgjigje më të shpejtë dhe më efektive ndaj këtij fenomeni kompleks. Në këtë mënyrë, strategjia synon të krijojë një sistem të qëndrueshëm dhe efikas në luftën kundër lëndëve narkotike, që do të kontribuojë në ruajtjen e sigurisë dhe shëndetit publik. </w:t>
      </w:r>
    </w:p>
    <w:p w14:paraId="4E8F5116"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Rezultatet e pritshme të këtij objektivi janë si vijon:</w:t>
      </w:r>
    </w:p>
    <w:p w14:paraId="6B268F9B" w14:textId="77777777"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b/>
          <w:bCs/>
        </w:rPr>
        <w:t>Rezultati 1:</w:t>
      </w:r>
      <w:r w:rsidRPr="002128A6">
        <w:rPr>
          <w:rFonts w:ascii="Garamond" w:eastAsia="Arial" w:hAnsi="Garamond" w:cstheme="majorBidi"/>
        </w:rPr>
        <w:t xml:space="preserve"> Rritja e evidentimit të veprave penale në fushën e narkotikëve </w:t>
      </w:r>
    </w:p>
    <w:p w14:paraId="41602C9D" w14:textId="29699E7E"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lastRenderedPageBreak/>
        <w:t xml:space="preserve">Rezultati 2: </w:t>
      </w:r>
      <w:r w:rsidRPr="002128A6">
        <w:rPr>
          <w:rFonts w:ascii="Garamond" w:eastAsia="Arial" w:hAnsi="Garamond" w:cstheme="majorBidi"/>
        </w:rPr>
        <w:t xml:space="preserve">Normë më e lartë e </w:t>
      </w:r>
      <w:r w:rsidR="00300542" w:rsidRPr="002128A6">
        <w:rPr>
          <w:rFonts w:ascii="Garamond" w:eastAsia="Arial" w:hAnsi="Garamond" w:cstheme="majorBidi"/>
        </w:rPr>
        <w:t>goditjes</w:t>
      </w:r>
      <w:r w:rsidRPr="002128A6">
        <w:rPr>
          <w:rFonts w:ascii="Garamond" w:eastAsia="Arial" w:hAnsi="Garamond" w:cstheme="majorBidi"/>
        </w:rPr>
        <w:t xml:space="preserve"> </w:t>
      </w:r>
      <w:r w:rsidR="00300542" w:rsidRPr="002128A6">
        <w:rPr>
          <w:rFonts w:ascii="Garamond" w:eastAsia="Arial" w:hAnsi="Garamond" w:cstheme="majorBidi"/>
        </w:rPr>
        <w:t>s</w:t>
      </w:r>
      <w:r w:rsidRPr="002128A6">
        <w:rPr>
          <w:rFonts w:ascii="Garamond" w:eastAsia="Arial" w:hAnsi="Garamond" w:cstheme="majorBidi"/>
        </w:rPr>
        <w:t>ë rrjeteve kryesore të trafikimit të narkotikëve dhe dënimeve të trafikantëve.</w:t>
      </w:r>
    </w:p>
    <w:p w14:paraId="219C4DE4" w14:textId="6A30D87C"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Rezultati 3</w:t>
      </w:r>
      <w:r w:rsidRPr="002128A6">
        <w:rPr>
          <w:rFonts w:ascii="Garamond" w:eastAsia="Arial" w:hAnsi="Garamond" w:cstheme="majorBidi"/>
        </w:rPr>
        <w:t xml:space="preserve">: Synim i forcuar i udhëhequr nga inteligjenca përmes të dhënave të bazuara në </w:t>
      </w:r>
      <w:r w:rsidR="00447B60" w:rsidRPr="002128A6">
        <w:rPr>
          <w:rFonts w:ascii="Garamond" w:eastAsia="Arial" w:hAnsi="Garamond" w:cstheme="majorBidi"/>
        </w:rPr>
        <w:t>të dhëna</w:t>
      </w:r>
      <w:r w:rsidRPr="002128A6">
        <w:rPr>
          <w:rFonts w:ascii="Garamond" w:eastAsia="Arial" w:hAnsi="Garamond" w:cstheme="majorBidi"/>
        </w:rPr>
        <w:t xml:space="preserve"> dhe pjesëmarrjes në EMPACT, ku Byroja Kombëtare e Hetimit është në proces aplikimi për aderim në EMPACT.</w:t>
      </w:r>
    </w:p>
    <w:p w14:paraId="0464E8EA"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Ky Objektiv Specifik do të zbatohet përmes Masave të mëposhtme:</w:t>
      </w:r>
    </w:p>
    <w:p w14:paraId="2E481E9E" w14:textId="36FB643C"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2.1.1:</w:t>
      </w:r>
      <w:r w:rsidRPr="002128A6">
        <w:rPr>
          <w:rFonts w:ascii="Garamond" w:eastAsia="Times New Roman" w:hAnsi="Garamond" w:cstheme="majorBidi"/>
        </w:rPr>
        <w:t xml:space="preserve"> Goditja në fushën e narkotikëve përmes operacioneve të zbulimit të udhëhequra nga inteligjenca dhe teknologjia,</w:t>
      </w:r>
      <w:r w:rsidRPr="002128A6">
        <w:rPr>
          <w:rFonts w:ascii="Garamond" w:hAnsi="Garamond" w:cstheme="majorBidi"/>
        </w:rPr>
        <w:t xml:space="preserve"> përfshirë përdorimin sistematik të inteligjencës kriminale, mjeteve analitike, kapaciteteve të mbikëqyrjes dhe veprimeve operacionale të synuara për të identifikuar, ndërprerë dhe </w:t>
      </w:r>
      <w:r w:rsidR="00312239" w:rsidRPr="002128A6">
        <w:rPr>
          <w:rFonts w:ascii="Garamond" w:hAnsi="Garamond" w:cstheme="majorBidi"/>
        </w:rPr>
        <w:t>shkatërruar</w:t>
      </w:r>
      <w:r w:rsidRPr="002128A6">
        <w:rPr>
          <w:rFonts w:ascii="Garamond" w:hAnsi="Garamond" w:cstheme="majorBidi"/>
        </w:rPr>
        <w:t xml:space="preserve"> rrjetet kriminale të lidhura me drogën</w:t>
      </w:r>
      <w:r w:rsidRPr="002128A6">
        <w:rPr>
          <w:rFonts w:ascii="Garamond" w:eastAsia="Times New Roman" w:hAnsi="Garamond" w:cstheme="majorBidi"/>
        </w:rPr>
        <w:t>.</w:t>
      </w:r>
    </w:p>
    <w:p w14:paraId="1FCB636D" w14:textId="555EA6CD"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2.1.2:</w:t>
      </w:r>
      <w:r w:rsidRPr="002128A6">
        <w:rPr>
          <w:rFonts w:ascii="Garamond" w:eastAsia="Times New Roman" w:hAnsi="Garamond" w:cstheme="majorBidi"/>
        </w:rPr>
        <w:t xml:space="preserve"> Përditësimi dhe </w:t>
      </w:r>
      <w:r w:rsidRPr="002128A6">
        <w:rPr>
          <w:rFonts w:ascii="Garamond" w:hAnsi="Garamond" w:cstheme="majorBidi"/>
        </w:rPr>
        <w:t xml:space="preserve">mirëmbajtja </w:t>
      </w:r>
      <w:r w:rsidR="009969CE" w:rsidRPr="002128A6">
        <w:rPr>
          <w:rFonts w:ascii="Garamond" w:eastAsia="Times New Roman" w:hAnsi="Garamond" w:cstheme="majorBidi"/>
        </w:rPr>
        <w:t>e</w:t>
      </w:r>
      <w:r w:rsidRPr="002128A6">
        <w:rPr>
          <w:rFonts w:ascii="Garamond" w:eastAsia="Times New Roman" w:hAnsi="Garamond" w:cstheme="majorBidi"/>
        </w:rPr>
        <w:t xml:space="preserve"> bazës së veçantë të të dhënave për kultivimin e bimëve narkotike me informacion nga të gjitha burimet e mundshme të brendshme dhe të jashtme,</w:t>
      </w:r>
      <w:r w:rsidRPr="002128A6">
        <w:rPr>
          <w:rFonts w:ascii="Garamond" w:hAnsi="Garamond" w:cstheme="majorBidi"/>
        </w:rPr>
        <w:t xml:space="preserve"> përfshirë raportimin e autoriteteve ligjzbatuese, konstatimet e monitorimit në distancë, informacionin gjyqësor dhe kontributet e partnerëve ndërkombëtarë, për të mbështetur analizën e </w:t>
      </w:r>
      <w:r w:rsidR="005924D3" w:rsidRPr="002128A6">
        <w:rPr>
          <w:rFonts w:ascii="Garamond" w:hAnsi="Garamond" w:cstheme="majorBidi"/>
        </w:rPr>
        <w:t>rrezikut</w:t>
      </w:r>
      <w:r w:rsidRPr="002128A6">
        <w:rPr>
          <w:rFonts w:ascii="Garamond" w:hAnsi="Garamond" w:cstheme="majorBidi"/>
        </w:rPr>
        <w:t>, synimin dhe planifikimin operacional</w:t>
      </w:r>
      <w:r w:rsidRPr="002128A6">
        <w:rPr>
          <w:rFonts w:ascii="Garamond" w:eastAsia="Times New Roman" w:hAnsi="Garamond" w:cstheme="majorBidi"/>
        </w:rPr>
        <w:t>.</w:t>
      </w:r>
    </w:p>
    <w:p w14:paraId="58B1FFC6"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2.1.3</w:t>
      </w:r>
      <w:r w:rsidRPr="002128A6">
        <w:rPr>
          <w:rFonts w:ascii="Garamond" w:eastAsia="Times New Roman" w:hAnsi="Garamond" w:cstheme="majorBidi"/>
        </w:rPr>
        <w:t xml:space="preserve">: Rritja e bashkëpunimit ndërinstitucional dhe efikasitetit me agjencitë e ligjzbatuese, si Prokuroria e Posaçme kundër Korrupsionit dhe Krimit të Organizuar, BKH-ja dhe Prokuroritë me Juridiksion të Përgjithshëm, përmes aktiviteteve periodike të përbashkëta për çështje specifike, me qëllim operacionet e përbashkëta kundër krimit të organizuar që synojnë rritjen e zbulimit, hetimit dhe ndjekjes penale të veprave penale </w:t>
      </w:r>
      <w:r w:rsidRPr="002128A6">
        <w:rPr>
          <w:rFonts w:ascii="Garamond" w:hAnsi="Garamond" w:cstheme="majorBidi"/>
        </w:rPr>
        <w:t xml:space="preserve">përfshirë përmes </w:t>
      </w:r>
      <w:r w:rsidRPr="002128A6">
        <w:rPr>
          <w:rFonts w:ascii="Garamond" w:eastAsia="Times New Roman" w:hAnsi="Garamond" w:cstheme="majorBidi"/>
        </w:rPr>
        <w:t xml:space="preserve">protokolleve të bashkëpunimit, planifikimit </w:t>
      </w:r>
      <w:r w:rsidRPr="002128A6">
        <w:rPr>
          <w:rFonts w:ascii="Garamond" w:hAnsi="Garamond" w:cstheme="majorBidi"/>
        </w:rPr>
        <w:t>të koordinuar operacional, dhe</w:t>
      </w:r>
      <w:r w:rsidRPr="002128A6">
        <w:rPr>
          <w:rFonts w:ascii="Garamond" w:eastAsia="Times New Roman" w:hAnsi="Garamond" w:cstheme="majorBidi"/>
        </w:rPr>
        <w:t xml:space="preserve"> trajnimeve të përbashkëta. </w:t>
      </w:r>
    </w:p>
    <w:p w14:paraId="3FAE2B18" w14:textId="3DFD23B0"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2.1.4:</w:t>
      </w:r>
      <w:r w:rsidRPr="002128A6">
        <w:rPr>
          <w:rFonts w:ascii="Garamond" w:eastAsia="Times New Roman" w:hAnsi="Garamond" w:cstheme="majorBidi"/>
        </w:rPr>
        <w:t xml:space="preserve"> Rritja e hetimeve proaktive të veprave penale në fushën e narkotikëve me qëllim</w:t>
      </w:r>
      <w:r w:rsidR="00F54824" w:rsidRPr="002128A6">
        <w:rPr>
          <w:rFonts w:ascii="Garamond" w:eastAsia="Times New Roman" w:hAnsi="Garamond" w:cstheme="majorBidi"/>
        </w:rPr>
        <w:t xml:space="preserve"> </w:t>
      </w:r>
      <w:r w:rsidRPr="002128A6">
        <w:rPr>
          <w:rFonts w:ascii="Garamond" w:eastAsia="Times New Roman" w:hAnsi="Garamond" w:cstheme="majorBidi"/>
        </w:rPr>
        <w:t xml:space="preserve">parandalimin dhe goditjen e aktiviteteve kriminale, </w:t>
      </w:r>
      <w:r w:rsidRPr="002128A6">
        <w:rPr>
          <w:rFonts w:ascii="Garamond" w:hAnsi="Garamond" w:cstheme="majorBidi"/>
        </w:rPr>
        <w:t>përfshirë përmes nisjes së çështjeve të bazuara në inteligjencë, zbatimit të teknikave proaktive të hetimit special dhe prioritizimit të hetimeve që synojnë organizatorët, lehtësuesit, logjistikën dhe të ardhurat nga krimi</w:t>
      </w:r>
      <w:r w:rsidRPr="002128A6">
        <w:rPr>
          <w:rFonts w:ascii="Garamond" w:eastAsia="Times New Roman" w:hAnsi="Garamond" w:cstheme="majorBidi"/>
        </w:rPr>
        <w:t>.</w:t>
      </w:r>
    </w:p>
    <w:p w14:paraId="17B7FB3B" w14:textId="3036FF83"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2.1.5:</w:t>
      </w:r>
      <w:r w:rsidRPr="002128A6">
        <w:rPr>
          <w:rFonts w:ascii="Garamond" w:eastAsia="Times New Roman" w:hAnsi="Garamond" w:cstheme="majorBidi"/>
        </w:rPr>
        <w:t xml:space="preserve"> Monitorimi dhe kontrolli i territorit për parandalimin</w:t>
      </w:r>
      <w:r w:rsidR="00F54824" w:rsidRPr="002128A6">
        <w:rPr>
          <w:rFonts w:ascii="Garamond" w:eastAsia="Times New Roman" w:hAnsi="Garamond" w:cstheme="majorBidi"/>
        </w:rPr>
        <w:t xml:space="preserve"> </w:t>
      </w:r>
      <w:r w:rsidRPr="002128A6">
        <w:rPr>
          <w:rFonts w:ascii="Garamond" w:eastAsia="Times New Roman" w:hAnsi="Garamond" w:cstheme="majorBidi"/>
        </w:rPr>
        <w:t>e kultivimit të bimëve narkotike,</w:t>
      </w:r>
      <w:r w:rsidRPr="002128A6">
        <w:rPr>
          <w:rFonts w:ascii="Garamond" w:hAnsi="Garamond" w:cstheme="majorBidi"/>
        </w:rPr>
        <w:t xml:space="preserve"> përfshirë përmes kontrolleve të koordinuara në terren, monitorimit ajror dhe teknologjik, planifikimit të patrullave të bazuar në </w:t>
      </w:r>
      <w:r w:rsidR="00D5093F" w:rsidRPr="002128A6">
        <w:rPr>
          <w:rFonts w:ascii="Garamond" w:hAnsi="Garamond" w:cstheme="majorBidi"/>
        </w:rPr>
        <w:t>rrezik</w:t>
      </w:r>
      <w:r w:rsidRPr="002128A6">
        <w:rPr>
          <w:rFonts w:ascii="Garamond" w:hAnsi="Garamond" w:cstheme="majorBidi"/>
        </w:rPr>
        <w:t xml:space="preserve"> dhe veprimeve të reagimit të shpejtë për identifikimin, verifikimin dhe eliminimin e zonave të dyshuara të kultivimit</w:t>
      </w:r>
      <w:r w:rsidRPr="002128A6">
        <w:rPr>
          <w:rFonts w:ascii="Garamond" w:eastAsia="Times New Roman" w:hAnsi="Garamond" w:cstheme="majorBidi"/>
        </w:rPr>
        <w:t>.</w:t>
      </w:r>
    </w:p>
    <w:p w14:paraId="082DD32A" w14:textId="6919C981"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2.1.6</w:t>
      </w:r>
      <w:r w:rsidRPr="002128A6">
        <w:rPr>
          <w:rFonts w:ascii="Garamond" w:eastAsia="Times New Roman" w:hAnsi="Garamond" w:cstheme="majorBidi"/>
        </w:rPr>
        <w:t xml:space="preserve">: Forcimi i kapaciteteve dhe procedurave për shkëmbimin e informacionit mbi Sistemin e Paralajmërimit të Hershëm për </w:t>
      </w:r>
      <w:r w:rsidR="009D7ACB" w:rsidRPr="002128A6">
        <w:rPr>
          <w:rFonts w:ascii="Garamond" w:eastAsia="Times New Roman" w:hAnsi="Garamond" w:cstheme="majorBidi"/>
        </w:rPr>
        <w:t>lëndët</w:t>
      </w:r>
      <w:r w:rsidRPr="002128A6">
        <w:rPr>
          <w:rFonts w:ascii="Garamond" w:eastAsia="Times New Roman" w:hAnsi="Garamond" w:cstheme="majorBidi"/>
        </w:rPr>
        <w:t xml:space="preserve"> e reja psikotrope (NPS), me qëllim rritjen e koordinimit institucional dhe efikasitetit në identifikimin dhe përgjigjen ndaj NPS, </w:t>
      </w:r>
      <w:r w:rsidRPr="002128A6">
        <w:rPr>
          <w:rFonts w:ascii="Garamond" w:hAnsi="Garamond" w:cstheme="majorBidi"/>
        </w:rPr>
        <w:t>përfshirë përmes rrugëve të qarta të raportimit, bashkëpunimit laboratorik dhe flukseve të strukturuara të informacionit me partnerët përkatës kombëtarë dhe ndërkombëtarë</w:t>
      </w:r>
      <w:r w:rsidRPr="002128A6">
        <w:rPr>
          <w:rFonts w:ascii="Garamond" w:eastAsia="Times New Roman" w:hAnsi="Garamond" w:cstheme="majorBidi"/>
        </w:rPr>
        <w:t>.</w:t>
      </w:r>
    </w:p>
    <w:p w14:paraId="610AA5BB"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2.1.7</w:t>
      </w:r>
      <w:r w:rsidRPr="002128A6">
        <w:rPr>
          <w:rFonts w:ascii="Garamond" w:eastAsia="Times New Roman" w:hAnsi="Garamond" w:cstheme="majorBidi"/>
        </w:rPr>
        <w:t xml:space="preserve">: Rritja e kapaciteteve teknologjike për shkatërrimin e sigurt dhe mjedisor neutral të substancave narkotike dhe psikotrope, </w:t>
      </w:r>
      <w:r w:rsidRPr="002128A6">
        <w:rPr>
          <w:rFonts w:ascii="Garamond" w:hAnsi="Garamond" w:cstheme="majorBidi"/>
        </w:rPr>
        <w:t>përfshirë përmes përmirësimit të infrastrukturës dhe pajisjeve përkatëse, zbatimit të standardeve të sigurisë dhe mjedisit dhe sigurimit të procedurave të gjurmueshme për ruajtjen, transportin dhe shkatërrimin</w:t>
      </w:r>
      <w:r w:rsidRPr="002128A6">
        <w:rPr>
          <w:rFonts w:ascii="Garamond" w:eastAsia="Times New Roman" w:hAnsi="Garamond" w:cstheme="majorBidi"/>
        </w:rPr>
        <w:t>.</w:t>
      </w:r>
    </w:p>
    <w:p w14:paraId="7084EEF7" w14:textId="5C9EC040"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2.1.8</w:t>
      </w:r>
      <w:r w:rsidRPr="002128A6">
        <w:rPr>
          <w:rFonts w:ascii="Garamond" w:eastAsia="Times New Roman" w:hAnsi="Garamond" w:cstheme="majorBidi"/>
        </w:rPr>
        <w:t xml:space="preserve">: Koordinimi dhe mbështetja e zbatimit të projektit </w:t>
      </w:r>
      <w:r w:rsidRPr="002128A6">
        <w:rPr>
          <w:rFonts w:ascii="Garamond" w:eastAsia="Times New Roman" w:hAnsi="Garamond" w:cstheme="majorBidi"/>
          <w:i/>
          <w:iCs/>
        </w:rPr>
        <w:t xml:space="preserve">“Horizon Europe </w:t>
      </w:r>
      <w:r w:rsidR="00D75A11" w:rsidRPr="002128A6">
        <w:rPr>
          <w:rFonts w:ascii="Garamond" w:eastAsia="Times New Roman" w:hAnsi="Garamond" w:cstheme="majorBidi"/>
          <w:i/>
          <w:iCs/>
        </w:rPr>
        <w:t>–</w:t>
      </w:r>
      <w:r w:rsidRPr="002128A6">
        <w:rPr>
          <w:rFonts w:ascii="Garamond" w:eastAsia="Times New Roman" w:hAnsi="Garamond" w:cstheme="majorBidi"/>
          <w:i/>
          <w:iCs/>
        </w:rPr>
        <w:t xml:space="preserve"> Cluster 3, Civil Security for Society”,</w:t>
      </w:r>
      <w:r w:rsidRPr="002128A6">
        <w:rPr>
          <w:rFonts w:ascii="Garamond" w:eastAsia="Times New Roman" w:hAnsi="Garamond" w:cstheme="majorBidi"/>
        </w:rPr>
        <w:t xml:space="preserve"> në fushën e zbulimit, identifikimit dhe gjurmimit të shpejtë dhe novator të farave dhe bimëve të kanabisit në kufirin doganor, </w:t>
      </w:r>
      <w:r w:rsidRPr="002128A6">
        <w:rPr>
          <w:rFonts w:ascii="Garamond" w:hAnsi="Garamond" w:cstheme="majorBidi"/>
        </w:rPr>
        <w:t>përfshirë përmes koordinimit ndërinstitucional, testimit operacional dhe integrimit të produkteve të projektit në praktikat e kontrollit kufitar</w:t>
      </w:r>
      <w:r w:rsidRPr="002128A6">
        <w:rPr>
          <w:rFonts w:ascii="Garamond" w:eastAsia="Times New Roman" w:hAnsi="Garamond" w:cstheme="majorBidi"/>
        </w:rPr>
        <w:t>.</w:t>
      </w:r>
    </w:p>
    <w:p w14:paraId="36D0797C" w14:textId="37FD1DB5"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2.1.9:</w:t>
      </w:r>
      <w:r w:rsidRPr="002128A6">
        <w:rPr>
          <w:rFonts w:ascii="Garamond" w:eastAsia="Times New Roman" w:hAnsi="Garamond" w:cstheme="majorBidi"/>
        </w:rPr>
        <w:t xml:space="preserve"> Ndryshimi i Ligjit nr. 8874, datë 29.3.2002</w:t>
      </w:r>
      <w:r w:rsidR="009D7ACB" w:rsidRPr="002128A6">
        <w:rPr>
          <w:rFonts w:ascii="Garamond" w:eastAsia="Times New Roman" w:hAnsi="Garamond" w:cstheme="majorBidi"/>
        </w:rPr>
        <w:t>,</w:t>
      </w:r>
      <w:r w:rsidRPr="002128A6">
        <w:rPr>
          <w:rFonts w:ascii="Garamond" w:eastAsia="Times New Roman" w:hAnsi="Garamond" w:cstheme="majorBidi"/>
        </w:rPr>
        <w:t xml:space="preserve"> “Për kontrollin e lëndëve që përdoren për fabrikimin e paligjshëm të lëndëve narkotike dhe psikotrope”, me qëllim harmonizimin e plotë me </w:t>
      </w:r>
      <w:r w:rsidR="006815D8" w:rsidRPr="002128A6">
        <w:rPr>
          <w:rFonts w:ascii="Garamond" w:eastAsia="Times New Roman" w:hAnsi="Garamond" w:cstheme="majorBidi"/>
          <w:i/>
          <w:iCs/>
        </w:rPr>
        <w:t xml:space="preserve">Acquis </w:t>
      </w:r>
      <w:r w:rsidRPr="002128A6">
        <w:rPr>
          <w:rFonts w:ascii="Garamond" w:eastAsia="Times New Roman" w:hAnsi="Garamond" w:cstheme="majorBidi"/>
        </w:rPr>
        <w:t>të BE-së në këtë fushë,</w:t>
      </w:r>
      <w:r w:rsidRPr="002128A6">
        <w:rPr>
          <w:rFonts w:ascii="Garamond" w:hAnsi="Garamond" w:cstheme="majorBidi"/>
        </w:rPr>
        <w:t xml:space="preserve"> përfshirë harmonizimin e përkufizimeve, masave të kontrollit, përgjegjësive të mbikëqyrjes dhe dispozitave sanksionuese</w:t>
      </w:r>
      <w:r w:rsidRPr="002128A6">
        <w:rPr>
          <w:rFonts w:ascii="Garamond" w:eastAsia="Times New Roman" w:hAnsi="Garamond" w:cstheme="majorBidi"/>
        </w:rPr>
        <w:t>.</w:t>
      </w:r>
    </w:p>
    <w:p w14:paraId="76D15858"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2.1.10:</w:t>
      </w:r>
      <w:r w:rsidRPr="002128A6">
        <w:rPr>
          <w:rFonts w:ascii="Garamond" w:eastAsia="Times New Roman" w:hAnsi="Garamond" w:cstheme="majorBidi"/>
        </w:rPr>
        <w:t xml:space="preserve"> </w:t>
      </w:r>
      <w:r w:rsidRPr="002128A6">
        <w:rPr>
          <w:rFonts w:ascii="Garamond" w:hAnsi="Garamond" w:cstheme="majorBidi"/>
        </w:rPr>
        <w:t xml:space="preserve">Identifikimi dhe trajtimi i </w:t>
      </w:r>
      <w:r w:rsidRPr="002128A6">
        <w:rPr>
          <w:rFonts w:ascii="Garamond" w:eastAsia="Times New Roman" w:hAnsi="Garamond" w:cstheme="majorBidi"/>
        </w:rPr>
        <w:t xml:space="preserve">rasteve të devijimit nga sasitë e kanabisit të mbjellë, të identifikuara përmes mbikëqyrjes dhe monitorimit të zbatimit të lejeve ose licencave, përfshirë </w:t>
      </w:r>
      <w:r w:rsidRPr="002128A6">
        <w:rPr>
          <w:rFonts w:ascii="Garamond" w:hAnsi="Garamond" w:cstheme="majorBidi"/>
        </w:rPr>
        <w:lastRenderedPageBreak/>
        <w:t>verifikimin e vendimeve</w:t>
      </w:r>
      <w:r w:rsidRPr="002128A6">
        <w:rPr>
          <w:rFonts w:ascii="Garamond" w:eastAsia="Times New Roman" w:hAnsi="Garamond" w:cstheme="majorBidi"/>
        </w:rPr>
        <w:t xml:space="preserve"> për shkatërrimin </w:t>
      </w:r>
      <w:r w:rsidRPr="002128A6">
        <w:rPr>
          <w:rFonts w:ascii="Garamond" w:hAnsi="Garamond" w:cstheme="majorBidi"/>
        </w:rPr>
        <w:t xml:space="preserve">e kultivimit të paautorizuar, </w:t>
      </w:r>
      <w:r w:rsidRPr="002128A6">
        <w:rPr>
          <w:rFonts w:ascii="Garamond" w:eastAsia="Times New Roman" w:hAnsi="Garamond" w:cstheme="majorBidi"/>
        </w:rPr>
        <w:t xml:space="preserve">dhe </w:t>
      </w:r>
      <w:r w:rsidRPr="002128A6">
        <w:rPr>
          <w:rFonts w:ascii="Garamond" w:hAnsi="Garamond" w:cstheme="majorBidi"/>
        </w:rPr>
        <w:t>zbatimin e sanksioneve administrative dhe/ose penale, sipas rastit.</w:t>
      </w:r>
    </w:p>
    <w:p w14:paraId="5837210D" w14:textId="46B81E81"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2.1.11:</w:t>
      </w:r>
      <w:r w:rsidRPr="002128A6">
        <w:rPr>
          <w:rFonts w:ascii="Garamond" w:eastAsia="Times New Roman" w:hAnsi="Garamond" w:cstheme="majorBidi"/>
        </w:rPr>
        <w:t xml:space="preserve"> Shkëmbimi informacionit të mbledhur sipas </w:t>
      </w:r>
      <w:r w:rsidR="009D7ACB" w:rsidRPr="002128A6">
        <w:rPr>
          <w:rFonts w:ascii="Garamond" w:eastAsia="Times New Roman" w:hAnsi="Garamond" w:cstheme="majorBidi"/>
        </w:rPr>
        <w:t xml:space="preserve">ligjit </w:t>
      </w:r>
      <w:r w:rsidRPr="002128A6">
        <w:rPr>
          <w:rFonts w:ascii="Garamond" w:eastAsia="Times New Roman" w:hAnsi="Garamond" w:cstheme="majorBidi"/>
        </w:rPr>
        <w:t xml:space="preserve">nr. 61/2023 me autoritetet përgjegjëse, me qëllim identifikimin e prodhimit të paligjshëm dhe trafikimit të lëndëve narkotike dhe substancave psikotrope, përfshirë pastrimin e të ardhurave nga aktivitetet e paligjshme të lidhura me lëndët narkotike, </w:t>
      </w:r>
      <w:r w:rsidRPr="002128A6">
        <w:rPr>
          <w:rFonts w:ascii="Garamond" w:hAnsi="Garamond" w:cstheme="majorBidi"/>
        </w:rPr>
        <w:t>duke siguruar ndjekje operacionale të koordinuar dhe referim në kohë të rasteve përkatëse</w:t>
      </w:r>
      <w:r w:rsidRPr="002128A6">
        <w:rPr>
          <w:rFonts w:ascii="Garamond" w:eastAsia="Times New Roman" w:hAnsi="Garamond" w:cstheme="majorBidi"/>
        </w:rPr>
        <w:t>.</w:t>
      </w:r>
    </w:p>
    <w:p w14:paraId="55FBDDF1" w14:textId="33B13F0B"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Arial" w:hAnsi="Garamond" w:cstheme="majorBidi"/>
        </w:rPr>
        <w:t xml:space="preserve">Për të mbështetur arritjen e këtyre </w:t>
      </w:r>
      <w:r w:rsidR="009D7ACB" w:rsidRPr="002128A6">
        <w:rPr>
          <w:rFonts w:ascii="Garamond" w:eastAsia="Arial" w:hAnsi="Garamond" w:cstheme="majorBidi"/>
        </w:rPr>
        <w:t>masave</w:t>
      </w:r>
      <w:r w:rsidRPr="002128A6">
        <w:rPr>
          <w:rFonts w:ascii="Garamond" w:eastAsia="Arial" w:hAnsi="Garamond" w:cstheme="majorBidi"/>
        </w:rPr>
        <w:t xml:space="preserve">, do të zbatohen </w:t>
      </w:r>
      <w:r w:rsidR="009D7ACB" w:rsidRPr="002128A6">
        <w:rPr>
          <w:rFonts w:ascii="Garamond" w:eastAsia="Arial" w:hAnsi="Garamond" w:cstheme="majorBidi"/>
        </w:rPr>
        <w:t xml:space="preserve">aktivitetet </w:t>
      </w:r>
      <w:r w:rsidRPr="002128A6">
        <w:rPr>
          <w:rFonts w:ascii="Garamond" w:eastAsia="Arial" w:hAnsi="Garamond" w:cstheme="majorBidi"/>
        </w:rPr>
        <w:t>e mëposhtme:</w:t>
      </w:r>
    </w:p>
    <w:p w14:paraId="3A7E47CF" w14:textId="013F8376" w:rsidR="00BE490C" w:rsidRPr="002128A6" w:rsidRDefault="00EF05E1" w:rsidP="0025426C">
      <w:pPr>
        <w:spacing w:after="0" w:line="240" w:lineRule="auto"/>
        <w:ind w:firstLine="284"/>
        <w:jc w:val="both"/>
        <w:rPr>
          <w:rFonts w:ascii="Garamond" w:eastAsia="Arial" w:hAnsi="Garamond" w:cstheme="majorBidi"/>
          <w:b/>
          <w:bCs/>
          <w:i/>
          <w:iCs/>
        </w:rPr>
      </w:pPr>
      <w:r w:rsidRPr="002128A6">
        <w:rPr>
          <w:rFonts w:ascii="Garamond" w:eastAsia="Arial" w:hAnsi="Garamond" w:cstheme="majorBidi"/>
          <w:b/>
          <w:bCs/>
          <w:i/>
          <w:iCs/>
        </w:rPr>
        <w:t xml:space="preserve">Aktivitete për masën </w:t>
      </w:r>
      <w:r w:rsidR="00BE490C" w:rsidRPr="002128A6">
        <w:rPr>
          <w:rFonts w:ascii="Garamond" w:eastAsia="Arial" w:hAnsi="Garamond" w:cstheme="majorBidi"/>
          <w:b/>
          <w:bCs/>
          <w:i/>
          <w:iCs/>
        </w:rPr>
        <w:t>2.1.1</w:t>
      </w:r>
    </w:p>
    <w:p w14:paraId="2486406C" w14:textId="6F0F5055"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Forcimi i operacioneve të zbulimit të udhëhequra nga inteligjenca dhe teknologjia, duke kryer veprime të shënjestruara bazuar në inteligjencën kriminale, mjetet analitike dhe kapacitetet e mbikëqyrjes, me qëllim identifikimin dhe goditjen e rrjeteve të lidhura me drogën. </w:t>
      </w:r>
    </w:p>
    <w:p w14:paraId="4D623943" w14:textId="71B0C872"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Përmirësimi i efektivitetit operacional përmes instalimit, të koordinuar dhe të bazuar në rrezik, të sistemeve të zbulimit teknologjik</w:t>
      </w:r>
      <w:r w:rsidRPr="002128A6">
        <w:rPr>
          <w:rFonts w:ascii="Garamond" w:hAnsi="Garamond" w:cs="Garamond"/>
          <w:i/>
          <w:iCs/>
          <w:kern w:val="0"/>
        </w:rPr>
        <w:t xml:space="preserve"> </w:t>
      </w:r>
      <w:r w:rsidRPr="002128A6">
        <w:rPr>
          <w:rFonts w:ascii="Garamond" w:hAnsi="Garamond" w:cs="Garamond"/>
          <w:kern w:val="0"/>
        </w:rPr>
        <w:t xml:space="preserve">si skanerët, dronet dhe njësitë </w:t>
      </w:r>
      <w:r w:rsidRPr="002128A6">
        <w:rPr>
          <w:rFonts w:ascii="Garamond" w:hAnsi="Garamond" w:cs="Garamond"/>
          <w:i/>
          <w:iCs/>
          <w:kern w:val="0"/>
        </w:rPr>
        <w:t>mobile</w:t>
      </w:r>
      <w:r w:rsidRPr="002128A6">
        <w:rPr>
          <w:rFonts w:ascii="Garamond" w:hAnsi="Garamond" w:cs="Garamond"/>
          <w:kern w:val="0"/>
        </w:rPr>
        <w:t xml:space="preserve"> të mbikëqyrjes në zonat me rrezik të lartë, me qëllim mbështetjen e ndërhyrjeve proaktive.</w:t>
      </w:r>
    </w:p>
    <w:p w14:paraId="4C3BAADD" w14:textId="12B79CFB"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2.1.2</w:t>
      </w:r>
    </w:p>
    <w:p w14:paraId="2816ACDD" w14:textId="6ADED124"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Përditësimi i vazhdueshëm i bazës së veçantë të të dhënave për kultivimin e bimëve narkotike, duke integruar informacion nga raportimet e autoriteteve ligjzbatuese, monitorimi në distancë, të dhënat gjyqësore dhe partnerët ndërkombëtarë. </w:t>
      </w:r>
    </w:p>
    <w:p w14:paraId="08F26631" w14:textId="6A9319C5"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Përgatitja e përmbledhjeve analitike periodike nga baza e të dhënave, për të mbështetur analizën e rrezikut, planifikimin</w:t>
      </w:r>
      <w:r w:rsidR="00F54824" w:rsidRPr="002128A6">
        <w:rPr>
          <w:rFonts w:ascii="Garamond" w:hAnsi="Garamond" w:cs="Garamond"/>
          <w:kern w:val="0"/>
        </w:rPr>
        <w:t xml:space="preserve"> </w:t>
      </w:r>
      <w:r w:rsidRPr="002128A6">
        <w:rPr>
          <w:rFonts w:ascii="Garamond" w:hAnsi="Garamond" w:cs="Garamond"/>
          <w:kern w:val="0"/>
        </w:rPr>
        <w:t>operacional dhe identifikimin e hershëm të tendencave të reja të kultivimit.</w:t>
      </w:r>
    </w:p>
    <w:p w14:paraId="5647195A" w14:textId="1BD30C57"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2.1.3</w:t>
      </w:r>
    </w:p>
    <w:p w14:paraId="00A46A57" w14:textId="6A7C0DC0"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Organizimi i takimeve periodike të koordinimit, seminareve tematike dhe sesioneve të përbashkëta të planifikimit me SPAK-un, BKH-në dhe prokurorët me juridiksion të përgjithshëm, me qëllim forcimin e bashkëpunimit operacional.</w:t>
      </w:r>
    </w:p>
    <w:p w14:paraId="3E903A83" w14:textId="0DFA8694"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Hartimi dhe zbatimi i protokolleve të bashkëpunimit dhe moduleve të trajnimit të përbashkëta, të cilat rrisin shkëmbimin e informacionit, hetimet e koordinuara dhe veprimet operacionale ndërinstitucionale.</w:t>
      </w:r>
    </w:p>
    <w:p w14:paraId="3E218231" w14:textId="64CB2C7C"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2.1.4</w:t>
      </w:r>
    </w:p>
    <w:p w14:paraId="268C657F" w14:textId="0D8106EC"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Nisja e hetimeve proaktive, të bazuara në inteligjencë, që synojnë organizatorët, lehtësuesit dhe mundësuesit logjistikë të trafikimit të narkotikëve. </w:t>
      </w:r>
    </w:p>
    <w:p w14:paraId="731E8EDA" w14:textId="747384C9"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Zbatimi i teknikave të posaçme të hetimit, si dhe prioritizimi i rasteve me elemente ndërkufitare ose me të ardhura të konsiderueshme financiare, me qëllim goditjen e strukturave kriminale me vlerë të lartë.</w:t>
      </w:r>
    </w:p>
    <w:p w14:paraId="765B399A" w14:textId="1A2B32E5"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2.1.5</w:t>
      </w:r>
    </w:p>
    <w:p w14:paraId="24BDC541" w14:textId="121BD37E"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Kryerja e inspektimeve të koordinuara në terren dhe e patrullimeve në zonat me risk të lartë, për parandalimin dhe zbulimin e kultivimit të bimëve narkotike. </w:t>
      </w:r>
    </w:p>
    <w:p w14:paraId="1F450F47" w14:textId="581EB476"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Instalimi i mjeteve të monitorimit ajror dhe teknologjik, si dhe miratimi i mekanizmave të reagimit të shpejtë, për verifikimin dhe eliminimin e vendndodhjeve të dyshuara të kultivimit.</w:t>
      </w:r>
    </w:p>
    <w:p w14:paraId="3767E744" w14:textId="33F1E46E"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kern w:val="0"/>
        </w:rPr>
        <w:t xml:space="preserve">Aktivitete për masën </w:t>
      </w:r>
      <w:r w:rsidR="0025426C" w:rsidRPr="002128A6">
        <w:rPr>
          <w:rFonts w:ascii="Garamond" w:hAnsi="Garamond" w:cs="Garamond"/>
          <w:b/>
          <w:bCs/>
          <w:i/>
          <w:iCs/>
          <w:kern w:val="0"/>
        </w:rPr>
        <w:t>2.1.6</w:t>
      </w:r>
    </w:p>
    <w:p w14:paraId="281FF8B1" w14:textId="24940BBF"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Forcimi i Sistemit të Paralajmërimit të Hershëm, duke vendosur praktika të qarta raportimi dhe flukse të strukturuara informacioni për substancat e reja psikotrope të identifikuara. </w:t>
      </w:r>
    </w:p>
    <w:p w14:paraId="6D9461BC" w14:textId="581F55C5"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Përmirësimi i bashkëpunimit laboratorik dhe pjesëmarrja në shkëmbimet ndërkombëtare të EWS-së, për të siguruar identifikim në kohë, vlerësim dhe shpërndarje të sinjalizimeve për substancat e reja.</w:t>
      </w:r>
    </w:p>
    <w:p w14:paraId="7076556A" w14:textId="4AD0E236"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2.1.7</w:t>
      </w:r>
    </w:p>
    <w:p w14:paraId="06B7C7E9" w14:textId="037C6A5C"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Modernizimi i infrastrukturës, pajisjeve dhe procedurave për shkatërrimin e sigurt, të gjurmueshëm dhe në pajtim me mjedisin të substancave narkotike dhe psikotrope. </w:t>
      </w:r>
    </w:p>
    <w:p w14:paraId="537CE79F" w14:textId="0E1C3B42"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lastRenderedPageBreak/>
        <w:t>- Trajnimi i personelit të specializuar mbi protokollet e trajtimit të sigurt, ruajtjen, transportin dhe shkatërrimin, për të siguruar respektim të plotë të standardeve të sigurisë dhe mjedisit.</w:t>
      </w:r>
    </w:p>
    <w:p w14:paraId="79CE9E84" w14:textId="21C588E2"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2.1.8</w:t>
      </w:r>
    </w:p>
    <w:p w14:paraId="06A43367" w14:textId="3FC599D8"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Koordinimi i zbatimit kombëtar të projektit “Horizon Europe </w:t>
      </w:r>
      <w:r w:rsidR="00D75A11" w:rsidRPr="002128A6">
        <w:rPr>
          <w:rFonts w:ascii="Garamond" w:hAnsi="Garamond" w:cs="Garamond"/>
          <w:kern w:val="0"/>
        </w:rPr>
        <w:t>–</w:t>
      </w:r>
      <w:r w:rsidRPr="002128A6">
        <w:rPr>
          <w:rFonts w:ascii="Garamond" w:hAnsi="Garamond" w:cs="Garamond"/>
          <w:kern w:val="0"/>
        </w:rPr>
        <w:t xml:space="preserve"> Cluster 3”, duke lehtësuar bashkëpunimin ndërinstitucional dhe testimin operacional të teknologjive të zbulimit në dogana. </w:t>
      </w:r>
    </w:p>
    <w:p w14:paraId="6454BD39" w14:textId="65116981"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Integrimi i produktet e verifikuara të projektit në praktikat e kontrollit kufitar, si dhe raportimi i progresit te palët e interesuara kombëtare dhe ndërkombëtare.</w:t>
      </w:r>
    </w:p>
    <w:p w14:paraId="21EC2680" w14:textId="38AE566F"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2.1.9</w:t>
      </w:r>
    </w:p>
    <w:p w14:paraId="7B8DBA76" w14:textId="601FA33E"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Realizimi i një analize të boshllëqeve ligjore të Ligjit nr. 8874 përkundër </w:t>
      </w:r>
      <w:r w:rsidR="006815D8" w:rsidRPr="002128A6">
        <w:rPr>
          <w:rFonts w:ascii="Garamond" w:hAnsi="Garamond" w:cs="Garamond"/>
          <w:i/>
          <w:iCs/>
          <w:kern w:val="0"/>
        </w:rPr>
        <w:t xml:space="preserve">Acquis </w:t>
      </w:r>
      <w:r w:rsidRPr="002128A6">
        <w:rPr>
          <w:rFonts w:ascii="Garamond" w:hAnsi="Garamond" w:cs="Garamond"/>
          <w:kern w:val="0"/>
        </w:rPr>
        <w:t xml:space="preserve">të BE-së dhe standardeve ndërkombëtare, duke identifikuar ndryshimet e kërkuara. </w:t>
      </w:r>
    </w:p>
    <w:p w14:paraId="07374964" w14:textId="37A1A57D"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Hartimi dhe konsultimi i ndryshimeve ligjore të propozuara, duke siguruar harmonizimin e përkufizimeve, masave të kontrollit, përgjegjësive</w:t>
      </w:r>
      <w:r w:rsidR="00F54824" w:rsidRPr="002128A6">
        <w:rPr>
          <w:rFonts w:ascii="Garamond" w:hAnsi="Garamond" w:cs="Garamond"/>
          <w:kern w:val="0"/>
        </w:rPr>
        <w:t xml:space="preserve"> </w:t>
      </w:r>
      <w:r w:rsidRPr="002128A6">
        <w:rPr>
          <w:rFonts w:ascii="Garamond" w:hAnsi="Garamond" w:cs="Garamond"/>
          <w:kern w:val="0"/>
        </w:rPr>
        <w:t>të mbikëqyrjes dhe sanksioneve.</w:t>
      </w:r>
    </w:p>
    <w:p w14:paraId="6F073301" w14:textId="35F26A89"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2.1.10</w:t>
      </w:r>
    </w:p>
    <w:p w14:paraId="023C979E" w14:textId="2C2A4EB2"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Monitorimi i përditësimeve të BE-së për substancat e kontrolluara dhe substancat e reja psikoaktive (NPS) dhe përgatitja e propozimeve për përfshirjen në kohë të substancave të reja në planet kombëtare. </w:t>
      </w:r>
    </w:p>
    <w:p w14:paraId="69912B63" w14:textId="6DF417A6"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Konsultimi me laboratorët, autoritetet shëndetësore dhe ligjzbatuese, për të konsoliduar përditësimet dhe për të siguruar shpërndarjen e listave të rishikuara.</w:t>
      </w:r>
    </w:p>
    <w:p w14:paraId="013A6E81" w14:textId="50705550" w:rsidR="0025426C" w:rsidRPr="002128A6" w:rsidRDefault="00EF05E1" w:rsidP="0025426C">
      <w:pPr>
        <w:autoSpaceDE w:val="0"/>
        <w:autoSpaceDN w:val="0"/>
        <w:adjustRightInd w:val="0"/>
        <w:spacing w:after="0" w:line="240" w:lineRule="auto"/>
        <w:ind w:firstLine="284"/>
        <w:jc w:val="both"/>
        <w:rPr>
          <w:rFonts w:ascii="Garamond" w:hAnsi="Garamond" w:cs="Garamond"/>
          <w:b/>
          <w:bCs/>
          <w:i/>
          <w:iCs/>
          <w:kern w:val="0"/>
        </w:rPr>
      </w:pPr>
      <w:r w:rsidRPr="002128A6">
        <w:rPr>
          <w:rFonts w:ascii="Garamond" w:hAnsi="Garamond" w:cs="Garamond"/>
          <w:b/>
          <w:bCs/>
          <w:i/>
          <w:iCs/>
          <w:kern w:val="0"/>
        </w:rPr>
        <w:t xml:space="preserve">Aktivitete për masën </w:t>
      </w:r>
      <w:r w:rsidR="0025426C" w:rsidRPr="002128A6">
        <w:rPr>
          <w:rFonts w:ascii="Garamond" w:hAnsi="Garamond" w:cs="Garamond"/>
          <w:b/>
          <w:bCs/>
          <w:i/>
          <w:iCs/>
          <w:kern w:val="0"/>
        </w:rPr>
        <w:t>2.1.11</w:t>
      </w:r>
    </w:p>
    <w:p w14:paraId="39AE06CE" w14:textId="48BB47DF"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xml:space="preserve">- Miratimi i mekanizmave të strukturuar për shkëmbimin e informacionit të mbledhur sipas ligjit nr. 61/2023 me autoritetet përgjegjëse. </w:t>
      </w:r>
    </w:p>
    <w:p w14:paraId="6447F2AA" w14:textId="30D78C60"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kern w:val="0"/>
        </w:rPr>
        <w:t>- Analizimi i të dhënave të ndara për identifikimin e prodhimit të paligjshëm, trafikimit dhe pastrimit të parave të lidhura me to, si dhe referimi i rasteve për ndjekje operacionale.</w:t>
      </w:r>
    </w:p>
    <w:p w14:paraId="5129281D"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Produktet e pritshme që do të rezultojnë janë:</w:t>
      </w:r>
    </w:p>
    <w:p w14:paraId="32F4B9C7"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1: </w:t>
      </w:r>
      <w:r w:rsidRPr="002128A6">
        <w:rPr>
          <w:rFonts w:ascii="Garamond" w:eastAsia="Arial" w:hAnsi="Garamond" w:cstheme="majorBidi"/>
        </w:rPr>
        <w:t>Numri i sekuestrimeve të narkotikëve të kryera çdo vit, sipas substancës dhe rajonit.</w:t>
      </w:r>
    </w:p>
    <w:p w14:paraId="7187C794" w14:textId="416D9644"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2: </w:t>
      </w:r>
      <w:r w:rsidRPr="002128A6">
        <w:rPr>
          <w:rFonts w:ascii="Garamond" w:eastAsia="Arial" w:hAnsi="Garamond" w:cstheme="majorBidi"/>
        </w:rPr>
        <w:t xml:space="preserve">Numri i rrjeteve të </w:t>
      </w:r>
      <w:r w:rsidR="00277E05" w:rsidRPr="002128A6">
        <w:rPr>
          <w:rFonts w:ascii="Garamond" w:eastAsia="Arial" w:hAnsi="Garamond" w:cstheme="majorBidi"/>
        </w:rPr>
        <w:t>goditura</w:t>
      </w:r>
      <w:r w:rsidRPr="002128A6">
        <w:rPr>
          <w:rFonts w:ascii="Garamond" w:eastAsia="Arial" w:hAnsi="Garamond" w:cstheme="majorBidi"/>
        </w:rPr>
        <w:t xml:space="preserve"> të trafikimit dhe dënimeve të nivelit të lartë, në vit.</w:t>
      </w:r>
    </w:p>
    <w:p w14:paraId="01007321"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3: </w:t>
      </w:r>
      <w:r w:rsidRPr="002128A6">
        <w:rPr>
          <w:rFonts w:ascii="Garamond" w:eastAsia="Arial" w:hAnsi="Garamond" w:cstheme="majorBidi"/>
        </w:rPr>
        <w:t>Numri i operacioneve të përbashkëta të udhëhequra nga inteligjenca, të kryera me partnerët ndërkombëtarë.</w:t>
      </w:r>
    </w:p>
    <w:p w14:paraId="094D5DEE" w14:textId="6B24634B"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Institucionet </w:t>
      </w:r>
      <w:r w:rsidR="00514289" w:rsidRPr="002128A6">
        <w:rPr>
          <w:rFonts w:ascii="Garamond" w:eastAsia="Arial" w:hAnsi="Garamond" w:cstheme="majorBidi"/>
          <w:b/>
          <w:bCs/>
        </w:rPr>
        <w:t>përgjegjëse</w:t>
      </w:r>
      <w:r w:rsidRPr="002128A6">
        <w:rPr>
          <w:rFonts w:ascii="Garamond" w:eastAsia="Arial" w:hAnsi="Garamond" w:cstheme="majorBidi"/>
          <w:b/>
          <w:bCs/>
        </w:rPr>
        <w:t xml:space="preserve">: </w:t>
      </w:r>
      <w:r w:rsidRPr="002128A6">
        <w:rPr>
          <w:rFonts w:ascii="Garamond" w:eastAsia="Arial" w:hAnsi="Garamond" w:cstheme="majorBidi"/>
        </w:rPr>
        <w:t xml:space="preserve">Policia e Shtetit. </w:t>
      </w:r>
    </w:p>
    <w:p w14:paraId="4640AC15" w14:textId="44AE3F54" w:rsidR="00D55967"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b/>
          <w:bCs/>
        </w:rPr>
        <w:t xml:space="preserve">Institucionet </w:t>
      </w:r>
      <w:r w:rsidR="00514289" w:rsidRPr="002128A6">
        <w:rPr>
          <w:rFonts w:ascii="Garamond" w:eastAsia="Arial" w:hAnsi="Garamond" w:cstheme="majorBidi"/>
          <w:b/>
          <w:bCs/>
        </w:rPr>
        <w:t>mbështetëse</w:t>
      </w:r>
      <w:r w:rsidRPr="002128A6">
        <w:rPr>
          <w:rFonts w:ascii="Garamond" w:eastAsia="Arial" w:hAnsi="Garamond" w:cstheme="majorBidi"/>
          <w:b/>
          <w:bCs/>
        </w:rPr>
        <w:t>:</w:t>
      </w:r>
      <w:r w:rsidRPr="002128A6">
        <w:rPr>
          <w:rFonts w:ascii="Garamond" w:eastAsia="Arial" w:hAnsi="Garamond" w:cstheme="majorBidi"/>
        </w:rPr>
        <w:t xml:space="preserve"> </w:t>
      </w:r>
      <w:r w:rsidR="00D55967" w:rsidRPr="002128A6">
        <w:rPr>
          <w:rFonts w:ascii="Garamond" w:eastAsia="Arial" w:hAnsi="Garamond" w:cstheme="majorBidi"/>
        </w:rPr>
        <w:t xml:space="preserve">Prokuroria e </w:t>
      </w:r>
      <w:r w:rsidR="003726DA" w:rsidRPr="002128A6">
        <w:rPr>
          <w:rFonts w:ascii="Garamond" w:eastAsia="Arial" w:hAnsi="Garamond" w:cstheme="majorBidi"/>
        </w:rPr>
        <w:t>P</w:t>
      </w:r>
      <w:r w:rsidR="00D55967" w:rsidRPr="002128A6">
        <w:rPr>
          <w:rFonts w:ascii="Garamond" w:eastAsia="Arial" w:hAnsi="Garamond" w:cstheme="majorBidi"/>
        </w:rPr>
        <w:t>ërgjithshme</w:t>
      </w:r>
      <w:r w:rsidR="003726DA" w:rsidRPr="002128A6">
        <w:rPr>
          <w:rFonts w:ascii="Garamond" w:eastAsia="Arial" w:hAnsi="Garamond" w:cstheme="majorBidi"/>
        </w:rPr>
        <w:t>,</w:t>
      </w:r>
      <w:r w:rsidR="00D55967" w:rsidRPr="002128A6">
        <w:rPr>
          <w:rFonts w:ascii="Garamond" w:eastAsia="Arial" w:hAnsi="Garamond" w:cstheme="majorBidi"/>
        </w:rPr>
        <w:t xml:space="preserve"> Prokuroria e Posaçme</w:t>
      </w:r>
      <w:r w:rsidR="003726DA" w:rsidRPr="002128A6">
        <w:rPr>
          <w:rFonts w:ascii="Garamond" w:eastAsia="Arial" w:hAnsi="Garamond" w:cstheme="majorBidi"/>
        </w:rPr>
        <w:t>,</w:t>
      </w:r>
      <w:r w:rsidR="00D55967" w:rsidRPr="002128A6">
        <w:rPr>
          <w:rFonts w:ascii="Garamond" w:eastAsia="Arial" w:hAnsi="Garamond" w:cstheme="majorBidi"/>
        </w:rPr>
        <w:t xml:space="preserve"> Byroja Kombëtare e Hetimit</w:t>
      </w:r>
      <w:r w:rsidR="003726DA" w:rsidRPr="002128A6">
        <w:rPr>
          <w:rFonts w:ascii="Garamond" w:eastAsia="Arial" w:hAnsi="Garamond" w:cstheme="majorBidi"/>
        </w:rPr>
        <w:t>,</w:t>
      </w:r>
      <w:r w:rsidR="00D55967" w:rsidRPr="002128A6">
        <w:rPr>
          <w:rFonts w:ascii="Garamond" w:eastAsia="Arial" w:hAnsi="Garamond" w:cstheme="majorBidi"/>
        </w:rPr>
        <w:t xml:space="preserve"> </w:t>
      </w:r>
      <w:r w:rsidR="003726DA" w:rsidRPr="002128A6">
        <w:rPr>
          <w:rFonts w:ascii="Garamond" w:eastAsia="Arial" w:hAnsi="Garamond" w:cstheme="majorBidi"/>
        </w:rPr>
        <w:t xml:space="preserve">Policia e Shtetit; </w:t>
      </w:r>
      <w:r w:rsidR="00D55967" w:rsidRPr="002128A6">
        <w:rPr>
          <w:rFonts w:ascii="Garamond" w:eastAsia="Arial" w:hAnsi="Garamond" w:cstheme="majorBidi"/>
        </w:rPr>
        <w:t>Agjencia e Inteligjencës dhe Sigurisë së Mbrojtjes</w:t>
      </w:r>
      <w:r w:rsidR="003726DA" w:rsidRPr="002128A6">
        <w:rPr>
          <w:rFonts w:ascii="Garamond" w:eastAsia="Arial" w:hAnsi="Garamond" w:cstheme="majorBidi"/>
        </w:rPr>
        <w:t>,</w:t>
      </w:r>
      <w:r w:rsidR="00D55967" w:rsidRPr="002128A6">
        <w:rPr>
          <w:rFonts w:ascii="Garamond" w:eastAsia="Arial" w:hAnsi="Garamond" w:cstheme="majorBidi"/>
        </w:rPr>
        <w:t xml:space="preserve"> Shërbimi Informativ i Shtetit Drejtoria e Përgjithshme e Doganave;</w:t>
      </w:r>
      <w:r w:rsidR="00F54824" w:rsidRPr="002128A6">
        <w:rPr>
          <w:rFonts w:ascii="Garamond" w:eastAsia="Arial" w:hAnsi="Garamond" w:cstheme="majorBidi"/>
        </w:rPr>
        <w:t xml:space="preserve"> </w:t>
      </w:r>
      <w:r w:rsidR="00D55967" w:rsidRPr="002128A6">
        <w:rPr>
          <w:rFonts w:ascii="Garamond" w:eastAsia="Arial" w:hAnsi="Garamond" w:cstheme="majorBidi"/>
        </w:rPr>
        <w:t>Ministria e Shëndetësisë dhe Mirëqenies Sociale; Inspektorati Kombëtar i Mbrojtjes së Territorit</w:t>
      </w:r>
      <w:r w:rsidR="003726DA" w:rsidRPr="002128A6">
        <w:rPr>
          <w:rFonts w:ascii="Garamond" w:eastAsia="Arial" w:hAnsi="Garamond" w:cstheme="majorBidi"/>
        </w:rPr>
        <w:t xml:space="preserve">, Ministria e Punëve të Brendshme, Ministria e Drejtësisë; Ministria e Financave; Ministria për Evropën dhe Punët e Jashtme; Ministria e Arsimit dhe Sportit; Ministria e Bujqësisë dhe Zhvillimit Rural; Ministria e Mbrojtjes, Shërbimi Informativ i Shtetit, </w:t>
      </w:r>
      <w:r w:rsidR="00D55967" w:rsidRPr="002128A6">
        <w:rPr>
          <w:rFonts w:ascii="Garamond" w:eastAsia="Arial" w:hAnsi="Garamond" w:cstheme="majorBidi"/>
        </w:rPr>
        <w:t>ISHP</w:t>
      </w:r>
      <w:r w:rsidR="003726DA" w:rsidRPr="002128A6">
        <w:rPr>
          <w:rFonts w:ascii="Garamond" w:eastAsia="Arial" w:hAnsi="Garamond" w:cstheme="majorBidi"/>
        </w:rPr>
        <w:t>,</w:t>
      </w:r>
      <w:r w:rsidR="00D55967" w:rsidRPr="002128A6">
        <w:rPr>
          <w:rFonts w:ascii="Garamond" w:eastAsia="Arial" w:hAnsi="Garamond" w:cstheme="majorBidi"/>
        </w:rPr>
        <w:t xml:space="preserve"> AKBPM</w:t>
      </w:r>
      <w:r w:rsidR="003726DA" w:rsidRPr="002128A6">
        <w:rPr>
          <w:rFonts w:ascii="Garamond" w:eastAsia="Arial" w:hAnsi="Garamond" w:cstheme="majorBidi"/>
        </w:rPr>
        <w:t>,</w:t>
      </w:r>
      <w:r w:rsidR="00D55967" w:rsidRPr="002128A6">
        <w:rPr>
          <w:rFonts w:ascii="Garamond" w:eastAsia="Arial" w:hAnsi="Garamond" w:cstheme="majorBidi"/>
        </w:rPr>
        <w:t xml:space="preserve"> OKD</w:t>
      </w:r>
      <w:r w:rsidR="003726DA" w:rsidRPr="002128A6">
        <w:rPr>
          <w:rFonts w:ascii="Garamond" w:eastAsia="Arial" w:hAnsi="Garamond" w:cstheme="majorBidi"/>
        </w:rPr>
        <w:t>,</w:t>
      </w:r>
      <w:r w:rsidR="00D55967" w:rsidRPr="002128A6">
        <w:rPr>
          <w:rFonts w:ascii="Garamond" w:eastAsia="Arial" w:hAnsi="Garamond" w:cstheme="majorBidi"/>
        </w:rPr>
        <w:t xml:space="preserve"> ZSKD</w:t>
      </w:r>
      <w:r w:rsidR="003726DA" w:rsidRPr="002128A6">
        <w:rPr>
          <w:rFonts w:ascii="Garamond" w:eastAsia="Arial" w:hAnsi="Garamond" w:cstheme="majorBidi"/>
        </w:rPr>
        <w:t>,</w:t>
      </w:r>
      <w:r w:rsidR="00D55967" w:rsidRPr="002128A6">
        <w:rPr>
          <w:rFonts w:ascii="Garamond" w:eastAsia="Arial" w:hAnsi="Garamond" w:cstheme="majorBidi"/>
        </w:rPr>
        <w:t xml:space="preserve"> QSUT</w:t>
      </w:r>
      <w:r w:rsidR="003726DA" w:rsidRPr="002128A6">
        <w:rPr>
          <w:rFonts w:ascii="Garamond" w:eastAsia="Arial" w:hAnsi="Garamond" w:cstheme="majorBidi"/>
        </w:rPr>
        <w:t>,</w:t>
      </w:r>
      <w:r w:rsidR="00D55967" w:rsidRPr="002128A6">
        <w:rPr>
          <w:rFonts w:ascii="Garamond" w:eastAsia="Arial" w:hAnsi="Garamond" w:cstheme="majorBidi"/>
        </w:rPr>
        <w:t xml:space="preserve"> AKPB, AKKC</w:t>
      </w:r>
      <w:r w:rsidR="003726DA" w:rsidRPr="002128A6">
        <w:rPr>
          <w:rFonts w:ascii="Garamond" w:eastAsia="Arial" w:hAnsi="Garamond" w:cstheme="majorBidi"/>
        </w:rPr>
        <w:t>.</w:t>
      </w:r>
    </w:p>
    <w:p w14:paraId="78193BFD" w14:textId="2CB5F852" w:rsidR="00BE490C" w:rsidRPr="002128A6" w:rsidRDefault="003726DA" w:rsidP="0025426C">
      <w:pPr>
        <w:spacing w:after="0" w:line="240" w:lineRule="auto"/>
        <w:ind w:firstLine="284"/>
        <w:jc w:val="both"/>
        <w:rPr>
          <w:rFonts w:ascii="Garamond" w:hAnsi="Garamond" w:cstheme="majorBidi"/>
        </w:rPr>
      </w:pPr>
      <w:r w:rsidRPr="002128A6">
        <w:rPr>
          <w:rFonts w:ascii="Garamond" w:eastAsia="Arial" w:hAnsi="Garamond" w:cstheme="majorBidi"/>
          <w:b/>
          <w:bCs/>
        </w:rPr>
        <w:t>Mbështetës të tjerë:</w:t>
      </w:r>
      <w:r w:rsidR="00D55967" w:rsidRPr="002128A6">
        <w:rPr>
          <w:rFonts w:ascii="Garamond" w:eastAsia="Arial" w:hAnsi="Garamond" w:cstheme="majorBidi"/>
        </w:rPr>
        <w:t xml:space="preserve"> Organizatat joqeveritare që veprojnë në fushën e drogave dhe shëndetit publik; EUDA;</w:t>
      </w:r>
    </w:p>
    <w:p w14:paraId="7B1F5E04" w14:textId="5C043542"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Rezultatet do të maten përmes</w:t>
      </w:r>
      <w:r w:rsidR="003726DA" w:rsidRPr="002128A6">
        <w:rPr>
          <w:rFonts w:ascii="Garamond" w:eastAsia="Arial" w:hAnsi="Garamond" w:cstheme="majorBidi"/>
        </w:rPr>
        <w:t xml:space="preserve"> </w:t>
      </w:r>
      <w:r w:rsidR="00D5093F" w:rsidRPr="002128A6">
        <w:rPr>
          <w:rFonts w:ascii="Garamond" w:eastAsia="Arial" w:hAnsi="Garamond" w:cstheme="majorBidi"/>
        </w:rPr>
        <w:t>Treguesit</w:t>
      </w:r>
      <w:r w:rsidRPr="002128A6">
        <w:rPr>
          <w:rFonts w:ascii="Garamond" w:eastAsia="Arial" w:hAnsi="Garamond" w:cstheme="majorBidi"/>
        </w:rPr>
        <w:t xml:space="preserve"> të mëposhtëm:</w:t>
      </w:r>
    </w:p>
    <w:p w14:paraId="7D66C6D8" w14:textId="3EE67230" w:rsidR="00BE490C" w:rsidRPr="002128A6" w:rsidRDefault="009B0549" w:rsidP="0025426C">
      <w:pPr>
        <w:spacing w:after="0" w:line="240" w:lineRule="auto"/>
        <w:ind w:firstLine="284"/>
        <w:jc w:val="both"/>
        <w:rPr>
          <w:rFonts w:ascii="Garamond" w:eastAsia="Arial" w:hAnsi="Garamond" w:cstheme="majorBidi"/>
          <w:i/>
          <w:iCs/>
        </w:rPr>
      </w:pPr>
      <w:r w:rsidRPr="002128A6">
        <w:rPr>
          <w:rFonts w:ascii="Garamond" w:eastAsia="Arial" w:hAnsi="Garamond" w:cstheme="majorBidi"/>
          <w:i/>
          <w:iCs/>
        </w:rPr>
        <w:t>Numri i procedimeve për trafikim të narkotikëve dhe numri i individëve të nënshtruar procedimeve penale në vit</w:t>
      </w:r>
      <w:r w:rsidR="00BE490C" w:rsidRPr="002128A6">
        <w:rPr>
          <w:rFonts w:ascii="Garamond" w:eastAsia="Arial" w:hAnsi="Garamond" w:cstheme="majorBidi"/>
          <w:i/>
          <w:iCs/>
        </w:rPr>
        <w:t>.</w:t>
      </w:r>
    </w:p>
    <w:p w14:paraId="6AE7555C" w14:textId="1CADFD3B"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Vlera bazë: </w:t>
      </w:r>
      <w:r w:rsidR="00EE7A3B" w:rsidRPr="002128A6">
        <w:rPr>
          <w:rFonts w:ascii="Garamond" w:eastAsia="Arial" w:hAnsi="Garamond" w:cstheme="majorBidi"/>
        </w:rPr>
        <w:t xml:space="preserve">2025 – 69 </w:t>
      </w:r>
      <w:r w:rsidR="006B4532" w:rsidRPr="002128A6">
        <w:rPr>
          <w:rFonts w:ascii="Garamond" w:eastAsia="Arial" w:hAnsi="Garamond" w:cstheme="majorBidi"/>
        </w:rPr>
        <w:t>procedime me 28 të pandehur</w:t>
      </w:r>
      <w:r w:rsidR="00D86AE7" w:rsidRPr="002128A6">
        <w:rPr>
          <w:rFonts w:ascii="Garamond" w:eastAsia="Arial" w:hAnsi="Garamond" w:cstheme="majorBidi"/>
        </w:rPr>
        <w:t>;</w:t>
      </w:r>
    </w:p>
    <w:p w14:paraId="11499730" w14:textId="2E6C139F"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b/>
          <w:bCs/>
        </w:rPr>
        <w:t xml:space="preserve">Synimi deri në 2030: </w:t>
      </w:r>
      <w:r w:rsidRPr="002128A6">
        <w:rPr>
          <w:rFonts w:ascii="Garamond" w:eastAsia="Arial" w:hAnsi="Garamond" w:cstheme="majorBidi"/>
        </w:rPr>
        <w:t>do të konfirmohet në 2026.</w:t>
      </w:r>
    </w:p>
    <w:p w14:paraId="4F39BC3E" w14:textId="76463AF1" w:rsidR="00BE490C" w:rsidRPr="002128A6" w:rsidRDefault="00BE490C" w:rsidP="0025426C">
      <w:pPr>
        <w:pStyle w:val="Heading3"/>
        <w:spacing w:before="0" w:after="0" w:line="240" w:lineRule="auto"/>
        <w:ind w:firstLine="284"/>
        <w:jc w:val="both"/>
        <w:rPr>
          <w:rFonts w:ascii="Garamond" w:eastAsia="Times New Roman" w:hAnsi="Garamond"/>
          <w:b/>
          <w:bCs/>
          <w:color w:val="auto"/>
          <w:sz w:val="24"/>
          <w:szCs w:val="24"/>
          <w:lang w:eastAsia="en-GB"/>
        </w:rPr>
      </w:pPr>
      <w:bookmarkStart w:id="52" w:name="_Toc233371591"/>
      <w:r w:rsidRPr="002128A6">
        <w:rPr>
          <w:rFonts w:ascii="Garamond" w:eastAsia="Times New Roman" w:hAnsi="Garamond"/>
          <w:b/>
          <w:bCs/>
          <w:color w:val="auto"/>
          <w:sz w:val="24"/>
          <w:szCs w:val="24"/>
          <w:lang w:eastAsia="en-GB"/>
        </w:rPr>
        <w:t>Objektivi Specifik 2.2: Reduktimi i ndjeshëm i trafikimit, duke rritur zbulimin, goditjen e rrjeteve kriminale</w:t>
      </w:r>
      <w:r w:rsidRPr="002128A6">
        <w:rPr>
          <w:rFonts w:ascii="Garamond" w:hAnsi="Garamond"/>
          <w:b/>
          <w:bCs/>
          <w:color w:val="auto"/>
          <w:sz w:val="24"/>
          <w:szCs w:val="24"/>
        </w:rPr>
        <w:t xml:space="preserve"> dhe forcimin e kontrolleve kufitare dhe </w:t>
      </w:r>
      <w:r w:rsidR="00A41524" w:rsidRPr="002128A6">
        <w:rPr>
          <w:rFonts w:ascii="Garamond" w:hAnsi="Garamond"/>
          <w:b/>
          <w:bCs/>
          <w:color w:val="auto"/>
          <w:sz w:val="24"/>
          <w:szCs w:val="24"/>
        </w:rPr>
        <w:t xml:space="preserve">kapaciteteve </w:t>
      </w:r>
      <w:r w:rsidRPr="002128A6">
        <w:rPr>
          <w:rFonts w:ascii="Garamond" w:hAnsi="Garamond"/>
          <w:b/>
          <w:bCs/>
          <w:color w:val="auto"/>
          <w:sz w:val="24"/>
          <w:szCs w:val="24"/>
        </w:rPr>
        <w:t>hetimore</w:t>
      </w:r>
      <w:bookmarkEnd w:id="52"/>
    </w:p>
    <w:p w14:paraId="47991D04" w14:textId="78992134" w:rsidR="00863111" w:rsidRPr="002128A6" w:rsidRDefault="00863111"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 xml:space="preserve">Strategjia i kushton fokus të veçantë reduktimit të kërcënimeve që rrjedhin nga aktivitetet e paligjshme në fusha të ndryshme të trafikimit, të cilat paraqesin sfida serioze për sigurinë dhe rendin publik. Këto përfshijnë trafikimin e qenieve njerëzore, një krim që cenon drejtpërdrejt të drejtat dhe dinjitetin njerëzor, si dhe ndihmën në kalimin e paligjshëm të kufirit (i njohur ndryshe si trafikimi i </w:t>
      </w:r>
      <w:r w:rsidRPr="002128A6">
        <w:rPr>
          <w:rFonts w:ascii="Garamond" w:hAnsi="Garamond" w:cstheme="majorBidi"/>
        </w:rPr>
        <w:lastRenderedPageBreak/>
        <w:t xml:space="preserve">emigrantëve), që ka pasoja të rënda humanitare dhe ligjore. </w:t>
      </w:r>
      <w:r w:rsidRPr="002128A6">
        <w:rPr>
          <w:rFonts w:ascii="Garamond" w:eastAsia="Arial" w:hAnsi="Garamond" w:cstheme="majorBidi"/>
        </w:rPr>
        <w:t>Ky fenomen trajtohet si prioritet i dedikuar në Strategjinë Kombëtare për Luftën kundër Trafikimit të Personave dhe në Planit e Veprimit të saj, aktualisht në finalizim me mbështetje ndërkombëtare. Në kët</w:t>
      </w:r>
      <w:r w:rsidRPr="002128A6">
        <w:rPr>
          <w:rFonts w:ascii="Garamond" w:hAnsi="Garamond"/>
          <w:lang w:eastAsia="en-GB"/>
        </w:rPr>
        <w:t>ë</w:t>
      </w:r>
      <w:r w:rsidRPr="002128A6">
        <w:rPr>
          <w:rFonts w:ascii="Garamond" w:eastAsia="Arial" w:hAnsi="Garamond" w:cstheme="majorBidi"/>
        </w:rPr>
        <w:t xml:space="preserve"> kuad</w:t>
      </w:r>
      <w:r w:rsidRPr="002128A6">
        <w:rPr>
          <w:rFonts w:ascii="Garamond" w:hAnsi="Garamond"/>
          <w:lang w:eastAsia="en-GB"/>
        </w:rPr>
        <w:t>ër</w:t>
      </w:r>
      <w:r w:rsidRPr="002128A6">
        <w:rPr>
          <w:rFonts w:ascii="Garamond" w:eastAsia="Arial" w:hAnsi="Garamond" w:cstheme="majorBidi"/>
        </w:rPr>
        <w:t>, kjo Strategji fokusohet kryesisht në dimensionin e kalimit të paligjshëm dhe trafikimit të emigrantëve të lehtësuar nga krimi i organizuar që përfshin rolin</w:t>
      </w:r>
      <w:r w:rsidR="00F54824" w:rsidRPr="002128A6">
        <w:rPr>
          <w:rFonts w:ascii="Garamond" w:eastAsia="Arial" w:hAnsi="Garamond" w:cstheme="majorBidi"/>
        </w:rPr>
        <w:t xml:space="preserve"> </w:t>
      </w:r>
      <w:r w:rsidRPr="002128A6">
        <w:rPr>
          <w:rFonts w:ascii="Garamond" w:eastAsia="Arial" w:hAnsi="Garamond" w:cstheme="majorBidi"/>
        </w:rPr>
        <w:t>e rrjeteve të strukturuara kriminale, lehtësimin e kalimit ndërkufitar të paligjshëm, dhe flukset financiare.</w:t>
      </w:r>
    </w:p>
    <w:p w14:paraId="52F7B8F5"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Gjithashtu, Strategjia trajton trafikimin e armëve të zjarrit, municionit dhe lëndëve plasëse, fenomene që rrezikojnë sigurinë publike dhe stabilitetin në rajon. Po ashtu, rëndësi e madhe i kushtohet luftimit të trafikimit të veprave të artit dhe pasurive kulturore, që jo vetëm përbën një humbje të madhe për trashëgiminë kombëtare, por paraqet edhe një sfidë në nivel ndërkombëtar.</w:t>
      </w:r>
    </w:p>
    <w:p w14:paraId="047F713D"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 xml:space="preserve">Për të adresuar këto kërcënime, Strategjia parashikon zbatimin e masave dhe veprimeve të specializuara, të cilat do të jenë pjesë e planit të veprimit, duke përshkruar konkretisht metodat, përgjegjësitë dhe burimet e nevojshme për efektivitetin e tyre. Këtu përfshihet forcimi i kapaciteteve hetimore dhe operacionale të agjencive ligjzbatuese, rritja e bashkëpunimit ndërinstitucional dhe ndërkombëtar, si dhe përdorimi i teknologjive moderne për monitorimin dhe luftimin e këtyre rrjeteve kriminale. Për më tepër, do të vihet theksi në rëndësinë e ndërgjegjësimit dhe edukimit publik për të mbështetur përpjekjet ligjzbatuese dhe për të krijuar një mjedis më rezistent ndaj këtyre formave të krimit të organizuar. Në këtë mënyrë, strategjia synon të ndërtojë një qasje gjithëpërfshirëse dhe të koordinuar për të minimizuar ndikimin dhe përhapjen e trafikimit të paligjshëm në të gjitha format e tij. </w:t>
      </w:r>
    </w:p>
    <w:p w14:paraId="2827E9A8"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Rezultatet e pritshme të këtij objektivi janë si vijon:</w:t>
      </w:r>
    </w:p>
    <w:p w14:paraId="1E3BAA39"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1: </w:t>
      </w:r>
      <w:r w:rsidRPr="002128A6">
        <w:rPr>
          <w:rFonts w:ascii="Garamond" w:eastAsia="Arial" w:hAnsi="Garamond" w:cstheme="majorBidi"/>
        </w:rPr>
        <w:t>Rritja e konsiderueshme në identifikimin dhe referimin e viktimave të trafikimit, në harmonizim të plotë me Direktivën 2011/36/BE.</w:t>
      </w:r>
    </w:p>
    <w:p w14:paraId="71FE1E87" w14:textId="24D33794"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b/>
          <w:bCs/>
        </w:rPr>
        <w:t>Rezultati 2:</w:t>
      </w:r>
      <w:r w:rsidR="00F54824" w:rsidRPr="002128A6">
        <w:rPr>
          <w:rFonts w:ascii="Garamond" w:eastAsia="Arial" w:hAnsi="Garamond" w:cstheme="majorBidi"/>
          <w:b/>
          <w:bCs/>
        </w:rPr>
        <w:t xml:space="preserve"> </w:t>
      </w:r>
      <w:r w:rsidR="00300542" w:rsidRPr="002128A6">
        <w:rPr>
          <w:rFonts w:ascii="Garamond" w:eastAsia="Arial" w:hAnsi="Garamond" w:cstheme="majorBidi"/>
        </w:rPr>
        <w:t xml:space="preserve">Goditja e </w:t>
      </w:r>
      <w:r w:rsidRPr="002128A6">
        <w:rPr>
          <w:rFonts w:ascii="Garamond" w:eastAsia="Arial" w:hAnsi="Garamond" w:cstheme="majorBidi"/>
        </w:rPr>
        <w:t>rrjeteve kryesore të trafikimit (</w:t>
      </w:r>
      <w:r w:rsidR="009D7ACB" w:rsidRPr="002128A6">
        <w:rPr>
          <w:rFonts w:ascii="Garamond" w:eastAsia="Arial" w:hAnsi="Garamond" w:cstheme="majorBidi"/>
        </w:rPr>
        <w:t>qenieve</w:t>
      </w:r>
      <w:r w:rsidRPr="002128A6">
        <w:rPr>
          <w:rFonts w:ascii="Garamond" w:eastAsia="Arial" w:hAnsi="Garamond" w:cstheme="majorBidi"/>
        </w:rPr>
        <w:t xml:space="preserve"> njerëzore, emigrantë</w:t>
      </w:r>
      <w:r w:rsidR="00300542" w:rsidRPr="002128A6">
        <w:rPr>
          <w:rFonts w:ascii="Garamond" w:eastAsia="Arial" w:hAnsi="Garamond" w:cstheme="majorBidi"/>
        </w:rPr>
        <w:t>ve</w:t>
      </w:r>
      <w:r w:rsidRPr="002128A6">
        <w:rPr>
          <w:rFonts w:ascii="Garamond" w:eastAsia="Arial" w:hAnsi="Garamond" w:cstheme="majorBidi"/>
        </w:rPr>
        <w:t>, armë</w:t>
      </w:r>
      <w:r w:rsidR="00300542" w:rsidRPr="002128A6">
        <w:rPr>
          <w:rFonts w:ascii="Garamond" w:eastAsia="Arial" w:hAnsi="Garamond" w:cstheme="majorBidi"/>
        </w:rPr>
        <w:t>ve të</w:t>
      </w:r>
      <w:r w:rsidRPr="002128A6">
        <w:rPr>
          <w:rFonts w:ascii="Garamond" w:eastAsia="Arial" w:hAnsi="Garamond" w:cstheme="majorBidi"/>
        </w:rPr>
        <w:t xml:space="preserve"> zjarri</w:t>
      </w:r>
      <w:r w:rsidR="00300542" w:rsidRPr="002128A6">
        <w:rPr>
          <w:rFonts w:ascii="Garamond" w:eastAsia="Arial" w:hAnsi="Garamond" w:cstheme="majorBidi"/>
        </w:rPr>
        <w:t>t</w:t>
      </w:r>
      <w:r w:rsidRPr="002128A6">
        <w:rPr>
          <w:rFonts w:ascii="Garamond" w:eastAsia="Arial" w:hAnsi="Garamond" w:cstheme="majorBidi"/>
        </w:rPr>
        <w:t xml:space="preserve"> dhe pasuri</w:t>
      </w:r>
      <w:r w:rsidR="00300542" w:rsidRPr="002128A6">
        <w:rPr>
          <w:rFonts w:ascii="Garamond" w:eastAsia="Arial" w:hAnsi="Garamond" w:cstheme="majorBidi"/>
        </w:rPr>
        <w:t>ve</w:t>
      </w:r>
      <w:r w:rsidRPr="002128A6">
        <w:rPr>
          <w:rFonts w:ascii="Garamond" w:eastAsia="Arial" w:hAnsi="Garamond" w:cstheme="majorBidi"/>
        </w:rPr>
        <w:t xml:space="preserve"> kulturore) dhe rritja e dënimeve</w:t>
      </w:r>
      <w:r w:rsidR="00300542" w:rsidRPr="002128A6">
        <w:rPr>
          <w:rFonts w:ascii="Garamond" w:eastAsia="Arial" w:hAnsi="Garamond" w:cstheme="majorBidi"/>
        </w:rPr>
        <w:t>, në mënyrë të vazhdueshme</w:t>
      </w:r>
      <w:r w:rsidRPr="002128A6">
        <w:rPr>
          <w:rFonts w:ascii="Garamond" w:eastAsia="Arial" w:hAnsi="Garamond" w:cstheme="majorBidi"/>
        </w:rPr>
        <w:t>.</w:t>
      </w:r>
    </w:p>
    <w:p w14:paraId="3CE6085F" w14:textId="698B2068" w:rsidR="00BE490C" w:rsidRPr="002128A6" w:rsidRDefault="00BE490C" w:rsidP="0025426C">
      <w:pPr>
        <w:spacing w:after="0" w:line="240" w:lineRule="auto"/>
        <w:ind w:firstLine="284"/>
        <w:jc w:val="both"/>
        <w:rPr>
          <w:rFonts w:ascii="Garamond" w:eastAsia="Arial" w:hAnsi="Garamond" w:cstheme="majorBidi"/>
          <w:highlight w:val="green"/>
        </w:rPr>
      </w:pPr>
      <w:r w:rsidRPr="002128A6">
        <w:rPr>
          <w:rFonts w:ascii="Garamond" w:eastAsia="Arial" w:hAnsi="Garamond" w:cstheme="majorBidi"/>
          <w:b/>
          <w:bCs/>
        </w:rPr>
        <w:t xml:space="preserve">Rezultati 3: </w:t>
      </w:r>
      <w:r w:rsidRPr="002128A6">
        <w:rPr>
          <w:rFonts w:ascii="Garamond" w:eastAsia="Arial" w:hAnsi="Garamond" w:cstheme="majorBidi"/>
        </w:rPr>
        <w:t>Rritja e</w:t>
      </w:r>
      <w:r w:rsidR="00F54824" w:rsidRPr="002128A6">
        <w:rPr>
          <w:rFonts w:ascii="Garamond" w:eastAsia="Arial" w:hAnsi="Garamond" w:cstheme="majorBidi"/>
        </w:rPr>
        <w:t xml:space="preserve"> </w:t>
      </w:r>
      <w:r w:rsidRPr="002128A6">
        <w:rPr>
          <w:rFonts w:ascii="Garamond" w:eastAsia="Arial" w:hAnsi="Garamond" w:cstheme="majorBidi"/>
        </w:rPr>
        <w:t>evidentimit të veprave penale n</w:t>
      </w:r>
      <w:r w:rsidR="00B77BA6" w:rsidRPr="002128A6">
        <w:rPr>
          <w:rFonts w:ascii="Garamond" w:eastAsia="Arial" w:hAnsi="Garamond" w:cstheme="majorBidi"/>
        </w:rPr>
        <w:t>ë</w:t>
      </w:r>
      <w:r w:rsidRPr="002128A6">
        <w:rPr>
          <w:rFonts w:ascii="Garamond" w:eastAsia="Arial" w:hAnsi="Garamond" w:cstheme="majorBidi"/>
        </w:rPr>
        <w:t xml:space="preserve"> fushën e trafiqeve </w:t>
      </w:r>
    </w:p>
    <w:p w14:paraId="5FDBEA91" w14:textId="2A7D6975"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 xml:space="preserve">Ky </w:t>
      </w:r>
      <w:r w:rsidR="009D7ACB" w:rsidRPr="002128A6">
        <w:rPr>
          <w:rFonts w:ascii="Garamond" w:eastAsia="Arial" w:hAnsi="Garamond" w:cstheme="majorBidi"/>
        </w:rPr>
        <w:t xml:space="preserve">objektiv specifik </w:t>
      </w:r>
      <w:r w:rsidRPr="002128A6">
        <w:rPr>
          <w:rFonts w:ascii="Garamond" w:eastAsia="Arial" w:hAnsi="Garamond" w:cstheme="majorBidi"/>
        </w:rPr>
        <w:t>do të zbatohet përmes Masave të mëposhtme:</w:t>
      </w:r>
    </w:p>
    <w:p w14:paraId="12C2B683"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2.2.1:</w:t>
      </w:r>
      <w:r w:rsidRPr="002128A6">
        <w:rPr>
          <w:rFonts w:ascii="Garamond" w:hAnsi="Garamond" w:cstheme="majorBidi"/>
        </w:rPr>
        <w:t xml:space="preserve"> Rritja e aktivitetit hetimor për parandalimin e trafikimit të paligjshëm bazuar në inteligjencën dhe provat e disponueshme, përfshirë përmes zbatimit të metodave të posaçme hetimore, përdorimit sistematik të teknologjisë dhe mjeteve analitike, dhe një qasjeje proaktive që synon rrjetet e krimit të organizuar si dhe logjistikën, lehtësuesit dhe të ardhurat kriminale të tyre.</w:t>
      </w:r>
    </w:p>
    <w:p w14:paraId="52E08067" w14:textId="042005CB"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2.2.2</w:t>
      </w:r>
      <w:r w:rsidRPr="002128A6">
        <w:rPr>
          <w:rFonts w:ascii="Garamond" w:hAnsi="Garamond" w:cstheme="majorBidi"/>
        </w:rPr>
        <w:t>: Rritja e kontrollit kufitar për parandalimin dhe luft</w:t>
      </w:r>
      <w:r w:rsidR="00A342C1" w:rsidRPr="002128A6">
        <w:rPr>
          <w:rFonts w:ascii="Garamond" w:hAnsi="Garamond" w:cstheme="majorBidi"/>
        </w:rPr>
        <w:t>ën</w:t>
      </w:r>
      <w:r w:rsidRPr="002128A6">
        <w:rPr>
          <w:rFonts w:ascii="Garamond" w:hAnsi="Garamond" w:cstheme="majorBidi"/>
        </w:rPr>
        <w:t xml:space="preserve"> e trafikimit ndërkombëtar të drogës, përfshirë përmes profilizimit të bazuar në risk, kontrolleve të forcuara në pikat e kalimit kufitar, përdorimit të zgjeruar të teknologjive të zbulimit, procedurave të përmirësuara të shënjestrimit dhe veprimeve të koordinuara midis strukturave kufitare, doganore dhe hetimore.</w:t>
      </w:r>
    </w:p>
    <w:p w14:paraId="09AACDD5" w14:textId="6B0E14E8"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2.2.3</w:t>
      </w:r>
      <w:r w:rsidRPr="002128A6">
        <w:rPr>
          <w:rFonts w:ascii="Garamond" w:hAnsi="Garamond" w:cstheme="majorBidi"/>
        </w:rPr>
        <w:t>: Rritj</w:t>
      </w:r>
      <w:r w:rsidR="00D84E96" w:rsidRPr="002128A6">
        <w:rPr>
          <w:rFonts w:ascii="Garamond" w:hAnsi="Garamond" w:cstheme="majorBidi"/>
        </w:rPr>
        <w:t>e</w:t>
      </w:r>
      <w:r w:rsidRPr="002128A6">
        <w:rPr>
          <w:rFonts w:ascii="Garamond" w:hAnsi="Garamond" w:cstheme="majorBidi"/>
        </w:rPr>
        <w:t xml:space="preserve"> e numrit dhe efektivitetit operacional të patrullave të Policisë Kufitare, me qëllim luft</w:t>
      </w:r>
      <w:r w:rsidR="00A342C1" w:rsidRPr="002128A6">
        <w:rPr>
          <w:rFonts w:ascii="Garamond" w:hAnsi="Garamond" w:cstheme="majorBidi"/>
        </w:rPr>
        <w:t>ën</w:t>
      </w:r>
      <w:r w:rsidRPr="002128A6">
        <w:rPr>
          <w:rFonts w:ascii="Garamond" w:hAnsi="Garamond" w:cstheme="majorBidi"/>
        </w:rPr>
        <w:t xml:space="preserve"> e kontrabandës dhe kalimit të paligjshëm të kufirit, përfshirë përmes vendosjes të bazuar në </w:t>
      </w:r>
      <w:r w:rsidR="00D84E96" w:rsidRPr="002128A6">
        <w:rPr>
          <w:rFonts w:ascii="Garamond" w:hAnsi="Garamond" w:cstheme="majorBidi"/>
        </w:rPr>
        <w:t>rrezik</w:t>
      </w:r>
      <w:r w:rsidRPr="002128A6">
        <w:rPr>
          <w:rFonts w:ascii="Garamond" w:hAnsi="Garamond" w:cstheme="majorBidi"/>
        </w:rPr>
        <w:t xml:space="preserve">, patrullave të intensifikuara në zonat me </w:t>
      </w:r>
      <w:r w:rsidR="00D84E96" w:rsidRPr="002128A6">
        <w:rPr>
          <w:rFonts w:ascii="Garamond" w:hAnsi="Garamond" w:cstheme="majorBidi"/>
        </w:rPr>
        <w:t xml:space="preserve">rrezik </w:t>
      </w:r>
      <w:r w:rsidRPr="002128A6">
        <w:rPr>
          <w:rFonts w:ascii="Garamond" w:hAnsi="Garamond" w:cstheme="majorBidi"/>
        </w:rPr>
        <w:t>të lartë, koordinimit të përmirësuar me strukturat e tjera ligjzbatuese dhe përdorimit të informacionit operacional, me qëllim zbulimin dhe parandalimin e aktivitetit kriminal ndërkufitar.</w:t>
      </w:r>
    </w:p>
    <w:p w14:paraId="78A712C2" w14:textId="430FEFD2"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2.2.4</w:t>
      </w:r>
      <w:r w:rsidRPr="002128A6">
        <w:rPr>
          <w:rFonts w:ascii="Garamond" w:hAnsi="Garamond" w:cstheme="majorBidi"/>
        </w:rPr>
        <w:t xml:space="preserve">: Forcimi i bashkëpunimit me strukturat ligjzbatuese brenda dhe jashtë vendit, përfshirë përmes shkëmbimit të informacionit, analizës së përbashkët të </w:t>
      </w:r>
      <w:r w:rsidR="00D84E96" w:rsidRPr="002128A6">
        <w:rPr>
          <w:rFonts w:ascii="Garamond" w:hAnsi="Garamond" w:cstheme="majorBidi"/>
        </w:rPr>
        <w:t>rrezikut</w:t>
      </w:r>
      <w:r w:rsidRPr="002128A6">
        <w:rPr>
          <w:rFonts w:ascii="Garamond" w:hAnsi="Garamond" w:cstheme="majorBidi"/>
        </w:rPr>
        <w:t xml:space="preserve"> dhe veprimeve operacionale të koordinuara, me qëllim parandalimin, zbulimin dhe luft</w:t>
      </w:r>
      <w:r w:rsidR="008B2DB7" w:rsidRPr="002128A6">
        <w:rPr>
          <w:rFonts w:ascii="Garamond" w:hAnsi="Garamond" w:cstheme="majorBidi"/>
        </w:rPr>
        <w:t>ën e</w:t>
      </w:r>
      <w:r w:rsidRPr="002128A6">
        <w:rPr>
          <w:rFonts w:ascii="Garamond" w:hAnsi="Garamond" w:cstheme="majorBidi"/>
        </w:rPr>
        <w:t xml:space="preserve"> aktivitetit kriminal në fushën e trafikimit të paligjshëm dhe trafikimit të qenieve njerëzore.</w:t>
      </w:r>
      <w:r w:rsidR="00F54824" w:rsidRPr="002128A6">
        <w:rPr>
          <w:rFonts w:ascii="Garamond" w:hAnsi="Garamond" w:cstheme="majorBidi"/>
        </w:rPr>
        <w:t xml:space="preserve"> </w:t>
      </w:r>
    </w:p>
    <w:p w14:paraId="3C878706" w14:textId="0448D602"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2.2.5</w:t>
      </w:r>
      <w:r w:rsidRPr="002128A6">
        <w:rPr>
          <w:rFonts w:ascii="Garamond" w:hAnsi="Garamond" w:cstheme="majorBidi"/>
        </w:rPr>
        <w:t>: Rritj</w:t>
      </w:r>
      <w:r w:rsidR="00D84E96" w:rsidRPr="002128A6">
        <w:rPr>
          <w:rFonts w:ascii="Garamond" w:hAnsi="Garamond" w:cstheme="majorBidi"/>
        </w:rPr>
        <w:t>e</w:t>
      </w:r>
      <w:r w:rsidRPr="002128A6">
        <w:rPr>
          <w:rFonts w:ascii="Garamond" w:hAnsi="Garamond" w:cstheme="majorBidi"/>
        </w:rPr>
        <w:t xml:space="preserve"> e aktivitetit hetimor dhe operacioneve të përbashkëta të Policisë së Shtetit kundër trafikimit të armëve të zjarrit dhe municioneve, përfshirë përmes shënjestrimit të orientuar nga inteligjenca, hetimet proaktive dhe metodat e posaçme të hetimit, duke pasur mbështetjen e ligjshme </w:t>
      </w:r>
      <w:r w:rsidRPr="002128A6">
        <w:rPr>
          <w:rFonts w:ascii="Garamond" w:hAnsi="Garamond" w:cstheme="majorBidi"/>
        </w:rPr>
        <w:lastRenderedPageBreak/>
        <w:t>në gjurmim dhe balistikë si dhe bashkëpunim të përforcuar me partnerët kombëtarë dhe ndërkombëtarë.</w:t>
      </w:r>
    </w:p>
    <w:p w14:paraId="3653D669" w14:textId="03B61BC5"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 xml:space="preserve">Masa 2.2.6: </w:t>
      </w:r>
      <w:r w:rsidRPr="002128A6">
        <w:rPr>
          <w:rFonts w:ascii="Garamond" w:hAnsi="Garamond" w:cstheme="majorBidi"/>
        </w:rPr>
        <w:t>Rritj</w:t>
      </w:r>
      <w:r w:rsidR="00D84E96" w:rsidRPr="002128A6">
        <w:rPr>
          <w:rFonts w:ascii="Garamond" w:hAnsi="Garamond" w:cstheme="majorBidi"/>
        </w:rPr>
        <w:t>e</w:t>
      </w:r>
      <w:r w:rsidRPr="002128A6">
        <w:rPr>
          <w:rFonts w:ascii="Garamond" w:hAnsi="Garamond" w:cstheme="majorBidi"/>
        </w:rPr>
        <w:t xml:space="preserve"> e kontrollit kufitar për parandalimin dhe luftën kundër kontrabandës së mjeteve motorike, përfshirë përmes profilizimit të </w:t>
      </w:r>
      <w:r w:rsidR="00D84E96" w:rsidRPr="002128A6">
        <w:rPr>
          <w:rFonts w:ascii="Garamond" w:hAnsi="Garamond" w:cstheme="majorBidi"/>
        </w:rPr>
        <w:t>rrezikut</w:t>
      </w:r>
      <w:r w:rsidRPr="002128A6">
        <w:rPr>
          <w:rFonts w:ascii="Garamond" w:hAnsi="Garamond" w:cstheme="majorBidi"/>
        </w:rPr>
        <w:t xml:space="preserve">, kontrolleve të përforcuara të mjeteve motorike dhe dokumentacionit, përdorimit përkatës të bazave kombëtare dhe ndërkombëtare të të dhënave, si edhe koordinimit ndërmjet Policisë Kufitare, doganave dhe strukturave hetimore, me qëllim zbulimin dhe referimin në kohë të rasteve. </w:t>
      </w:r>
    </w:p>
    <w:p w14:paraId="49553CD5" w14:textId="0F6D2000"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2.2.7:</w:t>
      </w:r>
      <w:r w:rsidRPr="002128A6">
        <w:rPr>
          <w:rFonts w:ascii="Garamond" w:hAnsi="Garamond" w:cstheme="majorBidi"/>
        </w:rPr>
        <w:t xml:space="preserve"> Rritj</w:t>
      </w:r>
      <w:r w:rsidR="00F14763" w:rsidRPr="002128A6">
        <w:rPr>
          <w:rFonts w:ascii="Garamond" w:hAnsi="Garamond" w:cstheme="majorBidi"/>
        </w:rPr>
        <w:t>e</w:t>
      </w:r>
      <w:r w:rsidRPr="002128A6">
        <w:rPr>
          <w:rFonts w:ascii="Garamond" w:hAnsi="Garamond" w:cstheme="majorBidi"/>
        </w:rPr>
        <w:t xml:space="preserve"> e kontrollit kufitar për parandalimin dhe luftën kundër trafikimit ndërkombëtar të pasurive kulturore, përfshirë përmes kontrolleve të shënjestruara në pikat kufitare, procedurave të përmirësuara të identifikimit dhe verifikimit, përdorimit të ekspertizës së specializuar dhe bazave të të dhënave dhe veprimit të koordinuar me institucionet përgjegjëse kombëtare dhe partnerët ndërkombëtarë.</w:t>
      </w:r>
    </w:p>
    <w:p w14:paraId="660B842E" w14:textId="708157AA"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 xml:space="preserve">Masa 2.2.8: </w:t>
      </w:r>
      <w:r w:rsidR="00472EFD" w:rsidRPr="002128A6">
        <w:rPr>
          <w:rFonts w:ascii="Garamond" w:hAnsi="Garamond" w:cstheme="majorBidi"/>
        </w:rPr>
        <w:t>Hartimi dhe miratimi i Planit Kombëtar të Veprimit “Për parandalimin dhe luftën kundër trafikimit të pasurive kulturore të luajtshme”, për vitet 2026-2028.</w:t>
      </w:r>
    </w:p>
    <w:p w14:paraId="12790EAF" w14:textId="4934FFAE" w:rsidR="006255D1"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2.2.9:</w:t>
      </w:r>
      <w:r w:rsidRPr="002128A6">
        <w:rPr>
          <w:rFonts w:ascii="Garamond" w:hAnsi="Garamond" w:cstheme="majorBidi"/>
        </w:rPr>
        <w:t xml:space="preserve"> </w:t>
      </w:r>
      <w:r w:rsidR="006255D1" w:rsidRPr="002128A6">
        <w:rPr>
          <w:rFonts w:ascii="Garamond" w:hAnsi="Garamond" w:cstheme="majorBidi"/>
        </w:rPr>
        <w:t>Ngritja dhe vënia në funksion e databazës së Objekteve të Humbura, bazuar në procedura të standardizuara për administrimin dhe përditësimin e të dhënave.</w:t>
      </w:r>
    </w:p>
    <w:p w14:paraId="7C0BF0DD" w14:textId="249F6882"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Arial" w:hAnsi="Garamond" w:cstheme="majorBidi"/>
        </w:rPr>
        <w:t>Për të mbështetur arritjen e këtyre Masave, do të zbatohen Aktivitetet e mëposhtme:</w:t>
      </w:r>
    </w:p>
    <w:p w14:paraId="71244E69" w14:textId="27DE08B5" w:rsidR="00BE490C" w:rsidRPr="002128A6" w:rsidRDefault="00EF05E1" w:rsidP="0025426C">
      <w:pPr>
        <w:spacing w:after="0" w:line="240" w:lineRule="auto"/>
        <w:ind w:firstLine="284"/>
        <w:jc w:val="both"/>
        <w:rPr>
          <w:rStyle w:val="Strong"/>
          <w:rFonts w:ascii="Garamond" w:hAnsi="Garamond" w:cstheme="majorBidi"/>
        </w:rPr>
      </w:pPr>
      <w:r w:rsidRPr="002128A6">
        <w:rPr>
          <w:rStyle w:val="Strong"/>
          <w:rFonts w:ascii="Garamond" w:hAnsi="Garamond" w:cstheme="majorBidi"/>
        </w:rPr>
        <w:t xml:space="preserve">Aktivitete për masën </w:t>
      </w:r>
      <w:r w:rsidR="00BE490C" w:rsidRPr="002128A6">
        <w:rPr>
          <w:rStyle w:val="Strong"/>
          <w:rFonts w:ascii="Garamond" w:hAnsi="Garamond" w:cstheme="majorBidi"/>
        </w:rPr>
        <w:t>2.2.1</w:t>
      </w:r>
    </w:p>
    <w:p w14:paraId="4D324AA4" w14:textId="48873821" w:rsidR="0025426C" w:rsidRPr="002128A6" w:rsidRDefault="00BE490C" w:rsidP="0025426C">
      <w:pPr>
        <w:pStyle w:val="NormalWeb"/>
        <w:spacing w:before="0" w:beforeAutospacing="0" w:after="0" w:afterAutospacing="0"/>
        <w:ind w:firstLine="284"/>
        <w:jc w:val="both"/>
        <w:rPr>
          <w:rFonts w:ascii="Garamond" w:hAnsi="Garamond" w:cs="Garamond"/>
        </w:rPr>
      </w:pPr>
      <w:r w:rsidRPr="002128A6">
        <w:rPr>
          <w:rFonts w:ascii="Garamond" w:hAnsi="Garamond" w:cstheme="majorBidi"/>
        </w:rPr>
        <w:t xml:space="preserve">Kryerja e hetimeve proaktive, të udhëhequra nga inteligjenca, që synojnë rrjetet e organizuara </w:t>
      </w:r>
      <w:bookmarkStart w:id="53" w:name="_Toc227770713"/>
      <w:bookmarkStart w:id="54" w:name="_Toc233371599"/>
      <w:r w:rsidR="0025426C" w:rsidRPr="002128A6">
        <w:rPr>
          <w:rFonts w:ascii="Garamond" w:hAnsi="Garamond"/>
        </w:rPr>
        <w:t xml:space="preserve">- </w:t>
      </w:r>
      <w:r w:rsidR="0025426C" w:rsidRPr="002128A6">
        <w:rPr>
          <w:rFonts w:ascii="Garamond" w:hAnsi="Garamond" w:cs="Garamond"/>
        </w:rPr>
        <w:t xml:space="preserve">kriminale të përfshira në trafikimin e personave, kalimin e paligjshëm të kufirit nga emigrantët, trafikimin e armëve dhe krimin ndaj pasurive kulturore, duke përdorur metoda të posaçme hetimore aty ku është e ligjshme. </w:t>
      </w:r>
    </w:p>
    <w:p w14:paraId="1D666047" w14:textId="3DFB0907"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Zgjerimi i përdorimit sistematik të mjeteve analitike, kriminalistikës</w:t>
      </w:r>
      <w:r w:rsidR="00F54824" w:rsidRPr="002128A6">
        <w:rPr>
          <w:rFonts w:ascii="Garamond" w:hAnsi="Garamond" w:cs="Garamond"/>
        </w:rPr>
        <w:t xml:space="preserve"> digjital</w:t>
      </w:r>
      <w:r w:rsidRPr="002128A6">
        <w:rPr>
          <w:rFonts w:ascii="Garamond" w:hAnsi="Garamond" w:cs="Garamond"/>
        </w:rPr>
        <w:t>e dhe inteligjencës operacionale, për të identifikuar zinxhirët e logjistikës, lehtësuesit, flukset financiare dhe lidhjet ndërkufitare, duke mundësuar ndërprerjen e hershme të aktivitetit kriminal.</w:t>
      </w:r>
    </w:p>
    <w:p w14:paraId="7B885071" w14:textId="17F56BBE"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rPr>
        <w:t xml:space="preserve">Aktivitete për masën </w:t>
      </w:r>
      <w:r w:rsidR="0025426C" w:rsidRPr="002128A6">
        <w:rPr>
          <w:rFonts w:ascii="Garamond" w:hAnsi="Garamond" w:cs="Garamond"/>
          <w:b/>
          <w:bCs/>
        </w:rPr>
        <w:t>2.2.2</w:t>
      </w:r>
    </w:p>
    <w:p w14:paraId="3782F849" w14:textId="184F5AE9"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Forcimi i profilizimit të bazuar në rrezik dhe procedurave të shënjestrimit në pikat e kalimit kufitar, përmes përdorimit të zgjeruar të teknologjive të zbulimit, inteligjencës doganore dhe bazave të integruara të të dhënave. </w:t>
      </w:r>
    </w:p>
    <w:p w14:paraId="367BDE77" w14:textId="5F498D06"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Kryerja e operacioneve të koordinuara të kontrollit kufitar midis Policisë Kufitare, Doganave dhe strukturave hetimore, për të zbuluar narkotikët e fshehur, për të goditur trafikimin dhe për të siguruar referim në kohë për hetimet.</w:t>
      </w:r>
    </w:p>
    <w:p w14:paraId="49123BD2" w14:textId="6A17D190"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2.2.3</w:t>
      </w:r>
    </w:p>
    <w:p w14:paraId="5B8DB0CB" w14:textId="4B8199AF"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Dislokimi i patrullave të Policisë Kufitare bazuar në vlerësimet e rrezikut, duke u fokusuar në zonat me rrezik të lartë dhe korridoret e njohura të kontrabandës dhe trafikimit, dhe duke përdorur informacionin operacional për të udhëhequr modelet e patrullimit. </w:t>
      </w:r>
    </w:p>
    <w:p w14:paraId="65C43CDA" w14:textId="64DF04C5"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Përmirësimi i koordinimit midis Policisë Kufitare, Policisë së Shtetit dhe strukturave të tjera ligjzbatuese, për të siguruar përgjigje të shpejtë, patrullime të përbashkëta dhe zbulim efektiv të aktivitetit kriminal ndërkufitar.</w:t>
      </w:r>
    </w:p>
    <w:p w14:paraId="345F609F" w14:textId="66A33969"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2.2.4</w:t>
      </w:r>
    </w:p>
    <w:p w14:paraId="4A0A7D0B" w14:textId="1BCB0A60"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Miratimi i mekanizmave të strukturuar të shkëmbimit të informacionit dhe proceseve të analizës së përbashkët të rrezikut me agjencitë vendase dhe partnerët ndërkombëtarë, për të identifikuar rrjetet e trafikimit dhe lehtësuesit ndërkufitarë. </w:t>
      </w:r>
    </w:p>
    <w:p w14:paraId="0F6BDB34" w14:textId="281C0534"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Kryerja e veprimeve të koordinuara operacionale</w:t>
      </w:r>
      <w:r w:rsidRPr="002128A6">
        <w:rPr>
          <w:rFonts w:ascii="Garamond" w:hAnsi="Garamond" w:cs="Garamond"/>
          <w:i/>
          <w:iCs/>
        </w:rPr>
        <w:t xml:space="preserve">, </w:t>
      </w:r>
      <w:r w:rsidRPr="002128A6">
        <w:rPr>
          <w:rFonts w:ascii="Garamond" w:hAnsi="Garamond" w:cs="Garamond"/>
        </w:rPr>
        <w:t>si hetime të përbashkëta, dorëzime të kontrolluara dhe operacione të njëkohshme zbatimi, me qëllim parandalimin, zbulimin dhe goditjen e rrjeteve të trafikimit të paligjshëm.</w:t>
      </w:r>
    </w:p>
    <w:p w14:paraId="37C502F4" w14:textId="56059CA2"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2.2.5</w:t>
      </w:r>
    </w:p>
    <w:p w14:paraId="1C0F12CD" w14:textId="6AD0F72E"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lastRenderedPageBreak/>
        <w:t xml:space="preserve">- </w:t>
      </w:r>
      <w:r w:rsidRPr="002128A6">
        <w:rPr>
          <w:rFonts w:ascii="Garamond" w:hAnsi="Garamond" w:cs="Garamond"/>
        </w:rPr>
        <w:t xml:space="preserve">Zbatimi i shënjestrimit bazuar në inteligjencë të rrjeteve të trafikimit të armëve, mbështetur nga hetimet proaktive, metodat e posaçme të hetimit dhe kapacitetet e zgjeruara të gjurmimit balistik. </w:t>
      </w:r>
    </w:p>
    <w:p w14:paraId="0950F2E1" w14:textId="5192127B"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Forcimi i bashkëpunimit me partnerët kombëtarë dhe ndërkombëtarë, përfshirë Europolin dhe platformat rajonale, për të gjurmuar armët, për të identifikuar zinxhirët e furnizimit dhe për të goditur rrjetet e organizuara të përfshira në trafikimin e armëve.</w:t>
      </w:r>
    </w:p>
    <w:p w14:paraId="01826241" w14:textId="0ED77E61"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2.2.6</w:t>
      </w:r>
    </w:p>
    <w:p w14:paraId="02001A27" w14:textId="6EC006F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Zbatimi i teknikave të profilizuara të rrezikut dhe kontrolleve të zgjeruara të dokumenteve dhe mjeteve motorike në pikat kufitare, duke përdorur bazat e të dhënave kombëtare dhe ndërkombëtare (si p.sh., regjistrat e mjeteve të vjedhura), për të zbuluar parregullsitë. </w:t>
      </w:r>
    </w:p>
    <w:p w14:paraId="58F80908" w14:textId="19CD08EC"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Koordinimi i veprimeve midis Policisë Kufitare, Doganave dhe strukturave hetimore për të siguruar referim, sekuestrim dhe hetim në kohë të rasteve të dyshuara të trafikimit.</w:t>
      </w:r>
    </w:p>
    <w:p w14:paraId="3E7F6C75" w14:textId="4074D4EB"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2.2.7</w:t>
      </w:r>
    </w:p>
    <w:p w14:paraId="397088FD" w14:textId="383EEF6B"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Kryerja e kontrolleve të shënjestruara në pikat e kalimit kufitar, duke përdorur procedura të specializuara identifikimi, mbështetje eksperte dhe akses në bazat e të dhënave kombëtare dhe ndërkombëtare të pasurive kulturore. </w:t>
      </w:r>
    </w:p>
    <w:p w14:paraId="2D442C80" w14:textId="2CF550F9"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Koordinimi me institucionet përgjegjëse kombëtare dhe partnerët ndërkombëtarë, me qëllim verifikimin e autencititetit, zbulimin e lëvizjeve të paligjshme të objekteve kulturore dhe ndjekjen e shpejtë operacionale.</w:t>
      </w:r>
    </w:p>
    <w:p w14:paraId="2B6BF521" w14:textId="280FF61E"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2.2.8</w:t>
      </w:r>
    </w:p>
    <w:p w14:paraId="67A7C987" w14:textId="07A9623E"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Hartimi dhe miratimi i Planit Kombëtar të Veprimit “Për parandalimin dhe luftën kundër trafikimit të pasurive kulturore të luajtshme”, për vitet 2026-2028, duke përcaktuar përgjegjësi, masa, afate kohore dhe mekanizma koordinimi të qartë midis të gjitha institucioneve përgjegjëse. </w:t>
      </w:r>
    </w:p>
    <w:p w14:paraId="2AEB3861" w14:textId="63EDF6FE"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Monitorimi periodik dhe raportimi mbi progresin e zbatimit, përfshirë vlerësimin e rezultateve operacionale, bashkëpunimit institucional dhe rreziqeve në zhvillim.</w:t>
      </w:r>
    </w:p>
    <w:p w14:paraId="1CDEB024" w14:textId="463FB549"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2.2.9</w:t>
      </w:r>
    </w:p>
    <w:p w14:paraId="261812D2" w14:textId="3A0DEEB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Ngritja dhe vënia në përdorim e bazës së të dhënave të Objekteve të Humbura me procedura të standardizuara procedura për hedhjen e të dhënave, përgjegjësi institucionale për mirëmbajtjen dhe mekanizma të kontrollit të cilësisë. </w:t>
      </w:r>
    </w:p>
    <w:p w14:paraId="0496CF8B" w14:textId="6345C1A4"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rPr>
        <w:t xml:space="preserve">- </w:t>
      </w:r>
      <w:r w:rsidRPr="002128A6">
        <w:rPr>
          <w:rFonts w:ascii="Garamond" w:hAnsi="Garamond" w:cs="Garamond"/>
        </w:rPr>
        <w:t>Përditësimi periodik i bazës së të dhënave dhe Regjistrit Kombëtar të Pasurive Kulturore, si dhe vendosja e kanale të shkëmbimit të informacionit me partnerët kombëtarë dhe ndërkombëtarë për të mbështetur identifikimin dhe rikuperimin e objekteve kulturore të vjedhura.</w:t>
      </w:r>
    </w:p>
    <w:p w14:paraId="54354227" w14:textId="77777777" w:rsidR="0025426C" w:rsidRPr="002128A6" w:rsidRDefault="0025426C" w:rsidP="0025426C">
      <w:pPr>
        <w:tabs>
          <w:tab w:val="left" w:pos="4660"/>
        </w:tabs>
        <w:spacing w:after="0" w:line="240" w:lineRule="auto"/>
        <w:ind w:firstLine="284"/>
        <w:jc w:val="both"/>
        <w:rPr>
          <w:rFonts w:ascii="Garamond" w:hAnsi="Garamond" w:cs="Garamond"/>
        </w:rPr>
      </w:pPr>
      <w:r w:rsidRPr="002128A6">
        <w:rPr>
          <w:rFonts w:ascii="Garamond" w:hAnsi="Garamond" w:cs="Garamond"/>
          <w:b/>
          <w:bCs/>
        </w:rPr>
        <w:t xml:space="preserve">Institucionet përgjegjëse: </w:t>
      </w:r>
      <w:r w:rsidRPr="002128A6">
        <w:rPr>
          <w:rFonts w:ascii="Garamond" w:hAnsi="Garamond" w:cs="Garamond"/>
        </w:rPr>
        <w:t>Policia e Shtetit, Ministria e Turizmit, Kulturës dhe Sportit/Instituti Kombëtar i Regjistrimit të Trashëgimisë Kulturore.</w:t>
      </w:r>
    </w:p>
    <w:p w14:paraId="1A37AE2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mbështetëse: </w:t>
      </w:r>
      <w:r w:rsidRPr="002128A6">
        <w:rPr>
          <w:rFonts w:ascii="Garamond" w:hAnsi="Garamond" w:cs="Garamond"/>
        </w:rPr>
        <w:t>Agjencia e Inteligjencës dhe Sigurisë së Mbrojtjes, Shërbimi Informativ i Shtetit, Drejtoria e Përgjithshme e Doganave, Ministria e Punëve të Brendshme, Agjencia Kombëtare e Shoqërisë së Informacionit, Ministria e Turizmit, Kulturës dhe Sportit/Instituti Kombëtar i Regjistrimit të Trashëgimisë Kulturore.</w:t>
      </w:r>
    </w:p>
    <w:p w14:paraId="6521F6A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63001346"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Numri i procedimeve penale të lidhura me veprat penale të trafikimit.</w:t>
      </w:r>
    </w:p>
    <w:p w14:paraId="14F03D86" w14:textId="6341DC84"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i/>
          <w:iCs/>
        </w:rPr>
        <w:t xml:space="preserve"> </w:t>
      </w:r>
      <w:r w:rsidRPr="002128A6">
        <w:rPr>
          <w:rFonts w:ascii="Garamond" w:hAnsi="Garamond" w:cs="Garamond"/>
          <w:b/>
          <w:bCs/>
        </w:rPr>
        <w:t xml:space="preserve">Vlera bazë: </w:t>
      </w:r>
      <w:r w:rsidRPr="002128A6">
        <w:rPr>
          <w:rFonts w:ascii="Garamond" w:hAnsi="Garamond" w:cs="Garamond"/>
        </w:rPr>
        <w:t>do të konfirmohet në vitin 2026</w:t>
      </w:r>
      <w:r w:rsidR="00D86AE7" w:rsidRPr="002128A6">
        <w:rPr>
          <w:rFonts w:ascii="Garamond" w:hAnsi="Garamond" w:cs="Garamond"/>
        </w:rPr>
        <w:t>;</w:t>
      </w:r>
    </w:p>
    <w:p w14:paraId="5F74F008" w14:textId="4912C7A5"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 Synimi deri </w:t>
      </w:r>
      <w:r w:rsidR="00D86AE7" w:rsidRPr="002128A6">
        <w:rPr>
          <w:rFonts w:ascii="Garamond" w:hAnsi="Garamond" w:cs="Garamond"/>
          <w:b/>
          <w:bCs/>
        </w:rPr>
        <w:t>m</w:t>
      </w:r>
      <w:r w:rsidRPr="002128A6">
        <w:rPr>
          <w:rFonts w:ascii="Garamond" w:hAnsi="Garamond" w:cs="Garamond"/>
          <w:b/>
          <w:bCs/>
        </w:rPr>
        <w:t xml:space="preserve">ë 2030: </w:t>
      </w:r>
      <w:r w:rsidRPr="002128A6">
        <w:rPr>
          <w:rFonts w:ascii="Garamond" w:hAnsi="Garamond" w:cs="Garamond"/>
        </w:rPr>
        <w:t>do të konfirmohet në vitin 2026.</w:t>
      </w:r>
    </w:p>
    <w:p w14:paraId="5D6838EB" w14:textId="77777777" w:rsidR="0025426C" w:rsidRPr="002128A6" w:rsidRDefault="0025426C" w:rsidP="0025426C">
      <w:pPr>
        <w:pStyle w:val="Heading3"/>
        <w:spacing w:before="0" w:after="0" w:line="240" w:lineRule="auto"/>
        <w:ind w:firstLine="284"/>
        <w:jc w:val="both"/>
        <w:rPr>
          <w:rFonts w:ascii="Garamond" w:hAnsi="Garamond" w:cs="Garamond"/>
          <w:b/>
          <w:bCs/>
          <w:color w:val="auto"/>
          <w:sz w:val="24"/>
          <w:szCs w:val="24"/>
        </w:rPr>
      </w:pPr>
      <w:r w:rsidRPr="002128A6">
        <w:rPr>
          <w:rFonts w:ascii="Garamond" w:hAnsi="Garamond" w:cs="Garamond"/>
          <w:b/>
          <w:bCs/>
          <w:color w:val="auto"/>
          <w:sz w:val="24"/>
          <w:szCs w:val="24"/>
        </w:rPr>
        <w:t>Objektivi Specifik 2.3: Forcimi i kapaciteteve kombëtare për zbulimin, hetimin dhe ndjekjen penale të krimit ekonomik dhe financiar, që rezulton në rritje të sekuestrimeve dhe ulje të pandëshkueshmërisë</w:t>
      </w:r>
    </w:p>
    <w:p w14:paraId="025C7E58"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Edhe pse Shqipëria ka bërë progres të rëndësishëm në luftën kundër krimit të organizuar, krimit ekonomik dhe financiar, si dhe në parandalimin dhe luftimin e pastrimit të parave dhe korrupsionit, sfidat në këto fusha mbeten të konsiderueshme dhe komplekse. Për këtë arsye, Strategjia do të vazhdojë të fokusohet në përmirësimin e vazhdueshëm të efektivitetit të politikave ekzistuese, duke </w:t>
      </w:r>
      <w:r w:rsidRPr="002128A6">
        <w:rPr>
          <w:rFonts w:ascii="Garamond" w:hAnsi="Garamond" w:cs="Garamond"/>
        </w:rPr>
        <w:lastRenderedPageBreak/>
        <w:t>synuar konsolidimin e rezultateve të arritura dhe zgjerimin e kapaciteteve në luftën kundër krimit ekonomik dhe pastrimit të parave. Për të arritur këtë qëllim do të ndërmerren masa si, forcimi i kapaciteteve institucionale dhe teknike të agjencive ligjzbatuese, rritja e bashkëpunimit dhe koordinimit me institucionet e drejtësisë, si në nivel kombëtar ashtu edhe ndërkombëtar, si dhe krijimi i mekanizmave më të avancuar dhe novatorë për identifikimin, gjurmimin dhe konfiskimin e të ardhurave të fituara në mënyrë të paligjshme.</w:t>
      </w:r>
    </w:p>
    <w:p w14:paraId="3167A9D2"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Për më tepër, Strategjia do të fokusohet në zhvillimin e kornizës ligjore dhe rregullatore në përputhje me standardet më të larta ndërkombëtare, duke mundësuar përgjigje më të shpejtë dhe më efektive ndaj fenomeneve të pastrimit të parave dhe krimit ekonomik. Do të intensifikohet edhe përdorimi i teknologjive të avancuara dhe mjeteve analitike për monitorimin e lëvizjeve të dyshimta financiare dhe për zbulimin e shfrytëzimit të sistemeve financiare për aktivitete kriminale. Rëndësi të veçantë do t’i kushtohet forcimit të kapaciteteve të personelit përmes trajnimeve të specializuara, të cilat do të rrisin aftësinë për të kryer hetime të hollësishme dhe ndjekje efektive penale të veprave penale.</w:t>
      </w:r>
    </w:p>
    <w:p w14:paraId="70EAAB70"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Për të arritur rezultate të qëndrueshme, Strategjia parashikon thellimin e bashkëpunimit me sektorin privat dhe institucionet financiare, përfshirë bankat, institucionet e pagesave elektronike dhe subjektet e tjera financiare, për të përmirësuar mekanizmat e raportimit dhe verifikimit të transaksioneve të dyshimta. Një fokus tjetër i rëndësishëm është rritja e ndërgjegjësimit dhe edukimit publik për rreziqet dhe pasojat e krimit ekonomik dhe pastrimit të parave, me qëllim krijimin e një mjedisi më të përgjegjshëm dhe rezistent ndaj këtyre fenomeneve. Të gjitha hetimet e kryera për krimin e organizuar dhe krimet e rënda do të përfshijnë një hetim paralel financiar dhe, aty ku lejohet me ligj, edhe vendosjen e hershme të masave të sekuestrimit mbi të ardhurat e dyshuara dhe instrumentet e krimit. Kjo qasje operacionalizon parimin “ndiq paranë”, pasi çdo hetim do të trajtojë si aktivitetin kriminal, ashtu edhe dimensionin e tij financiar, si dhe asetet e mundshme do të identifikohen, ruhen, menaxhohen dhe konfiskohen me shpejtësi. Për më tepër, hetimet do të kryhen në koordinim të ngushtë me autoritetet financiare, agjencitë ndërkombëtare dhe strukturat e specializuara ligjzbatuese, duke përmirësuar efikasitetin e përgjithshëm dhe duke kontribuar në ndërprerjen e rrjeteve kriminale dhe parandalimin e pastrimit të parave.</w:t>
      </w:r>
    </w:p>
    <w:p w14:paraId="75BFE9D6" w14:textId="48437614"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Në mbështetje të këtyre objektivave, Shqipëria ka krijuar dhe vënë në përdorim Regjistrin e Pronarit Përfitues, në përputhje me standardet e BE-së dhe rekomandimet ndërkombëtare të FATF-së</w:t>
      </w:r>
      <w:r w:rsidR="009D7ACB" w:rsidRPr="002128A6">
        <w:rPr>
          <w:rFonts w:ascii="Garamond" w:hAnsi="Garamond" w:cs="Garamond"/>
        </w:rPr>
        <w:t>,</w:t>
      </w:r>
      <w:r w:rsidRPr="002128A6">
        <w:rPr>
          <w:rFonts w:ascii="Garamond" w:hAnsi="Garamond" w:cs="Garamond"/>
        </w:rPr>
        <w:t xml:space="preserve"> në lidhje me transparencën e pronësisë përfituese të personave juridikë (Rekomandimi 24) dhe rregullimeve juridike (</w:t>
      </w:r>
      <w:r w:rsidR="00D644C5" w:rsidRPr="002128A6">
        <w:rPr>
          <w:rFonts w:ascii="Garamond" w:hAnsi="Garamond" w:cs="Garamond"/>
        </w:rPr>
        <w:t xml:space="preserve">rekomandimi </w:t>
      </w:r>
      <w:r w:rsidRPr="002128A6">
        <w:rPr>
          <w:rFonts w:ascii="Garamond" w:hAnsi="Garamond" w:cs="Garamond"/>
        </w:rPr>
        <w:t>25).</w:t>
      </w:r>
    </w:p>
    <w:p w14:paraId="5E7AA436"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Regjistri është publikisht i aksesueshëm përmes QKB-së, ndërsa autoritetet kompetente, përfshirë organet mbikëqyrëse, hetuese dhe Agjencinë e Inteligjencës Financiare, disponojnë akses të zgjeruar për qëllime verifikimi dhe hetimi. Në këtë kuadër, mbetet e rëndësishme forcimi i vazhdueshëm i mekanizmave të verifikimit dhe cilësisë së të dhënave, me qëllim garantimin e saktësisë, përditësimit dhe përdorimit efektiv të informacionit mbi pronarin përfitues. </w:t>
      </w:r>
    </w:p>
    <w:p w14:paraId="21FA93FF" w14:textId="4B117DC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Fokus i veçantë do t’</w:t>
      </w:r>
      <w:r w:rsidR="006E35F8">
        <w:rPr>
          <w:rFonts w:ascii="Garamond" w:hAnsi="Garamond" w:cs="Garamond"/>
        </w:rPr>
        <w:t>u</w:t>
      </w:r>
      <w:r w:rsidRPr="002128A6">
        <w:rPr>
          <w:rFonts w:ascii="Garamond" w:hAnsi="Garamond" w:cs="Garamond"/>
        </w:rPr>
        <w:t xml:space="preserve"> kushtohet produkteve të krimit mjedisor, si një kategori e veçantë brenda kornizës kombëtare për parandalimin e pastrimit të parave, përfshirë identifikimin, monitorimin dhe trajtimin e aseteve të fituara nga aktivitete që dëmtojnë mjedisin, si trafikimi i mbetjeve të rrezikshme, shpyllëzimi i paligjshëm, ndotja e ujit dhe tregtia e paligjshme e specieve të mbrojtura. Ky fokus siguron që mekanizmat ligjorë dhe financiarë të jenë të mirëpajisur për ndjekjen dhe konfiskimin e pasurive të përftuara nga këto krime, duke kontribuar në mbrojtjen e mjedisit dhe parandalimin e fitimeve të paligjshme, në përputhje me standardet më të larta ndërkombëtare për parandalimin e pastrimit të parave.</w:t>
      </w:r>
    </w:p>
    <w:p w14:paraId="250C521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Kjo Strategji rithekson qartë garancitë për mbrojtjen dhe integritetin e të dhënave në të gjitha hetimet financiare dhe proceset e rikuperimit të aseteve, duke siguruar që masat zbatuese të jenë </w:t>
      </w:r>
      <w:r w:rsidRPr="002128A6">
        <w:rPr>
          <w:rFonts w:ascii="Garamond" w:hAnsi="Garamond" w:cs="Garamond"/>
        </w:rPr>
        <w:lastRenderedPageBreak/>
        <w:t>plotësisht në përputhje me standardet kombëtare dhe ndërkombëtare të të drejtave të njeriut përmes këtyre hapave:</w:t>
      </w:r>
    </w:p>
    <w:p w14:paraId="64B5F586" w14:textId="34DD66DC"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Aptos"/>
        </w:rPr>
        <w:t xml:space="preserve">- </w:t>
      </w:r>
      <w:r w:rsidRPr="002128A6">
        <w:rPr>
          <w:rFonts w:ascii="Garamond" w:hAnsi="Garamond" w:cs="Garamond"/>
        </w:rPr>
        <w:t>Të gjitha hetimet financiare dhe masat e konfiskimit do të kryhen në përputhje me garancitë e procesit të rregullt ligjor, përfshirë prezumimin e pafajësisë dhe të drejtën e rishikimit efektiv gjyqësor;</w:t>
      </w:r>
    </w:p>
    <w:p w14:paraId="33990639" w14:textId="553AAD1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Aptos"/>
        </w:rPr>
        <w:t xml:space="preserve">- </w:t>
      </w:r>
      <w:r w:rsidRPr="002128A6">
        <w:rPr>
          <w:rFonts w:ascii="Garamond" w:hAnsi="Garamond" w:cs="Garamond"/>
        </w:rPr>
        <w:t>Standardet e mbrojtjes së të dhënave dhe konfidencialitetit do të zbatohen në mënyrë konsistente në mbledhjen, shkëmbimin dhe analizën e inteligjencës financiare, në përputhje me legjislacionin kombëtar dhe standardet ndërkombëtare;</w:t>
      </w:r>
    </w:p>
    <w:p w14:paraId="10908BCE" w14:textId="09B980F0"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Aptos"/>
        </w:rPr>
        <w:t xml:space="preserve">- </w:t>
      </w:r>
      <w:r w:rsidRPr="002128A6">
        <w:rPr>
          <w:rFonts w:ascii="Garamond" w:hAnsi="Garamond" w:cs="Garamond"/>
        </w:rPr>
        <w:t>Përfshirja e mbrojtjes për sinjalizuesit që janë punonjës të subjekteve raportuese dhe zyrtarët publikë që raportojnë dyshimet e korrupsionit, pastrimit të parave ose keqpërdorimit të burimeve publike.</w:t>
      </w:r>
    </w:p>
    <w:p w14:paraId="1450222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613BBEA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Rezultati 1:</w:t>
      </w:r>
      <w:r w:rsidRPr="002128A6">
        <w:rPr>
          <w:rFonts w:ascii="Garamond" w:hAnsi="Garamond" w:cs="Garamond"/>
        </w:rPr>
        <w:t xml:space="preserve"> Rritja e zbulimit dhe ndjekjes penale të veprave penale të pastrimit të parave dhe financiare.</w:t>
      </w:r>
    </w:p>
    <w:p w14:paraId="4C0D461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Përqindje më e lartë e çështjeve kryesore të krimit që përfshijnë hetim paralel financiar.</w:t>
      </w:r>
    </w:p>
    <w:p w14:paraId="34468FC9"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Rezultati 3:</w:t>
      </w:r>
      <w:r w:rsidRPr="002128A6">
        <w:rPr>
          <w:rFonts w:ascii="Garamond" w:hAnsi="Garamond" w:cs="Garamond"/>
        </w:rPr>
        <w:t xml:space="preserve"> Koordinim i përmirësuar ndërinstitucional midis agjencive ligjzbatuese dhe rregullatorëve financiarë.</w:t>
      </w:r>
    </w:p>
    <w:p w14:paraId="1206EB0A" w14:textId="2E01DF4E"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Ky </w:t>
      </w:r>
      <w:r w:rsidR="00D34F3D" w:rsidRPr="002128A6">
        <w:rPr>
          <w:rFonts w:ascii="Garamond" w:hAnsi="Garamond" w:cs="Garamond"/>
        </w:rPr>
        <w:t>objektiv spe</w:t>
      </w:r>
      <w:r w:rsidRPr="002128A6">
        <w:rPr>
          <w:rFonts w:ascii="Garamond" w:hAnsi="Garamond" w:cs="Garamond"/>
        </w:rPr>
        <w:t xml:space="preserve">cifik do të zbatohet përmes </w:t>
      </w:r>
      <w:r w:rsidR="001B4511" w:rsidRPr="002128A6">
        <w:rPr>
          <w:rFonts w:ascii="Garamond" w:hAnsi="Garamond" w:cs="Garamond"/>
        </w:rPr>
        <w:t xml:space="preserve">masave </w:t>
      </w:r>
      <w:r w:rsidRPr="002128A6">
        <w:rPr>
          <w:rFonts w:ascii="Garamond" w:hAnsi="Garamond" w:cs="Garamond"/>
        </w:rPr>
        <w:t>të mëposhtme:</w:t>
      </w:r>
    </w:p>
    <w:p w14:paraId="2E738A0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2.3.1:</w:t>
      </w:r>
      <w:r w:rsidRPr="002128A6">
        <w:rPr>
          <w:rFonts w:ascii="Garamond" w:hAnsi="Garamond" w:cs="Garamond"/>
        </w:rPr>
        <w:t xml:space="preserve"> Forcimi i luftës kundër pastrimit të parave përmes një qasjeje të udhëhequr nga inteligjenca, duke u mbështetur në hetim proaktiv, analizë të thelluar të riskut dhe bashkëpunim të ngushtë me prokurorinë, me qëllim përmirësimin e zbulimit, hetimit dhe ndjekjes penale të pastrimit të parave si vepër autonome dhe si komponent paralel i hetimeve të krimit të organizuar.</w:t>
      </w:r>
    </w:p>
    <w:p w14:paraId="21829BD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Masa 2.3.2: </w:t>
      </w:r>
      <w:r w:rsidRPr="002128A6">
        <w:rPr>
          <w:rFonts w:ascii="Garamond" w:hAnsi="Garamond" w:cs="Garamond"/>
        </w:rPr>
        <w:t>Shkëmbimi i informacionit nga Agjencia e Inteligjencës Financiare me agjencitë ligjzbatuese dhe ato të inteligjencës, në kuadër të zbatimit të fushës së saj të veprimtarisë.</w:t>
      </w:r>
    </w:p>
    <w:p w14:paraId="2AA044AB" w14:textId="50A8759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2.3.3</w:t>
      </w:r>
      <w:r w:rsidRPr="002128A6">
        <w:rPr>
          <w:rFonts w:ascii="Garamond" w:hAnsi="Garamond" w:cs="Garamond"/>
        </w:rPr>
        <w:t>: Kryerja e inspektimeve të bazuara në risk për subjektet e ligjit nr. 9917, datë 19.5.2008, i ndryshuar.</w:t>
      </w:r>
    </w:p>
    <w:p w14:paraId="6177203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Masa 2.3.4: </w:t>
      </w:r>
      <w:r w:rsidRPr="002128A6">
        <w:rPr>
          <w:rFonts w:ascii="Garamond" w:hAnsi="Garamond" w:cs="Garamond"/>
        </w:rPr>
        <w:t>Kryerja e Vlerësimit Kombëtar të Riskut për pastrimin e parave dhe financimin e terrorizmit, përfshirë duke mbledhur dhe analizuar të dhënat sasiore dhe cilësore nga autoritetet përgjegjëse dhe subjektet e detyruara, duke identifikuar dhe prioritizuar risqet sektoriale dhe tematike, si dhe duke shndërruar konstatimet në masa zbutëse të koordinuara dhe në prioritete politikash.</w:t>
      </w:r>
    </w:p>
    <w:p w14:paraId="321CFFB5" w14:textId="4F0B6D80"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2.3.5</w:t>
      </w:r>
      <w:r w:rsidRPr="002128A6">
        <w:rPr>
          <w:rFonts w:ascii="Garamond" w:hAnsi="Garamond" w:cs="Garamond"/>
        </w:rPr>
        <w:t>: Trajnime për të rritur nivelin e ndërgjegjësimit të organeve ligjzbatuesve, gjyqtarëve, prokurorëve dhe të inteligjencës për rreziqet e pastrimit të parave, me tematika të lidhura me rrezikun e mbledhjes, lëvizjes së fondeve të Shqipërisë, përdorimin e fondeve për territorin e Shqipërisë, përdorimin e personave juridik, strukturave komplekse, profesionistëve, për pastrimin e parave si vepër autonome, risku nga keqpërdorimi i OJF</w:t>
      </w:r>
      <w:r w:rsidR="00EB547C" w:rsidRPr="002128A6">
        <w:rPr>
          <w:rFonts w:ascii="Garamond" w:hAnsi="Garamond" w:cs="Garamond"/>
        </w:rPr>
        <w:t>-së</w:t>
      </w:r>
      <w:r w:rsidRPr="002128A6">
        <w:rPr>
          <w:rFonts w:ascii="Garamond" w:hAnsi="Garamond" w:cs="Garamond"/>
        </w:rPr>
        <w:t>, financimin e terrorizmit (përfshirë edhe atë të lidhur me tregtinë apo forma të tjera të mundshme etj.).</w:t>
      </w:r>
    </w:p>
    <w:p w14:paraId="1D8A8F0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Masa 2.3.6: </w:t>
      </w:r>
      <w:r w:rsidRPr="002128A6">
        <w:rPr>
          <w:rFonts w:ascii="Garamond" w:hAnsi="Garamond" w:cs="Garamond"/>
        </w:rPr>
        <w:t>Rritja e kapaciteteve të specializuara qendrore dhe vendore për hetimin e krimit ekonomik dhe financiar, përmes integrimit të metodave novatore hetimore, mbështetjes teknologjike, menaxhimit të përmirësuar të burimeve, si dhe një plani të integruar trajnimi midis strukturave policore dhe aktorëve të tjerë shtetërorë që kontribuojnë në hetimin dhe ndjekjen penale.</w:t>
      </w:r>
    </w:p>
    <w:p w14:paraId="679DFC4C" w14:textId="788B6642"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2.3.7:</w:t>
      </w:r>
      <w:r w:rsidRPr="002128A6">
        <w:rPr>
          <w:rFonts w:ascii="Garamond" w:hAnsi="Garamond" w:cs="Garamond"/>
        </w:rPr>
        <w:t xml:space="preserve"> Konsolidimi i praktikave për zbatimin e njëkohshëm të hetimeve financiare paralele me</w:t>
      </w:r>
      <w:r w:rsidR="00F54824" w:rsidRPr="002128A6">
        <w:rPr>
          <w:rFonts w:ascii="Garamond" w:hAnsi="Garamond" w:cs="Garamond"/>
        </w:rPr>
        <w:t xml:space="preserve"> </w:t>
      </w:r>
      <w:r w:rsidRPr="002128A6">
        <w:rPr>
          <w:rFonts w:ascii="Garamond" w:hAnsi="Garamond" w:cs="Garamond"/>
        </w:rPr>
        <w:t>hetimet për vepra penale të krimit të organizuar, trafikimit dhe korrupsionit, me qëllim identifikimin, gjurmim, sekuestrimin dhe konfiskimin e të ardhurave, pasurive dhe mjeteve kriminale në kohë dhe në mënyrë të koordinuar.</w:t>
      </w:r>
    </w:p>
    <w:p w14:paraId="32E4DA02"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 xml:space="preserve">Masa 2.3.8: </w:t>
      </w:r>
      <w:r w:rsidRPr="002128A6">
        <w:rPr>
          <w:rFonts w:ascii="Garamond" w:hAnsi="Garamond" w:cs="Garamond"/>
        </w:rPr>
        <w:t>Rritja e bashkëpunimit ndërinstitucional për trajtimin e korrupsionit në të gjitha format dhe nivelet e tij, përfshirë përmes punës së koordinuar në trajtimin e çështjeve, shkëmbimit të informacionit, produkteve të përbashkëta analitike dhe protokolleve të forcuara të bashkëpunimit midis institucioneve hetimore, mbikëqyrëse dhe të prokurorisë.</w:t>
      </w:r>
    </w:p>
    <w:p w14:paraId="108C55DF"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lastRenderedPageBreak/>
        <w:t>Masa 2.3.9:</w:t>
      </w:r>
      <w:r w:rsidRPr="002128A6">
        <w:rPr>
          <w:rFonts w:ascii="Garamond" w:hAnsi="Garamond" w:cs="Garamond"/>
        </w:rPr>
        <w:t xml:space="preserve"> Rritja e kërkesave për hetime paralele dhe të përbashkëta me partnerët ndërkombëtarë, përmes veprimeve hetimore proaktive, të mbështetura nga analiza e tendencave më të fundit kriminale, në fushën e krimit ekonomik dhe aseteve të përftuara në mënyrë të paligjshme në Shqipëri dhe jashtë vendit, si dhe me qëllim forcimin e gjurmimit, sekuestrimit dhe konfiskimit të aseteve ndërkufitare.</w:t>
      </w:r>
    </w:p>
    <w:p w14:paraId="72C70900" w14:textId="349B30D4"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2.3.10:</w:t>
      </w:r>
      <w:r w:rsidRPr="002128A6">
        <w:rPr>
          <w:rFonts w:ascii="Garamond" w:hAnsi="Garamond" w:cs="Garamond"/>
        </w:rPr>
        <w:t xml:space="preserve"> Trajtimi i krimit ekonomik dhe mashtrimit financiar përmes hetimeve proaktive, përfshirë përmes përzgjedhjes së çështjeve të udhëhequr nga inteligjenca, zbatimit të teknikave të posaçme të hetimit, aty ku lejohet me ligj, forcimit të kapaciteteve të kontabilitetit kriminalistik dhe gjurmimit </w:t>
      </w:r>
      <w:r w:rsidR="00F54824" w:rsidRPr="002128A6">
        <w:rPr>
          <w:rFonts w:ascii="Garamond" w:hAnsi="Garamond" w:cs="Garamond"/>
        </w:rPr>
        <w:t>digjital</w:t>
      </w:r>
      <w:r w:rsidRPr="002128A6">
        <w:rPr>
          <w:rFonts w:ascii="Garamond" w:hAnsi="Garamond" w:cs="Garamond"/>
        </w:rPr>
        <w:t xml:space="preserve">, si dhe prioritizimit të çështjeve me ndikim të lartë dhe të ardhura të konsiderueshme kriminale. </w:t>
      </w:r>
    </w:p>
    <w:p w14:paraId="58B13FA8" w14:textId="0CE5B368"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Masa 2.3.11:</w:t>
      </w:r>
      <w:r w:rsidRPr="002128A6">
        <w:rPr>
          <w:rFonts w:ascii="Garamond" w:hAnsi="Garamond" w:cs="Garamond"/>
        </w:rPr>
        <w:t xml:space="preserve"> Zgjerimi i aksesit dhe verifikimit </w:t>
      </w:r>
      <w:r w:rsidR="008F549F" w:rsidRPr="002128A6">
        <w:rPr>
          <w:rFonts w:ascii="Garamond" w:hAnsi="Garamond" w:cs="Garamond"/>
          <w:i/>
          <w:iCs/>
        </w:rPr>
        <w:t>online</w:t>
      </w:r>
      <w:r w:rsidRPr="002128A6">
        <w:rPr>
          <w:rFonts w:ascii="Garamond" w:hAnsi="Garamond" w:cs="Garamond"/>
          <w:i/>
          <w:iCs/>
        </w:rPr>
        <w:t xml:space="preserve"> </w:t>
      </w:r>
      <w:r w:rsidRPr="002128A6">
        <w:rPr>
          <w:rFonts w:ascii="Garamond" w:hAnsi="Garamond" w:cs="Garamond"/>
        </w:rPr>
        <w:t>në bazat e të dhënave, për qëllime të verifikimeve paraprake dhe hetimeve në fushën ekonomiko-financiare, përfshirë duke forcuar ndërveprueshmërinë, duke përmirësuar procedurat e aksesit të ligjshëm dhe duke mundësuar verifikim në kohë të informacionit të nevojshëm për analizën e riskut dhe zhvillimin e çështjes.</w:t>
      </w:r>
    </w:p>
    <w:p w14:paraId="22E3F73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Masa 2.3.12: </w:t>
      </w:r>
      <w:r w:rsidRPr="002128A6">
        <w:rPr>
          <w:rFonts w:ascii="Garamond" w:hAnsi="Garamond" w:cs="Garamond"/>
        </w:rPr>
        <w:t>Rritja e sekuestrimeve dhe konfiskimeve të pasurive që kanë prejardhje kriminale mbështetur në hetime thelluara.</w:t>
      </w:r>
    </w:p>
    <w:p w14:paraId="1E8F8AAA" w14:textId="03061696"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Masa 2.3.13: </w:t>
      </w:r>
      <w:r w:rsidRPr="002128A6">
        <w:rPr>
          <w:rFonts w:ascii="Garamond" w:hAnsi="Garamond" w:cs="Garamond"/>
        </w:rPr>
        <w:t>Inicimi i procesit të vlerësimit për ngritjen e një Task</w:t>
      </w:r>
      <w:r w:rsidR="005C084B" w:rsidRPr="002128A6">
        <w:rPr>
          <w:rFonts w:ascii="Garamond" w:hAnsi="Garamond" w:cs="Garamond"/>
        </w:rPr>
        <w:t>-</w:t>
      </w:r>
      <w:r w:rsidRPr="002128A6">
        <w:rPr>
          <w:rFonts w:ascii="Garamond" w:hAnsi="Garamond" w:cs="Garamond"/>
        </w:rPr>
        <w:t xml:space="preserve">Force </w:t>
      </w:r>
      <w:r w:rsidRPr="002128A6">
        <w:rPr>
          <w:rFonts w:ascii="Garamond" w:hAnsi="Garamond" w:cs="Garamond"/>
          <w:i/>
          <w:iCs/>
        </w:rPr>
        <w:t>ad hoch</w:t>
      </w:r>
      <w:r w:rsidRPr="002128A6">
        <w:rPr>
          <w:rFonts w:ascii="Garamond" w:hAnsi="Garamond" w:cs="Garamond"/>
        </w:rPr>
        <w:t xml:space="preserve"> të </w:t>
      </w:r>
      <w:r w:rsidR="00245093" w:rsidRPr="002128A6">
        <w:rPr>
          <w:rFonts w:ascii="Garamond" w:hAnsi="Garamond" w:cs="Garamond"/>
        </w:rPr>
        <w:t>specializuar</w:t>
      </w:r>
      <w:r w:rsidRPr="002128A6">
        <w:rPr>
          <w:rFonts w:ascii="Garamond" w:hAnsi="Garamond" w:cs="Garamond"/>
        </w:rPr>
        <w:t xml:space="preserve"> për Pastrimin e Parave në fushën e Pronave të Paluajtshme për ndërgjegjësim dhe kontroll të forcuar mbi profesionet e lira dhe kategorive të caktuara të bizneseve dhe profesioneve jofinanciare, duke përfshirë avokatët, agjentët e pasurive të paluajtshme, kontabilistët etj.</w:t>
      </w:r>
    </w:p>
    <w:p w14:paraId="03C77081" w14:textId="41FC2FF1"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 xml:space="preserve">Për të mbështetur arritjen e këtyre Masave, do të zbatohen </w:t>
      </w:r>
      <w:r w:rsidR="00245093" w:rsidRPr="002128A6">
        <w:rPr>
          <w:rFonts w:ascii="Garamond" w:hAnsi="Garamond" w:cs="Garamond"/>
          <w:b/>
          <w:bCs/>
        </w:rPr>
        <w:t xml:space="preserve">aktivitetet </w:t>
      </w:r>
      <w:r w:rsidRPr="002128A6">
        <w:rPr>
          <w:rFonts w:ascii="Garamond" w:hAnsi="Garamond" w:cs="Garamond"/>
          <w:b/>
          <w:bCs/>
        </w:rPr>
        <w:t>e mëposhtme:</w:t>
      </w:r>
    </w:p>
    <w:p w14:paraId="1533C90D" w14:textId="382D0567"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rPr>
        <w:t xml:space="preserve">Aktivitete për masën </w:t>
      </w:r>
      <w:r w:rsidR="0025426C" w:rsidRPr="002128A6">
        <w:rPr>
          <w:rFonts w:ascii="Garamond" w:hAnsi="Garamond" w:cs="Garamond"/>
          <w:b/>
          <w:bCs/>
        </w:rPr>
        <w:t>2.3.1</w:t>
      </w:r>
    </w:p>
    <w:p w14:paraId="7EB4B66F" w14:textId="5148D8B8" w:rsidR="0025426C" w:rsidRPr="002128A6" w:rsidRDefault="00245093" w:rsidP="0025426C">
      <w:pPr>
        <w:pStyle w:val="ListParagraph"/>
        <w:tabs>
          <w:tab w:val="left" w:pos="720"/>
        </w:tabs>
        <w:spacing w:after="0" w:line="240" w:lineRule="auto"/>
        <w:ind w:left="0" w:firstLine="284"/>
        <w:jc w:val="both"/>
        <w:rPr>
          <w:rFonts w:ascii="Garamond" w:hAnsi="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Kryerja e hetimeve proaktive për pastrimin e parave, duke u udhëhequr nga inteligjenca dhe duke përdorur analizë të thelluar financiare, modele transaksionesh të dyshimta dhe inteligjencë ndërinstitucionale, për të zbuluar pastrimin e parave si vepër autonome dhe si komponent paralel i çështjeve të krimit të organizuar. </w:t>
      </w:r>
    </w:p>
    <w:p w14:paraId="0B62AA85" w14:textId="77081253"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Garamond"/>
        </w:rPr>
        <w:t>- Forcimi i bashkëpunimit me organin e akuzës përmes takimeve të përbashkëta të përzgjedhjes së çështjeve, planeve të koordinuara hetimore dhe zbatimit të hershëm të masave të sekuestrimit për të ruajtur të ardhurat kriminale.</w:t>
      </w:r>
    </w:p>
    <w:p w14:paraId="63346A16" w14:textId="3917F4D7"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2.3.2</w:t>
      </w:r>
    </w:p>
    <w:p w14:paraId="6CD6A98D" w14:textId="0FBB47B6"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Garamond"/>
        </w:rPr>
        <w:t>- Dërgimi i informacioneve midis Agjencisë së Inteligjencës Financiare dhe organeve ligjzbatuese, që janë të sigurta dhe shkëmbejnë informacion në një kohë sa më të shpejtë.</w:t>
      </w:r>
    </w:p>
    <w:p w14:paraId="02338515" w14:textId="004553AD"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Garamond"/>
        </w:rPr>
        <w:t>- Zbatimi i mekanizmave të strukturuar të reagimit, për të përmirësuar cilësinë e raporteve të transaksioneve të dyshimta dhe për të rritur rëndësinë e inteligjencës financiare për hetimet proaktive.</w:t>
      </w:r>
    </w:p>
    <w:p w14:paraId="0D8517AD" w14:textId="39B85A35"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2.3.3</w:t>
      </w:r>
    </w:p>
    <w:p w14:paraId="45E9FF4C" w14:textId="05D2EA1D"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Garamond"/>
        </w:rPr>
        <w:t xml:space="preserve">- Kryerja e inspektimeve të bazuara në rrezik duke përdorur tregues specifikë sektorialë të rrezikut, duke prioritizuar subjektet me rrezik të lartë dhe në varësi të ndryshimeve/dinamizmit të riskut mbajtja në vëmendje të veçantë edhe e sektorëve/subjekteve me risk të mesëm si agjentët e pasurive të paluajtshme, kontabilistët, kazinotë dhe bizneset e shërbimeve monetare. </w:t>
      </w:r>
    </w:p>
    <w:p w14:paraId="3CF3E0F9" w14:textId="58035385"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Garamond"/>
        </w:rPr>
        <w:t>- Ndjekja e vazhdueshme e zbatimit të rekomandimeve, përmes planeve për veprime korrigjuese dhe sanksioneve, aty ku është e përshtatshme, si dhe monitorimit të përmirësimeve të pajtueshmërisë me kalimin e kohës.</w:t>
      </w:r>
    </w:p>
    <w:p w14:paraId="730A8C8B" w14:textId="19EB13A7"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2.3.4</w:t>
      </w:r>
    </w:p>
    <w:p w14:paraId="76BE9366" w14:textId="4F666503"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Garamond"/>
        </w:rPr>
        <w:t>- Mbledhja dhe analizimi i të dhënave sasiore dhe cilësore nga autoritetet përgjegjëse dhe subjektet e detyruara, për të identifikuar risqet sektoriale dhe tematike të pastrimit të parasë dhe financimit të terrorizmit.</w:t>
      </w:r>
    </w:p>
    <w:p w14:paraId="0829A745" w14:textId="3617C48B"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Garamond"/>
        </w:rPr>
        <w:t>- Shndërrimi i konstatimeve të Vlerësimit Kombëtar të Riskut për Pastrimin e Parave dhe Financimin e Terrorizmit në masa zbutëse të koordinuara, politika të përditësuara dhe veprime operacionale të prioritizuara në të gjitha institucionet përkatëse.</w:t>
      </w:r>
    </w:p>
    <w:p w14:paraId="4102B53E" w14:textId="2626CCAA"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lastRenderedPageBreak/>
        <w:t xml:space="preserve">Aktivitete për masën </w:t>
      </w:r>
      <w:r w:rsidR="0025426C" w:rsidRPr="002128A6">
        <w:rPr>
          <w:rFonts w:ascii="Garamond" w:hAnsi="Garamond" w:cs="Garamond"/>
          <w:b/>
          <w:bCs/>
        </w:rPr>
        <w:t>2.3.5</w:t>
      </w:r>
    </w:p>
    <w:p w14:paraId="1FEFE7B0" w14:textId="360E1459"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Ofrimi i trajnimeve të specializuara mbi tipologjitë e pastrimit të parave, qarkullimin ndërkufitar të fondeve, keqpërdorimin e personave juridikë, strukturat komplekse të pronësisë dhe financimin e terrorizmit (përfshirë edhe atë të lidhur me tregtinë apo forma të tjera të mundshme etj.).</w:t>
      </w:r>
    </w:p>
    <w:p w14:paraId="51980E72" w14:textId="15A8AEC4"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Ofrimi i moduleve të posaçme mbi risqet e keqpërdorimit të OJF-ve, profesioneve me rrezik të lartë dhe teknologjive financiare në zhvillim, duke siguruar harmonizim me standardet FATF-së.</w:t>
      </w:r>
    </w:p>
    <w:p w14:paraId="516F1E81" w14:textId="7465DE68"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2.3.6</w:t>
      </w:r>
    </w:p>
    <w:p w14:paraId="2EF214B4" w14:textId="489E8A8F"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Integrimi i metodave hetimore novatore, si mjetet kriminalistike e </w:t>
      </w:r>
      <w:r w:rsidR="00F54824" w:rsidRPr="002128A6">
        <w:rPr>
          <w:rFonts w:ascii="Garamond" w:hAnsi="Garamond" w:cs="Garamond"/>
        </w:rPr>
        <w:t>digjital</w:t>
      </w:r>
      <w:r w:rsidRPr="002128A6">
        <w:rPr>
          <w:rFonts w:ascii="Garamond" w:hAnsi="Garamond" w:cs="Garamond"/>
        </w:rPr>
        <w:t>e, kontabilitetin kriminalistik dhe analitikën e avancuar, në strukturat hetimore qendrore dhe vendore.</w:t>
      </w:r>
    </w:p>
    <w:p w14:paraId="18110F11" w14:textId="4F4000B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Zbatimi i një plani trajnimi të koordinuar midis policisë, autoriteteve tatimore, doganave dhe prokurorëve, me qëllim forcimin e kapaciteteve të përbashkëta hetimore.</w:t>
      </w:r>
    </w:p>
    <w:p w14:paraId="617BB233" w14:textId="6E127E9A"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2.3.7</w:t>
      </w:r>
    </w:p>
    <w:p w14:paraId="6170431D" w14:textId="4C72592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Zbatimi sistematik i hetimeve paralele financiare në të gjitha çështjet kryesore të krimit të organizuar, trafikimit dhe korrupsionit, me qëllim identifikimin, gjurmimin, sekuestrimin dhe konfiskimin e të ardhurave kriminale. </w:t>
      </w:r>
    </w:p>
    <w:p w14:paraId="2ACBA1A7" w14:textId="753DFABC"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Zbatimi i procedurave standarde operacionale dhe protokolleve të përbashkëta operacionale, për të siguruar nisje të hershme të hetimit financiar dhe veprime të koordinuara të gjurmimit të aseteve.</w:t>
      </w:r>
    </w:p>
    <w:p w14:paraId="61054FA5" w14:textId="647D9169"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2.3.8</w:t>
      </w:r>
    </w:p>
    <w:p w14:paraId="23CD4DD3" w14:textId="689C3FE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Koordinimi i punës me çështjet dhe produktet e përbashkëta analitike, midis institucioneve hetimore, mbikëqyrëse dhe të prokurorisë, me qëllim evidentimin e modeleve të korrupsionit dhe sektorët me rrezik të lartë.</w:t>
      </w:r>
    </w:p>
    <w:p w14:paraId="162F6C2D" w14:textId="0D1BDBC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Forcimi i protokolleve të bashkëpunimit dhe mekanizmave të shkëmbimit të informacionit, për të siguruar referim në kohë, hetim të përbashkët dhe ndjekje konsistente të çështjeve të korrupsionit.</w:t>
      </w:r>
    </w:p>
    <w:p w14:paraId="3455A9A1" w14:textId="7F7E4AE0"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2.3.9</w:t>
      </w:r>
    </w:p>
    <w:p w14:paraId="55595091" w14:textId="66D78F1F"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Nisja e hetimeve paralele dhe të përbashkëta me autoritetet e huaja, bazuar në tendencat në zhvillim kriminal, flukset financiare ndërkufitare dhe inteligjencën mbi asetet e mbajtura jashtë vendit. </w:t>
      </w:r>
    </w:p>
    <w:p w14:paraId="5E74A4AA" w14:textId="20C72DAD"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Forcimi i gjurmimit, sekuestrimit dhe konfiskimit ndërkufitar të aseteve, përmes bashkëpunimit të zgjeruar me Europolin, Njësitë e Inteligjencës Financiare (NjIF-të) dhe rrjetet ndërkombëtare të hetimit financiar.</w:t>
      </w:r>
    </w:p>
    <w:p w14:paraId="3BDDED5E" w14:textId="703B73A6"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2.3.10</w:t>
      </w:r>
    </w:p>
    <w:p w14:paraId="4BE8004C" w14:textId="101DAF96"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Zhvillimi i proceseve të përzgjedhjes së çështjeve, të udhëhequra nga inteligjenca, me qëllim që të prioritizohen çështjet e krimit ekonomik me ndikim të lartë, të cilat përfshijnë të ardhura të rëndësishme ose cenueshmëri sistemike. </w:t>
      </w:r>
    </w:p>
    <w:p w14:paraId="1E603296" w14:textId="15B8A2B6"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Zbatimi i teknikave të posaçme të hetimit, forcimi i kapaciteteve të kontabilitetit kriminalistik dhe zgjerimi i mjeteve të gjurmimit </w:t>
      </w:r>
      <w:r w:rsidR="00F54824" w:rsidRPr="002128A6">
        <w:rPr>
          <w:rFonts w:ascii="Garamond" w:hAnsi="Garamond" w:cs="Garamond"/>
        </w:rPr>
        <w:t>digjital</w:t>
      </w:r>
      <w:r w:rsidRPr="002128A6">
        <w:rPr>
          <w:rFonts w:ascii="Garamond" w:hAnsi="Garamond" w:cs="Garamond"/>
        </w:rPr>
        <w:t>, me qëllim zbulimin e skemave komplekse të mashtrimit.</w:t>
      </w:r>
    </w:p>
    <w:p w14:paraId="6B816933" w14:textId="621F4CF1"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2.3.11</w:t>
      </w:r>
    </w:p>
    <w:p w14:paraId="5EADB905" w14:textId="391BA80B"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Forcimi i ndërveprueshmërisë dhe i procedurave të aksesit të ligjshëm në bazat kryesore të të dhënave që përdoren në hetimet ekonomiko-financiare, duke mundësuar verifikim të shpejtë të pronësisë, transaksioneve dhe treguesve të rrezikut.</w:t>
      </w:r>
    </w:p>
    <w:p w14:paraId="499FD972" w14:textId="67E7DA57"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Ofrimi i trajnimeve dhe mbështetjes teknike për hetuesit, që të sigurojnë përdorim konsistent dhe efektiv të mjeteve të verifikimit </w:t>
      </w:r>
      <w:r w:rsidR="008F549F" w:rsidRPr="002128A6">
        <w:rPr>
          <w:rFonts w:ascii="Garamond" w:hAnsi="Garamond" w:cs="Garamond"/>
          <w:i/>
          <w:iCs/>
        </w:rPr>
        <w:t>online</w:t>
      </w:r>
      <w:r w:rsidRPr="002128A6">
        <w:rPr>
          <w:rFonts w:ascii="Garamond" w:hAnsi="Garamond" w:cs="Garamond"/>
        </w:rPr>
        <w:t xml:space="preserve"> për zhvillimin e çështjes.</w:t>
      </w:r>
    </w:p>
    <w:p w14:paraId="1465C215" w14:textId="1BE4C1FE"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2.3.12</w:t>
      </w:r>
    </w:p>
    <w:p w14:paraId="1ED3670A" w14:textId="1412B53C"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Përmirësimi i metodologjive të gjurmimit të aseteve, zhvillimit të provave dhe koordinimit me prokurorët, për të mbështetur sekuestrimin dhe konfiskimin në kohë të të ardhurave kriminale.</w:t>
      </w:r>
    </w:p>
    <w:p w14:paraId="2F24A215" w14:textId="495024ED"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Forcimi i bashkëpunimit me strukturat e menaxhimit të aseteve, për të siguruar trajtim të duhur, vlerësim dhe asgjësim të aseteve të sekuestruara dhe të konfiskuara.</w:t>
      </w:r>
    </w:p>
    <w:p w14:paraId="2B6AC2FE" w14:textId="4EC74A5C"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2.3.13</w:t>
      </w:r>
    </w:p>
    <w:p w14:paraId="39C74910" w14:textId="030EAA45"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lastRenderedPageBreak/>
        <w:t>- Kryerja e një vlerësimi gjithëpërfshirës të cenueshmërive sektoriale në sektorin e pasurive të paluajtshme, profesionet e lira dhe bizneset jofinanciare për të përcaktuar nevojën dhe strukturën e një Task</w:t>
      </w:r>
      <w:r w:rsidR="005C084B" w:rsidRPr="002128A6">
        <w:rPr>
          <w:rFonts w:ascii="Garamond" w:hAnsi="Garamond" w:cs="Garamond"/>
        </w:rPr>
        <w:t>-</w:t>
      </w:r>
      <w:r w:rsidRPr="002128A6">
        <w:rPr>
          <w:rFonts w:ascii="Garamond" w:hAnsi="Garamond" w:cs="Garamond"/>
        </w:rPr>
        <w:t>Force të specializuar kundër pastrimit të parave.</w:t>
      </w:r>
    </w:p>
    <w:p w14:paraId="2D4ACCE5" w14:textId="06193FEA" w:rsidR="0025426C" w:rsidRPr="002128A6" w:rsidRDefault="0025426C" w:rsidP="0025426C">
      <w:pPr>
        <w:pStyle w:val="ListParagraph"/>
        <w:spacing w:after="0" w:line="240" w:lineRule="auto"/>
        <w:ind w:left="0" w:firstLine="284"/>
        <w:jc w:val="both"/>
        <w:rPr>
          <w:rFonts w:ascii="Garamond" w:hAnsi="Garamond" w:cs="Garamond"/>
          <w:strike/>
        </w:rPr>
      </w:pPr>
      <w:r w:rsidRPr="002128A6">
        <w:rPr>
          <w:rFonts w:ascii="Garamond" w:hAnsi="Garamond" w:cs="Garamond"/>
        </w:rPr>
        <w:t xml:space="preserve">- Hartimi i propozimeve për forcimin e mekanizmave të mbikëqyrjes dhe kontrollit për profesionet dhe sektorët e identifikuar me risk të lartë ndaj pastrimit të parave, sipas gjetjeve të Vlerësimit Kombëtar të Riskut për Pastrimin e Parave dhe Financimin e </w:t>
      </w:r>
      <w:r w:rsidR="00BE10FC" w:rsidRPr="002128A6">
        <w:rPr>
          <w:rFonts w:ascii="Garamond" w:hAnsi="Garamond" w:cs="Garamond"/>
        </w:rPr>
        <w:t>Terrorizmit</w:t>
      </w:r>
      <w:r w:rsidRPr="002128A6">
        <w:rPr>
          <w:rFonts w:ascii="Garamond" w:hAnsi="Garamond" w:cs="Garamond"/>
        </w:rPr>
        <w:t>, por duke mbajtur në vëmendje të veçantë edhe sektorët me risk të mesëm (si p.sh.) ndërmjetësit e pasurive të paluajtshme, kontabilistët dhe profesionet e tjera relevante), me qëllim përmirësimin e zbulimit dhe raportimit të aktiviteteve të dyshimta.</w:t>
      </w:r>
    </w:p>
    <w:p w14:paraId="29A33E1E" w14:textId="77777777" w:rsidR="0025426C" w:rsidRPr="002128A6" w:rsidRDefault="0025426C" w:rsidP="0025426C">
      <w:pPr>
        <w:spacing w:after="0" w:line="240" w:lineRule="auto"/>
        <w:ind w:firstLine="284"/>
        <w:jc w:val="both"/>
        <w:rPr>
          <w:rFonts w:ascii="Garamond" w:hAnsi="Garamond" w:cs="Garamond"/>
          <w:strike/>
        </w:rPr>
      </w:pPr>
      <w:r w:rsidRPr="002128A6">
        <w:rPr>
          <w:rFonts w:ascii="Garamond" w:hAnsi="Garamond" w:cs="Garamond"/>
        </w:rPr>
        <w:t>Produktet e pritshme që do të rezultojnë janë:</w:t>
      </w:r>
    </w:p>
    <w:p w14:paraId="7692BEF7"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 xml:space="preserve">Produkti 1: </w:t>
      </w:r>
      <w:r w:rsidRPr="002128A6">
        <w:rPr>
          <w:rFonts w:ascii="Garamond" w:hAnsi="Garamond" w:cs="Garamond"/>
        </w:rPr>
        <w:t>Numri i hetimeve të krimit financiar të nisura dhe i çështjeve të dërguara në ndjekje penale.</w:t>
      </w:r>
    </w:p>
    <w:p w14:paraId="76B5012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operacioneve të gjurmimit të aseteve dhe vlera e aseteve të gjurmuara.</w:t>
      </w:r>
    </w:p>
    <w:p w14:paraId="18FA96C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oficerëve/zyrtarëve të trajnuar në hetimin e krimit financiar.</w:t>
      </w:r>
    </w:p>
    <w:p w14:paraId="60772722"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 xml:space="preserve">Institucionet përgjegjëse: </w:t>
      </w:r>
      <w:r w:rsidRPr="002128A6">
        <w:rPr>
          <w:rFonts w:ascii="Garamond" w:hAnsi="Garamond" w:cs="Garamond"/>
        </w:rPr>
        <w:t>Policia e Shtetit, Ministria e Punëve të Brendshme, Agjencia e Inteligjencës Financiare.</w:t>
      </w:r>
    </w:p>
    <w:p w14:paraId="56253132" w14:textId="11B5A191" w:rsidR="0025426C" w:rsidRPr="002128A6" w:rsidRDefault="0025426C" w:rsidP="004D2F1A">
      <w:pPr>
        <w:spacing w:after="0" w:line="240" w:lineRule="auto"/>
        <w:ind w:firstLine="284"/>
        <w:jc w:val="both"/>
        <w:rPr>
          <w:rFonts w:ascii="Garamond" w:hAnsi="Garamond" w:cs="Garamond"/>
        </w:rPr>
      </w:pPr>
      <w:r w:rsidRPr="002128A6">
        <w:rPr>
          <w:rFonts w:ascii="Garamond" w:hAnsi="Garamond" w:cs="Garamond"/>
          <w:b/>
          <w:bCs/>
        </w:rPr>
        <w:t xml:space="preserve">Institucionet mbështetëse: </w:t>
      </w:r>
      <w:r w:rsidRPr="002128A6">
        <w:rPr>
          <w:rFonts w:ascii="Garamond" w:hAnsi="Garamond" w:cs="Garamond"/>
        </w:rPr>
        <w:t xml:space="preserve">Prokuroria e Përgjithshme; Byroja Kombëtare e Hetimit; Drejtoria e Përgjithshme e Tatimeve; Drejtoria e Përgjithshme e Doganave; Agjencia e Inteligjencës Financiare; Prokuroria e Posaçme kundër Korrupsionit dhe Krimit </w:t>
      </w:r>
      <w:r w:rsidRPr="00DC6EC9">
        <w:rPr>
          <w:rFonts w:ascii="Garamond" w:hAnsi="Garamond" w:cs="Garamond"/>
        </w:rPr>
        <w:t>të Organizuar,</w:t>
      </w:r>
      <w:r w:rsidR="00BE10FC" w:rsidRPr="00DC6EC9">
        <w:rPr>
          <w:rFonts w:ascii="Garamond" w:hAnsi="Garamond" w:cs="Garamond"/>
        </w:rPr>
        <w:t xml:space="preserve"> </w:t>
      </w:r>
      <w:r w:rsidRPr="00DC6EC9">
        <w:rPr>
          <w:rFonts w:ascii="Garamond" w:hAnsi="Garamond" w:cs="Garamond"/>
        </w:rPr>
        <w:t>e Shtetit; Agjencia</w:t>
      </w:r>
      <w:r w:rsidRPr="002128A6">
        <w:rPr>
          <w:rFonts w:ascii="Garamond" w:hAnsi="Garamond" w:cs="Garamond"/>
        </w:rPr>
        <w:t xml:space="preserve"> e Mbikëqyrjes Financiare, Autoriteti i Mbikëqyrjes së Lojërave të Fatit, Ministria e Drejtësisë, Banka e Shqipërisë, Shërbimi Informativ i Shtetit, Agjencia për Inteligjencën dhe Sigurinë e Mbrojtjes; Banka e Shqipërisë, Qendra Kombëtare e Biznesit, Dhoma Kombëtare e Avokatisë e Shqipërisë;</w:t>
      </w:r>
    </w:p>
    <w:p w14:paraId="6BDD2FF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1F851628"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Numri i referimeve dhe procedimeve për veprat penale të korrupsionit dhe pastrimit të parave.</w:t>
      </w:r>
    </w:p>
    <w:p w14:paraId="4FAFBBB2" w14:textId="61F7E411"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 xml:space="preserve">Vlera bazë: </w:t>
      </w:r>
      <w:r w:rsidRPr="002128A6">
        <w:rPr>
          <w:rFonts w:ascii="Garamond" w:hAnsi="Garamond" w:cs="Garamond"/>
        </w:rPr>
        <w:t>do të konfirmohet në vitin 2026</w:t>
      </w:r>
      <w:r w:rsidR="00D86AE7" w:rsidRPr="002128A6">
        <w:rPr>
          <w:rFonts w:ascii="Garamond" w:hAnsi="Garamond" w:cs="Garamond"/>
        </w:rPr>
        <w:t>;</w:t>
      </w:r>
    </w:p>
    <w:p w14:paraId="23C07A3A" w14:textId="40553B73"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w:t>
      </w:r>
      <w:r w:rsidR="00D86AE7" w:rsidRPr="002128A6">
        <w:rPr>
          <w:rFonts w:ascii="Garamond" w:hAnsi="Garamond" w:cs="Garamond"/>
          <w:b/>
          <w:bCs/>
        </w:rPr>
        <w:t>m</w:t>
      </w:r>
      <w:r w:rsidRPr="002128A6">
        <w:rPr>
          <w:rFonts w:ascii="Garamond" w:hAnsi="Garamond" w:cs="Garamond"/>
          <w:b/>
          <w:bCs/>
        </w:rPr>
        <w:t>ë 2030:</w:t>
      </w:r>
      <w:r w:rsidRPr="002128A6">
        <w:rPr>
          <w:rFonts w:ascii="Garamond" w:hAnsi="Garamond" w:cs="Garamond"/>
        </w:rPr>
        <w:t xml:space="preserve"> do të konfirmohet në vitin 2026.</w:t>
      </w:r>
    </w:p>
    <w:p w14:paraId="2A1DBF64" w14:textId="77777777" w:rsidR="0025426C" w:rsidRPr="002128A6" w:rsidRDefault="0025426C" w:rsidP="0025426C">
      <w:pPr>
        <w:pStyle w:val="Heading3"/>
        <w:spacing w:before="0" w:after="0" w:line="240" w:lineRule="auto"/>
        <w:ind w:firstLine="284"/>
        <w:jc w:val="both"/>
        <w:rPr>
          <w:rFonts w:ascii="Garamond" w:hAnsi="Garamond" w:cs="Garamond"/>
          <w:color w:val="auto"/>
          <w:sz w:val="24"/>
          <w:szCs w:val="24"/>
        </w:rPr>
      </w:pPr>
      <w:r w:rsidRPr="002128A6">
        <w:rPr>
          <w:rFonts w:ascii="Garamond" w:hAnsi="Garamond" w:cs="Garamond"/>
          <w:b/>
          <w:bCs/>
          <w:color w:val="auto"/>
          <w:sz w:val="24"/>
          <w:szCs w:val="24"/>
        </w:rPr>
        <w:t>Objektivi Specifik 2.4: Rritja e kapaciteteve kombëtare në parandalimin, zbulimin dhe ndjekjen penale të krimit kibernetik, përmes teknologjisë së përparuar, aftësive të specializuara dhe bashkëpunimit ndërkombëtar</w:t>
      </w:r>
    </w:p>
    <w:p w14:paraId="52441B4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Si përgjigje ndaj sfidave të shumta që paraqet zhvillimi i shpejtë teknologjik, si dhe duke u përballur me krimet kibernetike që shfrytëzojnë këto përparime për të dëmtuar rendin dhe parimet demokratike, autoritetet ligjzbatuese duhet të jenë të përgatitura dhe të kenë kapacitetet e nevojshme për të mbrojtur sigurinë kombëtare dhe rendin publik. Kjo kërkon zhvillimin dhe forcimin e aftësive teknike, ligjore dhe operacionale, si dhe investimin e vazhdueshëm në teknologji moderne dhe trajnim të specializuar për personelin e tyre. </w:t>
      </w:r>
    </w:p>
    <w:p w14:paraId="19D70BE6" w14:textId="12351853"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Për më tepër, një nga objektivat kryesorë është krijimi dhe përcjellja te qytetarët e ndjenjës së besimit dhe sigurisë në hapësirën kibernetike, ku të drejtat </w:t>
      </w:r>
      <w:r w:rsidR="00F54824" w:rsidRPr="002128A6">
        <w:rPr>
          <w:rFonts w:ascii="Garamond" w:hAnsi="Garamond" w:cs="Garamond"/>
        </w:rPr>
        <w:t>digjital</w:t>
      </w:r>
      <w:r w:rsidRPr="002128A6">
        <w:rPr>
          <w:rFonts w:ascii="Garamond" w:hAnsi="Garamond" w:cs="Garamond"/>
        </w:rPr>
        <w:t xml:space="preserve">e dhe privatësia mbrohen në mënyrë efektive. Kjo është jetësore për ndërtimin e një mjedisi </w:t>
      </w:r>
      <w:r w:rsidR="008F549F" w:rsidRPr="002128A6">
        <w:rPr>
          <w:rFonts w:ascii="Garamond" w:hAnsi="Garamond" w:cs="Garamond"/>
          <w:i/>
          <w:iCs/>
        </w:rPr>
        <w:t>online</w:t>
      </w:r>
      <w:r w:rsidRPr="002128A6">
        <w:rPr>
          <w:rFonts w:ascii="Garamond" w:hAnsi="Garamond" w:cs="Garamond"/>
        </w:rPr>
        <w:t xml:space="preserve"> të sigurt dhe të qëndrueshëm, ku zhvillimi teknologjik shërben si faktor për progresin dhe jo si kërcënim për sigurinë dhe rendin demokratik. </w:t>
      </w:r>
    </w:p>
    <w:p w14:paraId="69F02442" w14:textId="460376AD"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Për të arritur këto objektiva, qasja strategjike bazohet në zbatimin e një sërë masash, përfshirë forcimin e bashkëpunimit ndërinstitucional dhe ndërkombëtar, ndërtimin e kapaciteteve për hetime të avancuara kibernetike, hartimin e legjislacionit modern dhe përmirësimin e infrastrukturës teknologjike, si dhe rritjen e ndërgjegjësimit dhe edukimin e qytetarëve për rreziqet dhe masat e sigurisë në botën </w:t>
      </w:r>
      <w:r w:rsidR="00F54824" w:rsidRPr="002128A6">
        <w:rPr>
          <w:rFonts w:ascii="Garamond" w:hAnsi="Garamond" w:cs="Garamond"/>
        </w:rPr>
        <w:t>digjital</w:t>
      </w:r>
      <w:r w:rsidRPr="002128A6">
        <w:rPr>
          <w:rFonts w:ascii="Garamond" w:hAnsi="Garamond" w:cs="Garamond"/>
        </w:rPr>
        <w:t>e.</w:t>
      </w:r>
    </w:p>
    <w:p w14:paraId="3CABF08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2B379B93"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Operacionalizim i përmirësuar dhe i plotë i kapacitetit të specializuar të hetimit dhe ndjekjes penale të krimit kibernetik.</w:t>
      </w:r>
    </w:p>
    <w:p w14:paraId="0F582E2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Rritje e zbulimit dhe ndjekjes penale të veprave të krimit kibernetik.</w:t>
      </w:r>
    </w:p>
    <w:p w14:paraId="44EF0FD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lastRenderedPageBreak/>
        <w:t xml:space="preserve">Rezultati 3: </w:t>
      </w:r>
      <w:r w:rsidRPr="002128A6">
        <w:rPr>
          <w:rFonts w:ascii="Garamond" w:hAnsi="Garamond" w:cs="Garamond"/>
        </w:rPr>
        <w:t>Kapacitet i përmirësuar në mbrojtjen e infrastrukturës kritike dhe në kundërpërgjigjen ndaj kërcënimeve kibernetike.</w:t>
      </w:r>
    </w:p>
    <w:p w14:paraId="223E9E9E" w14:textId="33865885"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Ky Objektiv Specifik do të zbatohet përmes </w:t>
      </w:r>
      <w:r w:rsidR="002E69ED" w:rsidRPr="002128A6">
        <w:rPr>
          <w:rFonts w:ascii="Garamond" w:hAnsi="Garamond" w:cs="Garamond"/>
        </w:rPr>
        <w:t xml:space="preserve">masave </w:t>
      </w:r>
      <w:r w:rsidRPr="002128A6">
        <w:rPr>
          <w:rFonts w:ascii="Garamond" w:hAnsi="Garamond" w:cs="Garamond"/>
        </w:rPr>
        <w:t>të mëposhtme:</w:t>
      </w:r>
    </w:p>
    <w:p w14:paraId="5757D722" w14:textId="59F6797D"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2.4.1:</w:t>
      </w:r>
      <w:r w:rsidRPr="002128A6">
        <w:rPr>
          <w:rFonts w:ascii="Garamond" w:hAnsi="Garamond" w:cs="Garamond"/>
        </w:rPr>
        <w:t xml:space="preserve"> Forcimi kapaciteteve hetimore, operacionale dhe teknologjike për trajtimin e krimit kibernetik, duke përfshirë ndërtimin e kapaciteteve për analizën </w:t>
      </w:r>
      <w:r w:rsidR="00F54824" w:rsidRPr="002128A6">
        <w:rPr>
          <w:rFonts w:ascii="Garamond" w:hAnsi="Garamond" w:cs="Garamond"/>
        </w:rPr>
        <w:t>digjital</w:t>
      </w:r>
      <w:r w:rsidRPr="002128A6">
        <w:rPr>
          <w:rFonts w:ascii="Garamond" w:hAnsi="Garamond" w:cs="Garamond"/>
        </w:rPr>
        <w:t xml:space="preserve">e dhe kriminalistikën </w:t>
      </w:r>
      <w:r w:rsidR="00F54824" w:rsidRPr="002128A6">
        <w:rPr>
          <w:rFonts w:ascii="Garamond" w:hAnsi="Garamond" w:cs="Garamond"/>
        </w:rPr>
        <w:t>digjital</w:t>
      </w:r>
      <w:r w:rsidRPr="002128A6">
        <w:rPr>
          <w:rFonts w:ascii="Garamond" w:hAnsi="Garamond" w:cs="Garamond"/>
        </w:rPr>
        <w:t>e, si dhe duke përdorur mjete moderne dhe platformave për të mbështetur zbulimin, hetimin dhe dokumentimin e krimit kibernetik.</w:t>
      </w:r>
    </w:p>
    <w:p w14:paraId="5FE514FB" w14:textId="6C28E913"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2.4.2</w:t>
      </w:r>
      <w:r w:rsidRPr="002128A6">
        <w:rPr>
          <w:rFonts w:ascii="Garamond" w:hAnsi="Garamond" w:cs="Garamond"/>
        </w:rPr>
        <w:t xml:space="preserve">: Hartimi dhe zbatimi i programeve edukative dhe ndërgjegjësuese për qytetarët dhe bizneset mbi rreziqet kibernetike dhe masat mbrojtëse, përfshirë udhëzime për sjelljen e sigurt </w:t>
      </w:r>
      <w:r w:rsidR="008F549F" w:rsidRPr="002128A6">
        <w:rPr>
          <w:rFonts w:ascii="Garamond" w:hAnsi="Garamond" w:cs="Garamond"/>
          <w:i/>
          <w:iCs/>
        </w:rPr>
        <w:t>online</w:t>
      </w:r>
      <w:r w:rsidRPr="002128A6">
        <w:rPr>
          <w:rFonts w:ascii="Garamond" w:hAnsi="Garamond" w:cs="Garamond"/>
        </w:rPr>
        <w:t xml:space="preserve">, higjienën bazë kibernetike, rrugët e raportimit dhe masat parandaluese për mbrojtjen e të dhënave personale dhe aseteve </w:t>
      </w:r>
      <w:r w:rsidR="00F54824" w:rsidRPr="002128A6">
        <w:rPr>
          <w:rFonts w:ascii="Garamond" w:hAnsi="Garamond" w:cs="Garamond"/>
        </w:rPr>
        <w:t>digjital</w:t>
      </w:r>
      <w:r w:rsidRPr="002128A6">
        <w:rPr>
          <w:rFonts w:ascii="Garamond" w:hAnsi="Garamond" w:cs="Garamond"/>
        </w:rPr>
        <w:t>e.</w:t>
      </w:r>
    </w:p>
    <w:p w14:paraId="7262D505" w14:textId="59E5DFF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2.4.3</w:t>
      </w:r>
      <w:r w:rsidRPr="002128A6">
        <w:rPr>
          <w:rFonts w:ascii="Garamond" w:hAnsi="Garamond" w:cs="Garamond"/>
        </w:rPr>
        <w:t xml:space="preserve">: Trajtimi efektiv dhe i qëndrueshëm i të gjitha formave të krimit kibernetik, përmes realizimit të hetimeve proaktive, përfshirë përdorimin e inteligjencës </w:t>
      </w:r>
      <w:r w:rsidR="00F54824" w:rsidRPr="002128A6">
        <w:rPr>
          <w:rFonts w:ascii="Garamond" w:hAnsi="Garamond" w:cs="Garamond"/>
        </w:rPr>
        <w:t>digjital</w:t>
      </w:r>
      <w:r w:rsidRPr="002128A6">
        <w:rPr>
          <w:rFonts w:ascii="Garamond" w:hAnsi="Garamond" w:cs="Garamond"/>
        </w:rPr>
        <w:t>e dhe metodave të avancuara teknologjike hetimore, me qëllim parandalimin, zbulimin dhe ndëshkimin e aktiviteteve kriminale në hapësirën kibernetike.</w:t>
      </w:r>
    </w:p>
    <w:p w14:paraId="549319F9" w14:textId="3D8F0D33"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2.4.4</w:t>
      </w:r>
      <w:r w:rsidRPr="002128A6">
        <w:rPr>
          <w:rFonts w:ascii="Garamond" w:hAnsi="Garamond" w:cs="Garamond"/>
        </w:rPr>
        <w:t>: Ofrimi i trajnimit të vazhdueshëm për të përditësuar njohuritë dhe për të forcuar bashkëpunimin ndërinstitucional, përfshirë trajnime të specializuara, përdorimin e softuerëve modernë</w:t>
      </w:r>
      <w:r w:rsidR="00F54824" w:rsidRPr="002128A6">
        <w:rPr>
          <w:rFonts w:ascii="Garamond" w:hAnsi="Garamond" w:cs="Garamond"/>
        </w:rPr>
        <w:t xml:space="preserve"> </w:t>
      </w:r>
      <w:r w:rsidRPr="002128A6">
        <w:rPr>
          <w:rFonts w:ascii="Garamond" w:hAnsi="Garamond" w:cs="Garamond"/>
        </w:rPr>
        <w:t>dhe mjeteve hetimore, si dhe trajnime të përbashkëta me agjencitë ligjzbatuese, me fokus të veçantë te gjurmimi i aktiviteteve të paligjshme që përfshijnë kriptovalutat, hetimi i krimit kibernetik dhe identifikimi i grupeve kriminale</w:t>
      </w:r>
      <w:r w:rsidR="00F54824" w:rsidRPr="002128A6">
        <w:rPr>
          <w:rFonts w:ascii="Garamond" w:hAnsi="Garamond" w:cs="Garamond"/>
        </w:rPr>
        <w:t xml:space="preserve"> </w:t>
      </w:r>
      <w:r w:rsidRPr="002128A6">
        <w:rPr>
          <w:rFonts w:ascii="Garamond" w:hAnsi="Garamond" w:cs="Garamond"/>
        </w:rPr>
        <w:t xml:space="preserve">që veprojnë </w:t>
      </w:r>
      <w:r w:rsidR="008F549F" w:rsidRPr="002128A6">
        <w:rPr>
          <w:rFonts w:ascii="Garamond" w:hAnsi="Garamond" w:cs="Garamond"/>
          <w:i/>
          <w:iCs/>
        </w:rPr>
        <w:t>online</w:t>
      </w:r>
      <w:r w:rsidRPr="002128A6">
        <w:rPr>
          <w:rFonts w:ascii="Garamond" w:hAnsi="Garamond" w:cs="Garamond"/>
        </w:rPr>
        <w:t>.</w:t>
      </w:r>
    </w:p>
    <w:p w14:paraId="2A585AB9" w14:textId="1FCC329A"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2.4.5:</w:t>
      </w:r>
      <w:r w:rsidRPr="002128A6">
        <w:rPr>
          <w:rFonts w:ascii="Garamond" w:hAnsi="Garamond" w:cs="Garamond"/>
        </w:rPr>
        <w:t xml:space="preserve"> Rritja e bashkëpunimit me institucionet publike, subjektet private dhe partnerët ndërkombëtarë për trajtimin e shpejtë dhe të saktë të rasteve të abuzimit seksual të fëmijëve </w:t>
      </w:r>
      <w:r w:rsidR="008F549F" w:rsidRPr="002128A6">
        <w:rPr>
          <w:rFonts w:ascii="Garamond" w:hAnsi="Garamond" w:cs="Garamond"/>
          <w:i/>
          <w:iCs/>
        </w:rPr>
        <w:t>online</w:t>
      </w:r>
      <w:r w:rsidRPr="002128A6">
        <w:rPr>
          <w:rFonts w:ascii="Garamond" w:hAnsi="Garamond" w:cs="Garamond"/>
        </w:rPr>
        <w:t>, përfshirë identifikimin dhe prioritizimin e rasteve urgjente, si dhe analizën efektive të provave në mbështetje të hetimit dhe ndjekjes penale.</w:t>
      </w:r>
    </w:p>
    <w:p w14:paraId="1A9D28F3" w14:textId="4D6D87B3"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2.4.6:</w:t>
      </w:r>
      <w:r w:rsidRPr="002128A6">
        <w:rPr>
          <w:rFonts w:ascii="Garamond" w:hAnsi="Garamond" w:cs="Garamond"/>
        </w:rPr>
        <w:t xml:space="preserve"> Hartimi dhe zbatimi i programeve edukative dhe ndërgjegjësuese për fëmijët mbi sigurinë në internet dhe mbrojtjen nga rreziqet kibernetike, si dhe ofrimi i trajnimit të vazhdueshëm të përbashkët për punonjësit e policisë dhe aktorët vendore të vijës së parë, mbi tendencat në zhvillim të krimit kibernetik, dëmet </w:t>
      </w:r>
      <w:r w:rsidR="008F549F" w:rsidRPr="002128A6">
        <w:rPr>
          <w:rFonts w:ascii="Garamond" w:hAnsi="Garamond" w:cs="Garamond"/>
          <w:i/>
          <w:iCs/>
        </w:rPr>
        <w:t>online</w:t>
      </w:r>
      <w:r w:rsidRPr="002128A6">
        <w:rPr>
          <w:rFonts w:ascii="Garamond" w:hAnsi="Garamond" w:cs="Garamond"/>
        </w:rPr>
        <w:t xml:space="preserve"> dhe procedurat e duhura të reagimit dhe referimit.</w:t>
      </w:r>
    </w:p>
    <w:p w14:paraId="1A38BF8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2.4.7:</w:t>
      </w:r>
      <w:r w:rsidRPr="002128A6">
        <w:rPr>
          <w:rFonts w:ascii="Garamond" w:hAnsi="Garamond" w:cs="Garamond"/>
        </w:rPr>
        <w:t xml:space="preserve"> Krijimi dhe aktivizimi i kapaciteteve teknike dhe teknologjike për të monitoruar </w:t>
      </w:r>
      <w:r w:rsidRPr="002128A6">
        <w:rPr>
          <w:rFonts w:ascii="Garamond" w:hAnsi="Garamond" w:cs="Garamond"/>
          <w:i/>
          <w:iCs/>
        </w:rPr>
        <w:t>Dark Web</w:t>
      </w:r>
      <w:r w:rsidRPr="002128A6">
        <w:rPr>
          <w:rFonts w:ascii="Garamond" w:hAnsi="Garamond" w:cs="Garamond"/>
        </w:rPr>
        <w:t>-in, me qëllim forcimin e parandalimit dhe zbulimit e hershëm të krimeve kibernetike, përfshirë përmes mjeteve të dedikuara, personelit të trajnuar dhe procedurave për mbledhjen e inteligjencës dhe ndjekjen operacionale.</w:t>
      </w:r>
    </w:p>
    <w:p w14:paraId="0E18824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2.4.8:</w:t>
      </w:r>
      <w:r w:rsidRPr="002128A6">
        <w:rPr>
          <w:rFonts w:ascii="Garamond" w:hAnsi="Garamond" w:cs="Garamond"/>
        </w:rPr>
        <w:t xml:space="preserve"> Forcimi i rrjeteve të bashkëpunimit ndërkombëtar dhe shkëmbimit të informacionit në luftën kundër krimit kibernetik, përmes pikave të kontaktit 24/7, me qëllim sigurimin e asistencës në kohë, shkëmbim të shpejtë të informacionit dhe përgjigje të koordinuara operacionale ndaj incidenteve dhe hetimeve kibernetike ndërkufitare.</w:t>
      </w:r>
    </w:p>
    <w:p w14:paraId="5D4B78C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2.4.9</w:t>
      </w:r>
      <w:r w:rsidRPr="002128A6">
        <w:rPr>
          <w:rFonts w:ascii="Garamond" w:hAnsi="Garamond" w:cs="Garamond"/>
        </w:rPr>
        <w:t xml:space="preserve">: Standardizimi dhe optimizimi i procedurave për funksionim efektiv të pikës së kontaktit 24/7, përfshirë duke sqaruar rolet dhe përgjegjësitë, duke vendosur afatet kohore të reagimit, duke siguruar komunikim dhe dokumentim të sigurt dhe duke miratuar mekanizma të sigurimit të cilësisë për kërkesat dhe shkëmbimet e lidhura me krimin kibernetik. </w:t>
      </w:r>
    </w:p>
    <w:p w14:paraId="3366061F" w14:textId="205619A3"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2.4.10</w:t>
      </w:r>
      <w:r w:rsidRPr="002128A6">
        <w:rPr>
          <w:rFonts w:ascii="Garamond" w:hAnsi="Garamond" w:cs="Garamond"/>
        </w:rPr>
        <w:t>: Forcimi i bashkëpunimit me institucionet publike, OJF-të, ofruesit e shërbimeve të internetit, kompanitë telefonike dhe organizatat globale për të siguruar akses në kohë</w:t>
      </w:r>
      <w:r w:rsidR="00F54824" w:rsidRPr="002128A6">
        <w:rPr>
          <w:rFonts w:ascii="Garamond" w:hAnsi="Garamond" w:cs="Garamond"/>
        </w:rPr>
        <w:t xml:space="preserve"> </w:t>
      </w:r>
      <w:r w:rsidRPr="002128A6">
        <w:rPr>
          <w:rFonts w:ascii="Garamond" w:hAnsi="Garamond" w:cs="Garamond"/>
        </w:rPr>
        <w:t>dhe informacion në kohë reale, aty ku është</w:t>
      </w:r>
      <w:r w:rsidR="00F54824" w:rsidRPr="002128A6">
        <w:rPr>
          <w:rFonts w:ascii="Garamond" w:hAnsi="Garamond" w:cs="Garamond"/>
        </w:rPr>
        <w:t xml:space="preserve"> </w:t>
      </w:r>
      <w:r w:rsidRPr="002128A6">
        <w:rPr>
          <w:rFonts w:ascii="Garamond" w:hAnsi="Garamond" w:cs="Garamond"/>
        </w:rPr>
        <w:t>përshtatshme, si dhe për të parandaluar aktivitetet kriminale në hapësirën kibernetike, përfshirë përmes koordinimit operacional, procedurave të thjeshtuara të ruajtjes dhe dhënies së informacionit, si dhe ndërgjegjësimit dhe masave parandaluese të përbashkëta.</w:t>
      </w:r>
    </w:p>
    <w:p w14:paraId="6C05AF32" w14:textId="3BD81C2F"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2.4.11</w:t>
      </w:r>
      <w:r w:rsidRPr="002128A6">
        <w:rPr>
          <w:rFonts w:ascii="Garamond" w:hAnsi="Garamond" w:cs="Garamond"/>
        </w:rPr>
        <w:t xml:space="preserve">: Pjesëmarrja në projektet e BE-së dhe të tjera ndërkombëtare që mbështesin raportimin dhe mbrojtjen e të miturve dhe qytetarëve nga abuzimi </w:t>
      </w:r>
      <w:r w:rsidR="008F549F" w:rsidRPr="002128A6">
        <w:rPr>
          <w:rFonts w:ascii="Garamond" w:hAnsi="Garamond" w:cs="Garamond"/>
          <w:i/>
          <w:iCs/>
        </w:rPr>
        <w:t>online</w:t>
      </w:r>
      <w:r w:rsidRPr="002128A6">
        <w:rPr>
          <w:rFonts w:ascii="Garamond" w:hAnsi="Garamond" w:cs="Garamond"/>
        </w:rPr>
        <w:t xml:space="preserve">, duke shfrytëzuar nismat ekzistuese dhe duke ndjekur pjesëmarrjen në platformat e reja të raportimit si “Help4U”, përmes </w:t>
      </w:r>
      <w:r w:rsidRPr="002128A6">
        <w:rPr>
          <w:rFonts w:ascii="Garamond" w:hAnsi="Garamond" w:cs="Garamond"/>
        </w:rPr>
        <w:lastRenderedPageBreak/>
        <w:t>organizimit të takimeve, pjesëmarrjes aktive</w:t>
      </w:r>
      <w:r w:rsidR="00F54824" w:rsidRPr="002128A6">
        <w:rPr>
          <w:rFonts w:ascii="Garamond" w:hAnsi="Garamond" w:cs="Garamond"/>
        </w:rPr>
        <w:t xml:space="preserve"> </w:t>
      </w:r>
      <w:r w:rsidRPr="002128A6">
        <w:rPr>
          <w:rFonts w:ascii="Garamond" w:hAnsi="Garamond" w:cs="Garamond"/>
        </w:rPr>
        <w:t xml:space="preserve">në aktivitetet e projektit, dhe ndjekjes së procedurave të aplikimit. </w:t>
      </w:r>
    </w:p>
    <w:p w14:paraId="311F0C7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2.4.12</w:t>
      </w:r>
      <w:r w:rsidRPr="002128A6">
        <w:rPr>
          <w:rFonts w:ascii="Garamond" w:hAnsi="Garamond" w:cs="Garamond"/>
        </w:rPr>
        <w:t>: Propozimi i ndryshimeve nënligjore për të siguruar mbështetje të qëndrueshme financiare për kapacitetet hetimore të krimit kibernetik, me qëllim garantimin e vazhdimësisë së strukturave të specializuara, mirëmbajtjes dhe modernizimit të mjeteve teknologjike, dhe qëndrueshmërisë afatgjatë të kapaciteteve të krimit kibernetik brenda strukturave të Policisë së Shtetit.</w:t>
      </w:r>
    </w:p>
    <w:p w14:paraId="0F2F3D6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Për të mbështetur arritjen e këtyre Masave, do të zbatohen Aktivitetet e mëposhtme:</w:t>
      </w:r>
    </w:p>
    <w:p w14:paraId="22527287" w14:textId="1ADD43D5"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2.4.1</w:t>
      </w:r>
    </w:p>
    <w:p w14:paraId="50007909" w14:textId="10B6E0FF"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Zhvillimi dhe zgjerimi i kapaciteteve të kriminalistikës </w:t>
      </w:r>
      <w:r w:rsidR="00F54824" w:rsidRPr="002128A6">
        <w:rPr>
          <w:rFonts w:ascii="Garamond" w:hAnsi="Garamond" w:cs="Garamond"/>
        </w:rPr>
        <w:t>digjital</w:t>
      </w:r>
      <w:r w:rsidRPr="002128A6">
        <w:rPr>
          <w:rFonts w:ascii="Garamond" w:hAnsi="Garamond" w:cs="Garamond"/>
        </w:rPr>
        <w:t xml:space="preserve">e dhe analizës kibernetike, duke pajisur njësitë e specializuara me mjete moderne për nxjerrjen e të dhënave, analizën e maluerëve, kriminalistikën e rrjetit dhe ruajtjen e provave. </w:t>
      </w:r>
    </w:p>
    <w:p w14:paraId="3D303FDC" w14:textId="2F2BB4E9"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Zbatimi i punës së strukturuar operacionale për hetimin e krimit kibernetik, duke përdorur platforma të avancuara për zbulimin, dokumentimin dhe gjetjen e autorëve të incidenteve kibernetike.</w:t>
      </w:r>
    </w:p>
    <w:p w14:paraId="7F0EC2D8" w14:textId="0B1B6C4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2.4.2</w:t>
      </w:r>
    </w:p>
    <w:p w14:paraId="7455D632" w14:textId="52B2B1A5"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Përgatitja dhe ofrimi i fushatave të ndërgjegjësimit në të gjithë vendin, për qytetarët dhe bizneset, mbi rreziqet kibernetike, sjelljen e sigurt </w:t>
      </w:r>
      <w:r w:rsidR="008F549F" w:rsidRPr="002128A6">
        <w:rPr>
          <w:rFonts w:ascii="Garamond" w:hAnsi="Garamond" w:cs="Garamond"/>
          <w:i/>
          <w:iCs/>
        </w:rPr>
        <w:t>online</w:t>
      </w:r>
      <w:r w:rsidRPr="002128A6">
        <w:rPr>
          <w:rFonts w:ascii="Garamond" w:hAnsi="Garamond" w:cs="Garamond"/>
        </w:rPr>
        <w:t xml:space="preserve">, higjienën kibernetike dhe rrugët e raportimit për incidentet kibernetike. </w:t>
      </w:r>
    </w:p>
    <w:p w14:paraId="1C073494" w14:textId="4FD19A3B"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Hartimi i materialeve praktike udhëzuese, si listat e kontrollit, tutorialet dhe këshillat specifike sektoriale, për të ndihmuar individët dhe bizneset të mbrojnë të dhënat personale dhe asetet </w:t>
      </w:r>
      <w:r w:rsidR="00F54824" w:rsidRPr="002128A6">
        <w:rPr>
          <w:rFonts w:ascii="Garamond" w:hAnsi="Garamond" w:cs="Garamond"/>
        </w:rPr>
        <w:t>digjital</w:t>
      </w:r>
      <w:r w:rsidRPr="002128A6">
        <w:rPr>
          <w:rFonts w:ascii="Garamond" w:hAnsi="Garamond" w:cs="Garamond"/>
        </w:rPr>
        <w:t>e.</w:t>
      </w:r>
    </w:p>
    <w:p w14:paraId="5B78C158" w14:textId="23671664"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2.4.3</w:t>
      </w:r>
    </w:p>
    <w:p w14:paraId="429E33EC" w14:textId="7AD5E259"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Kryerja e hetimeve proaktive të krimit kibernetik, duke përdorur inteligjencën </w:t>
      </w:r>
      <w:r w:rsidR="00F54824" w:rsidRPr="002128A6">
        <w:rPr>
          <w:rFonts w:ascii="Garamond" w:hAnsi="Garamond" w:cs="Garamond"/>
        </w:rPr>
        <w:t>digjital</w:t>
      </w:r>
      <w:r w:rsidRPr="002128A6">
        <w:rPr>
          <w:rFonts w:ascii="Garamond" w:hAnsi="Garamond" w:cs="Garamond"/>
        </w:rPr>
        <w:t xml:space="preserve">e, inteligjencën nga burime të hapura (OSINT) dhe mjete të avancuara teknologjike, për të zbuluar aktivitetin kriminal në hapësirën kibernetike. </w:t>
      </w:r>
    </w:p>
    <w:p w14:paraId="4A3AAE3D" w14:textId="7660A18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Zbatimi i teknikave të specializuara hetimore, si monitorimi i rrjetit, gjurmimi i kriptovalutave dhe operacionet e fshehta </w:t>
      </w:r>
      <w:r w:rsidR="008F549F" w:rsidRPr="002128A6">
        <w:rPr>
          <w:rFonts w:ascii="Garamond" w:hAnsi="Garamond" w:cs="Garamond"/>
          <w:i/>
          <w:iCs/>
        </w:rPr>
        <w:t>online</w:t>
      </w:r>
      <w:r w:rsidRPr="002128A6">
        <w:rPr>
          <w:rFonts w:ascii="Garamond" w:hAnsi="Garamond" w:cs="Garamond"/>
        </w:rPr>
        <w:t>, aty ku lejohet me ligj, me qëllim parandalimin dhe ndërprerjen e veprimeve penale kibernetike.</w:t>
      </w:r>
    </w:p>
    <w:p w14:paraId="483B3B44" w14:textId="651FBE71"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2.4.4</w:t>
      </w:r>
    </w:p>
    <w:p w14:paraId="235D8921" w14:textId="50942D5E"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Ofrimi i programeve të specializuara të trajnimit për policët, prokurorët dhe zyrtarët e inteligjencës, mbi hetimin e krimit kibernetik, gjurmimin e kriptovalutave, trajtimin e provave </w:t>
      </w:r>
      <w:r w:rsidR="00F54824" w:rsidRPr="002128A6">
        <w:rPr>
          <w:rFonts w:ascii="Garamond" w:hAnsi="Garamond" w:cs="Garamond"/>
        </w:rPr>
        <w:t>digjital</w:t>
      </w:r>
      <w:r w:rsidRPr="002128A6">
        <w:rPr>
          <w:rFonts w:ascii="Garamond" w:hAnsi="Garamond" w:cs="Garamond"/>
        </w:rPr>
        <w:t>e dhe tendencat e reja të krimit</w:t>
      </w:r>
      <w:r w:rsidRPr="002128A6">
        <w:rPr>
          <w:rFonts w:ascii="Garamond" w:hAnsi="Garamond" w:cs="Garamond"/>
          <w:i/>
          <w:iCs/>
        </w:rPr>
        <w:t xml:space="preserve"> </w:t>
      </w:r>
      <w:r w:rsidR="008F549F" w:rsidRPr="002128A6">
        <w:rPr>
          <w:rFonts w:ascii="Garamond" w:hAnsi="Garamond" w:cs="Garamond"/>
          <w:i/>
          <w:iCs/>
        </w:rPr>
        <w:t>online</w:t>
      </w:r>
      <w:r w:rsidRPr="002128A6">
        <w:rPr>
          <w:rFonts w:ascii="Garamond" w:hAnsi="Garamond" w:cs="Garamond"/>
        </w:rPr>
        <w:t xml:space="preserve">. </w:t>
      </w:r>
    </w:p>
    <w:p w14:paraId="56628044" w14:textId="583FA90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Organizimi i ushtrimeve trajnuese të përbashkëta me agjencitë ligjzbatuese vendase dhe ndërkombëtare, me qëllim përmirësimin e koordinimit operacional dhe kuptimin e përbashkët të kërcënimeve kibernetike.</w:t>
      </w:r>
    </w:p>
    <w:p w14:paraId="1BDFA345" w14:textId="7921E424"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2.4.5</w:t>
      </w:r>
    </w:p>
    <w:p w14:paraId="6D875D7D" w14:textId="3352FD90"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Vendosja e procedurave të reagimit të shpejtë me institucionet publike, subjektet private dhe partnerët ndërkombëtarë, për të siguruar identifikim, prioritizim dhe hetim në kohë të materialit të abuzimit seksual </w:t>
      </w:r>
      <w:r w:rsidR="008F549F" w:rsidRPr="002128A6">
        <w:rPr>
          <w:rFonts w:ascii="Garamond" w:hAnsi="Garamond" w:cs="Garamond"/>
          <w:i/>
          <w:iCs/>
        </w:rPr>
        <w:t>online</w:t>
      </w:r>
      <w:r w:rsidRPr="002128A6">
        <w:rPr>
          <w:rFonts w:ascii="Garamond" w:hAnsi="Garamond" w:cs="Garamond"/>
        </w:rPr>
        <w:t xml:space="preserve"> të fëmijëve. </w:t>
      </w:r>
    </w:p>
    <w:p w14:paraId="7D1A72ED" w14:textId="4CF1CCBF"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Forcimi i kapacitetit të kriminalistikës </w:t>
      </w:r>
      <w:r w:rsidR="00F54824" w:rsidRPr="002128A6">
        <w:rPr>
          <w:rFonts w:ascii="Garamond" w:hAnsi="Garamond" w:cs="Garamond"/>
        </w:rPr>
        <w:t>digjital</w:t>
      </w:r>
      <w:r w:rsidRPr="002128A6">
        <w:rPr>
          <w:rFonts w:ascii="Garamond" w:hAnsi="Garamond" w:cs="Garamond"/>
        </w:rPr>
        <w:t>e për të analizuar provat në mënyrë efikase dhe për të mbështetur ndjekjet penale, përfshirë përmes mjeteve të specializuara dhe personelit të trajnuar.</w:t>
      </w:r>
    </w:p>
    <w:p w14:paraId="7AB7EB4D" w14:textId="69132C8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2.4.6</w:t>
      </w:r>
    </w:p>
    <w:p w14:paraId="7CCAD6E4" w14:textId="63706C27"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Zbatimi i programeve edukative të përshtatshme për moshën në shkolla dhe qendra komunitare, me qëllim që fëmijët të mësojnë mbi sigurinë </w:t>
      </w:r>
      <w:r w:rsidR="008F549F" w:rsidRPr="002128A6">
        <w:rPr>
          <w:rFonts w:ascii="Garamond" w:hAnsi="Garamond" w:cs="Garamond"/>
          <w:i/>
          <w:iCs/>
        </w:rPr>
        <w:t>online</w:t>
      </w:r>
      <w:r w:rsidRPr="002128A6">
        <w:rPr>
          <w:rFonts w:ascii="Garamond" w:hAnsi="Garamond" w:cs="Garamond"/>
        </w:rPr>
        <w:t xml:space="preserve">, rreziqet kibernetike dhe sjelljen e përgjegjshme </w:t>
      </w:r>
      <w:r w:rsidR="00F54824" w:rsidRPr="002128A6">
        <w:rPr>
          <w:rFonts w:ascii="Garamond" w:hAnsi="Garamond" w:cs="Garamond"/>
        </w:rPr>
        <w:t>digjital</w:t>
      </w:r>
      <w:r w:rsidRPr="002128A6">
        <w:rPr>
          <w:rFonts w:ascii="Garamond" w:hAnsi="Garamond" w:cs="Garamond"/>
        </w:rPr>
        <w:t xml:space="preserve">e. </w:t>
      </w:r>
    </w:p>
    <w:p w14:paraId="0CA2D4A7" w14:textId="61F929B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Ofrimi i trajnimit të vazhdueshëm të përbashkët për oficerët e policisë, mësuesit dhe aktorët vendorë në vijën e parë, mbi dëmet e aktivitetit </w:t>
      </w:r>
      <w:r w:rsidR="008F549F" w:rsidRPr="002128A6">
        <w:rPr>
          <w:rFonts w:ascii="Garamond" w:hAnsi="Garamond" w:cs="Garamond"/>
          <w:i/>
          <w:iCs/>
        </w:rPr>
        <w:t>online</w:t>
      </w:r>
      <w:r w:rsidRPr="002128A6">
        <w:rPr>
          <w:rFonts w:ascii="Garamond" w:hAnsi="Garamond" w:cs="Garamond"/>
        </w:rPr>
        <w:t>, procedurat e referimit dhe protokollet e mbrojtjes së fëmijëve.</w:t>
      </w:r>
    </w:p>
    <w:p w14:paraId="5DC4CCD4" w14:textId="0B3EF0B4"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2.4.7</w:t>
      </w:r>
    </w:p>
    <w:p w14:paraId="61F2C9C3" w14:textId="3BCCFCBE"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lastRenderedPageBreak/>
        <w:t xml:space="preserve">- Alokimi i kapaciteteve të dedikuara për monitorimin e </w:t>
      </w:r>
      <w:r w:rsidRPr="002128A6">
        <w:rPr>
          <w:rFonts w:ascii="Garamond" w:hAnsi="Garamond" w:cs="Garamond"/>
          <w:i/>
          <w:iCs/>
        </w:rPr>
        <w:t>DarWeb</w:t>
      </w:r>
      <w:r w:rsidRPr="002128A6">
        <w:rPr>
          <w:rFonts w:ascii="Garamond" w:hAnsi="Garamond" w:cs="Garamond"/>
        </w:rPr>
        <w:t>-it, përfshirë mjete të specializuara, analistë të trajnuar dhe procedura operacionale për mbledhjen e inteligjencës dhe zbulimin e hershëm të krimit kibernetik.</w:t>
      </w:r>
    </w:p>
    <w:p w14:paraId="3A333B7F" w14:textId="6B48FFB6"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Integrimi i inteligjencës së </w:t>
      </w:r>
      <w:r w:rsidRPr="002128A6">
        <w:rPr>
          <w:rFonts w:ascii="Garamond" w:hAnsi="Garamond" w:cs="Garamond"/>
          <w:i/>
          <w:iCs/>
        </w:rPr>
        <w:t>Dark Web</w:t>
      </w:r>
      <w:r w:rsidRPr="002128A6">
        <w:rPr>
          <w:rFonts w:ascii="Garamond" w:hAnsi="Garamond" w:cs="Garamond"/>
        </w:rPr>
        <w:t>-it në praktikën hetimore, për të mbështetur zhvillimin e çështjes, vlerësimet e kërcënimit dhe ndjekjen operacionale.</w:t>
      </w:r>
    </w:p>
    <w:p w14:paraId="5A7E4210" w14:textId="35727C93"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2.4.8</w:t>
      </w:r>
    </w:p>
    <w:p w14:paraId="38B9523B" w14:textId="51E320DE"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Mbajtja e bashkëpunimit aktiv 24/7 me pikat e kontaktit të partnerëve ndërkombëtarë, për të siguruar shkëmbim të shpejtë informacioni, asistencë në kohë dhe përgjigje të koordinuara ndaj incidenteve kibernetike ndërkufitare.</w:t>
      </w:r>
    </w:p>
    <w:p w14:paraId="389462EC" w14:textId="2D6DF167"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Pjesëmarrja në platformat e koordinimit ndërkombëtar të krimit kibernetik, operacionet e përbashkëta dhe nismat e shkëmbimit të inteligjencës për të rritur kapacitetin hetimor ndërkufitar.</w:t>
      </w:r>
    </w:p>
    <w:p w14:paraId="2FA3C822" w14:textId="236962C7"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2.4.9</w:t>
      </w:r>
    </w:p>
    <w:p w14:paraId="3941965F" w14:textId="4A19AEAD"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Hartimi dhe zbatimi i procedurave standarde operacionale që përcaktojnë rolet, përgjegjësitë, afatet kohore të reagimit dhe kërkesat e dokumentimit për të gjitha operacionet e pikave të kontaktit 24/7. </w:t>
      </w:r>
    </w:p>
    <w:p w14:paraId="24328212" w14:textId="31CA606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Miratimi i mekanizmave të sigurimit të cilësisë, që garantojnë komunikim të sigurt, përpunim të saktë të kërkesave dhe ndjekje konsistente të shkëmbimeve ndërkombëtare.</w:t>
      </w:r>
    </w:p>
    <w:p w14:paraId="40B4B1EC" w14:textId="03FC6886"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2.4.10</w:t>
      </w:r>
    </w:p>
    <w:p w14:paraId="6F1A8C37" w14:textId="72DDD48D"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Thjeshtimi i procedurave për ruajtjen e të dhënave, zbulimin e ligjshëm të informacionit dhe koordinimin operacional me ofruesit e shërbimeve të internetit, operatorët e telekomunikimit dhe platformat </w:t>
      </w:r>
      <w:r w:rsidR="008F549F" w:rsidRPr="002128A6">
        <w:rPr>
          <w:rFonts w:ascii="Garamond" w:hAnsi="Garamond" w:cs="Garamond"/>
          <w:i/>
          <w:iCs/>
        </w:rPr>
        <w:t>online</w:t>
      </w:r>
      <w:r w:rsidRPr="002128A6">
        <w:rPr>
          <w:rFonts w:ascii="Garamond" w:hAnsi="Garamond" w:cs="Garamond"/>
        </w:rPr>
        <w:t xml:space="preserve">, për të mbështetur hetimet e krimit kibernetik. </w:t>
      </w:r>
    </w:p>
    <w:p w14:paraId="6881FFE1" w14:textId="254D040F"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Realizimi i nismave të përbashkëta të ndërgjegjësimit dhe parandalimit me OJF-të, institucionet publike dhe partnerët e sektorit privat, me qëllim reduktimin e rreziqeve </w:t>
      </w:r>
      <w:r w:rsidR="008F549F" w:rsidRPr="002128A6">
        <w:rPr>
          <w:rFonts w:ascii="Garamond" w:hAnsi="Garamond" w:cs="Garamond"/>
          <w:i/>
          <w:iCs/>
        </w:rPr>
        <w:t>online</w:t>
      </w:r>
      <w:r w:rsidRPr="002128A6">
        <w:rPr>
          <w:rFonts w:ascii="Garamond" w:hAnsi="Garamond" w:cs="Garamond"/>
          <w:i/>
          <w:iCs/>
        </w:rPr>
        <w:t xml:space="preserve"> </w:t>
      </w:r>
      <w:r w:rsidRPr="002128A6">
        <w:rPr>
          <w:rFonts w:ascii="Garamond" w:hAnsi="Garamond" w:cs="Garamond"/>
        </w:rPr>
        <w:t>dhe përmirësimin e raportimit të hershëm.</w:t>
      </w:r>
    </w:p>
    <w:p w14:paraId="5E425C23" w14:textId="6730AE3A"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2.4.11</w:t>
      </w:r>
    </w:p>
    <w:p w14:paraId="32D59F28" w14:textId="1A3BE07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Angazhimi aktiv në nismat e BE-së dhe ato ndërkombëtare, si “Help4U” dhe platformat e ngjashme, duke marrë pjesë në takimet e projektit, aktivitetet pilote dhe proceset e aplikimit. </w:t>
      </w:r>
    </w:p>
    <w:p w14:paraId="48477F59" w14:textId="4BB6A416"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Integrimi i produkteve të projektit në mekanizmat kombëtarë të raportimit dhe mbrojtjes, për të rritur sigurinë </w:t>
      </w:r>
      <w:r w:rsidR="008F549F" w:rsidRPr="002128A6">
        <w:rPr>
          <w:rFonts w:ascii="Garamond" w:hAnsi="Garamond" w:cs="Garamond"/>
          <w:i/>
          <w:iCs/>
        </w:rPr>
        <w:t>online</w:t>
      </w:r>
      <w:r w:rsidRPr="002128A6">
        <w:rPr>
          <w:rFonts w:ascii="Garamond" w:hAnsi="Garamond" w:cs="Garamond"/>
          <w:i/>
          <w:iCs/>
        </w:rPr>
        <w:t xml:space="preserve"> </w:t>
      </w:r>
      <w:r w:rsidRPr="002128A6">
        <w:rPr>
          <w:rFonts w:ascii="Garamond" w:hAnsi="Garamond" w:cs="Garamond"/>
        </w:rPr>
        <w:t>të të miturve dhe të grupeve të cenueshme.</w:t>
      </w:r>
    </w:p>
    <w:p w14:paraId="79ED4D8C" w14:textId="6C80D890"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2.4.12</w:t>
      </w:r>
    </w:p>
    <w:p w14:paraId="1FC4FA5C" w14:textId="3A6E52F9"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Realizimi i vlerësimit institucional të nevojave afatgjata financiare për njësitë hetimore të krimit kibernetik, përfshirë personelin, mjetet dhe mirëmbajtjen.</w:t>
      </w:r>
    </w:p>
    <w:p w14:paraId="62C550B2" w14:textId="6DB3506E"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Hartimi dhe propozimi i ndryshimeve nënligjore për të siguruar financim të qëndrueshëm për strukturat e specializuara të krimit kibernetik dhe modernizime të vazhdueshme teknologjike.</w:t>
      </w:r>
    </w:p>
    <w:p w14:paraId="46B59C1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40333AD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Progresi i modernizimit të infrastrukturës laboratorike të IPSh dhe statusi i akreditimit ISO.</w:t>
      </w:r>
    </w:p>
    <w:p w14:paraId="0864FAF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testeve kriminalistike të kompletuara dhe koha mesatare e përpunimit të çështjes.</w:t>
      </w:r>
    </w:p>
    <w:p w14:paraId="24FC735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specialistëve kriminalistikë të trajnuar dhe akredituar.</w:t>
      </w:r>
    </w:p>
    <w:p w14:paraId="03E12DB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Institucionet përgjegjëse:</w:t>
      </w:r>
      <w:r w:rsidRPr="002128A6">
        <w:rPr>
          <w:rFonts w:ascii="Garamond" w:hAnsi="Garamond" w:cs="Garamond"/>
        </w:rPr>
        <w:t xml:space="preserve"> Policia e Shtetit.</w:t>
      </w:r>
    </w:p>
    <w:p w14:paraId="70A2A06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mbështetëse: </w:t>
      </w:r>
      <w:r w:rsidRPr="002128A6">
        <w:rPr>
          <w:rFonts w:ascii="Garamond" w:hAnsi="Garamond" w:cs="Garamond"/>
        </w:rPr>
        <w:t>Ministria e Drejtësisë, Prokuroria e Posaçme, Byroja Kombëtare e Hetimit, Agjencia e Inteligjencës Financiare, Agjencia Shtetërore për të Drejtat dhe Mbrojtjen e Fëmijës, Shërbimi Informativ i Shtetit, Drejtoria e Përgjithshme e Tatimeve, Drejtoria e Përgjithshme e Doganave, Banka e Shqipërisë, Njësia për Mbrojtjen e Fëmijës, Prokuroria e Përgjithshme, Ministria e Arsimit; Autoriteti Kombëtar për Sigurinë Kibernetike;</w:t>
      </w:r>
    </w:p>
    <w:p w14:paraId="29F0D66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175EFE39"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Numri i çështjeve penale që lidhen me krimin kibernetik dhe numri i personave të dërguar për gjykim.</w:t>
      </w:r>
    </w:p>
    <w:p w14:paraId="324B9664" w14:textId="7DF54E3E"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lastRenderedPageBreak/>
        <w:t xml:space="preserve">Vlera bazë: </w:t>
      </w:r>
      <w:r w:rsidRPr="002128A6">
        <w:rPr>
          <w:rFonts w:ascii="Garamond" w:hAnsi="Garamond" w:cs="Garamond"/>
        </w:rPr>
        <w:t>Viti 2025: Prokuroria e Përgjithshme: Nr. total i procedimeve të regjistruara: 206; Nr. total i procedimeve të dërguara në gjykatë: 17; Nr. total i të pandehurve të regjistruar: 29; Nr. total i të pandehurve të dërguar në gjykatë: 24. *(Nenet: 74/a; 84/a; 119/a; 119/b; 143/b; 186/a; 192/b; 293/a; 293/b; 293/c; 293/ç)</w:t>
      </w:r>
      <w:r w:rsidR="00D86AE7" w:rsidRPr="002128A6">
        <w:rPr>
          <w:rFonts w:ascii="Garamond" w:hAnsi="Garamond" w:cs="Garamond"/>
        </w:rPr>
        <w:t>;</w:t>
      </w:r>
    </w:p>
    <w:p w14:paraId="18D55153" w14:textId="5D13146C"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w:t>
      </w:r>
      <w:r w:rsidR="00D86AE7" w:rsidRPr="002128A6">
        <w:rPr>
          <w:rFonts w:ascii="Garamond" w:hAnsi="Garamond" w:cs="Garamond"/>
          <w:b/>
          <w:bCs/>
        </w:rPr>
        <w:t>m</w:t>
      </w:r>
      <w:r w:rsidRPr="002128A6">
        <w:rPr>
          <w:rFonts w:ascii="Garamond" w:hAnsi="Garamond" w:cs="Garamond"/>
          <w:b/>
          <w:bCs/>
        </w:rPr>
        <w:t xml:space="preserve">ë 2030: </w:t>
      </w:r>
      <w:r w:rsidRPr="002128A6">
        <w:rPr>
          <w:rFonts w:ascii="Garamond" w:hAnsi="Garamond" w:cs="Garamond"/>
        </w:rPr>
        <w:t>Do të konfirmohet në vitin 2026</w:t>
      </w:r>
      <w:r w:rsidR="00D86AE7" w:rsidRPr="002128A6">
        <w:rPr>
          <w:rFonts w:ascii="Garamond" w:hAnsi="Garamond" w:cs="Garamond"/>
        </w:rPr>
        <w:t>.</w:t>
      </w:r>
    </w:p>
    <w:p w14:paraId="1918A9CB" w14:textId="77777777" w:rsidR="0025426C" w:rsidRPr="002128A6" w:rsidRDefault="0025426C" w:rsidP="0025426C">
      <w:pPr>
        <w:pStyle w:val="Heading3"/>
        <w:spacing w:before="0" w:after="0" w:line="240" w:lineRule="auto"/>
        <w:ind w:firstLine="284"/>
        <w:jc w:val="both"/>
        <w:rPr>
          <w:rFonts w:ascii="Garamond" w:hAnsi="Garamond" w:cs="Garamond"/>
          <w:b/>
          <w:bCs/>
          <w:color w:val="auto"/>
          <w:sz w:val="24"/>
          <w:szCs w:val="24"/>
        </w:rPr>
      </w:pPr>
      <w:r w:rsidRPr="002128A6">
        <w:rPr>
          <w:rFonts w:ascii="Garamond" w:hAnsi="Garamond" w:cs="Garamond"/>
          <w:b/>
          <w:bCs/>
          <w:color w:val="auto"/>
          <w:sz w:val="24"/>
          <w:szCs w:val="24"/>
        </w:rPr>
        <w:t xml:space="preserve">Objektivi Specifik 2.5: Shërbime kriminalistike të akredituara dhe të cilësisë së lartë, të cilat garantojnë integritetin, besueshmërinë dhe pranueshmërinë e provave </w:t>
      </w:r>
    </w:p>
    <w:p w14:paraId="623690B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Planifikimi strategjik për të pasur shërbim kriminalistik të akredituar dhe të fortë përbën një komponent kyç në garantimin e integritetit të provave brenda sistemit të drejtësisë penale. Kjo qasje bazohet në zbatimin rigoroz të standardeve ndërkombëtare të akreditimit, si ISO 17025, duke siguruar kompetencë teknike, paanshmëri dhe besueshmëri të analizave kriminalistike. Një strukturë e tillë përforcon transparencën institucionale dhe forcon zinxhirin e ruajtjes, duke kontribuar drejtpërdrejt në legjitimitetin e vendimmarrjes gjyqësore dhe forcimin e sundimit të ligjit. </w:t>
      </w:r>
    </w:p>
    <w:p w14:paraId="625B5AC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65B6865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IPSh plotësisht i modernizuar me disiplina kriminalistike të zgjeruara dhe akreditim ISO.</w:t>
      </w:r>
    </w:p>
    <w:p w14:paraId="264DAA9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Reduktim i çështjeve kriminalistike të prapambetura dhe afate më të shpejta të finalizimit të çështjes.</w:t>
      </w:r>
    </w:p>
    <w:p w14:paraId="0C95AED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3: </w:t>
      </w:r>
      <w:r w:rsidRPr="002128A6">
        <w:rPr>
          <w:rFonts w:ascii="Garamond" w:hAnsi="Garamond" w:cs="Garamond"/>
        </w:rPr>
        <w:t>Cilësi dhe pranueshmëri e përmirësuar e provave kriminalistike në ndjekjet penale.</w:t>
      </w:r>
    </w:p>
    <w:p w14:paraId="6561DF2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Ky Objektiv Specifik do të zbatohet përmes Masave të mëposhtme:</w:t>
      </w:r>
    </w:p>
    <w:p w14:paraId="76BA9B9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w:t>
      </w:r>
      <w:r w:rsidRPr="002128A6">
        <w:rPr>
          <w:rFonts w:ascii="Garamond" w:hAnsi="Garamond" w:cs="Garamond"/>
        </w:rPr>
        <w:t>: Miratimi i projektvendimit “Për organizimin dhe funksionimin e Institutit të Policisë Shkencore” dhe hartimi i një plani veprimi bazuar në vendimin e miratuar, ku përcaktohen përgjegjësitë, afatet kohore, burimet dhe modalitetet e monitorimit për të siguruar zbatim efektiv të reformës.</w:t>
      </w:r>
    </w:p>
    <w:p w14:paraId="6FF06B3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2.5.2</w:t>
      </w:r>
      <w:r w:rsidRPr="002128A6">
        <w:rPr>
          <w:rFonts w:ascii="Garamond" w:hAnsi="Garamond" w:cs="Garamond"/>
        </w:rPr>
        <w:t>: Miratimi një plani të detajuar për sistemimin e strukturës së Policisë Shkencore në ambientet e reja, përfshirë planifikimin e hapësirës, zonimin funksional të laboratorëve dhe zonave të provave, kërkesat e sigurisë, masat e sigurisë në punë, afatet kohore të zhvendosjes në faza dhe modalitetet e vazhdimësisë së punës, për të shmangur ndërprerjen e shërbimeve kriminalistike.</w:t>
      </w:r>
    </w:p>
    <w:p w14:paraId="754EEC9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2.5.3</w:t>
      </w:r>
      <w:r w:rsidRPr="002128A6">
        <w:rPr>
          <w:rFonts w:ascii="Garamond" w:hAnsi="Garamond" w:cs="Garamond"/>
        </w:rPr>
        <w:t>: Zbatimi i standardeve minimale të cilësisë për hetimet në vendin e ngjarjes dhe për administrimin e provave nga vendi i ngjarjes deri në sallën e gjyqit, përfshirë procedurat standarde operacionale për sigurimin, dokumentimin, mbledhjen, paketimin, transportimin, ruajtjen, ekzaminimin dhe paraqitjen e provave, me qëllim garantimin e integritetit, gjurmueshmërisë dhe pranueshmërisë së provave.</w:t>
      </w:r>
    </w:p>
    <w:p w14:paraId="6FD6FFD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2.5.4</w:t>
      </w:r>
      <w:r w:rsidRPr="002128A6">
        <w:rPr>
          <w:rFonts w:ascii="Garamond" w:hAnsi="Garamond" w:cs="Garamond"/>
        </w:rPr>
        <w:t>: Krijimi dhe sigurimi i funksionimit të bazave të të dhënave për administrimit të të dhënave të ADN-së dhe daktiloskopike, në përputhje me Ligjin nr. 124/2024 “Për mbrojtjen e të dhënave personale”, përfshirë duke përcaktuar qëllimet e ligjshme të përpunimit, kontrollet e aksesit, rregullat e ruajtjes, gjurmët e auditimit dhe garancitë e sigurisë së të dhënave për të mbrojtur të dhënat personale, ndërsa mundësohet krahasimi efektiv kriminalistik.</w:t>
      </w:r>
    </w:p>
    <w:p w14:paraId="2621FB1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2.5.5</w:t>
      </w:r>
      <w:r w:rsidRPr="002128A6">
        <w:rPr>
          <w:rFonts w:ascii="Garamond" w:hAnsi="Garamond" w:cs="Garamond"/>
        </w:rPr>
        <w:t>: Rishikimi dhe përditësimi i programit fillestar dhe të vazhdueshëm të trajnimit për oficerët e Policisë Shkencore dhe personelin civil të Institutit të Policisë Shkencore, përfshirë vlerësimet e nevojave, përditësimin e kurrikulës, kërkesat e certifikimit/kompetencës dhe modulet praktike të harmonizuara me standardet ISO dhe metodat e reja kriminalistike.</w:t>
      </w:r>
    </w:p>
    <w:p w14:paraId="00AA009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2.5.6</w:t>
      </w:r>
      <w:r w:rsidRPr="002128A6">
        <w:rPr>
          <w:rFonts w:ascii="Garamond" w:hAnsi="Garamond" w:cs="Garamond"/>
        </w:rPr>
        <w:t>: Mundësimi i shkëmbimit me partnerët të të dhënave të automatizuara në fushën e të dhënave të ADN-së dhe daktiloskopike, në bazë të dispozitave të Marrëveshjes PCC Prum, duke siguruar ndërveprueshmëri teknike, kanale të sigurta komunikimi, procedura të standardizuara të kërkimit dhe ndjekjes, si dhe pasjtueshmërinë me kërkesat e mbrojtjes së të dhënave.</w:t>
      </w:r>
    </w:p>
    <w:p w14:paraId="14E6526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2.5.7</w:t>
      </w:r>
      <w:r w:rsidRPr="002128A6">
        <w:rPr>
          <w:rFonts w:ascii="Garamond" w:hAnsi="Garamond" w:cs="Garamond"/>
        </w:rPr>
        <w:t xml:space="preserve">: Arritja e akreditimit të shërbimeve të ofruara nga Instituti i Policisë Shkencore sipas standardeve ISO, i zbatuar në faza, duke prioritizuar disiplinat shkencore me ndikim të lartë, duke </w:t>
      </w:r>
      <w:r w:rsidRPr="002128A6">
        <w:rPr>
          <w:rFonts w:ascii="Garamond" w:hAnsi="Garamond" w:cs="Garamond"/>
        </w:rPr>
        <w:lastRenderedPageBreak/>
        <w:t>kryer auditimet e brendshme, duke adresuar mospërputhjet (identifikimi, dokumentimi, vlerësimi dhe korrigjimi i devijimeve nga standardet e cilësisë së vendosur) dhe duke siguruar përmirësim të vazhdueshëm të cilësisë.</w:t>
      </w:r>
    </w:p>
    <w:p w14:paraId="62F47C0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2.5.8</w:t>
      </w:r>
      <w:r w:rsidRPr="002128A6">
        <w:rPr>
          <w:rFonts w:ascii="Garamond" w:hAnsi="Garamond" w:cs="Garamond"/>
        </w:rPr>
        <w:t>: Hartimi një plani të dedikuar për zbatimin e metodave novatore në shkencat kriminalistike në luftën kundër krimit të organizuar dhe aktiviteteve të tjera kriminale, përfshirë identifikimin e metodave prioritare, pajisjeve dhe trajnimit të kërkuar, procedurat e validimit dhe integrimin në flukset operacionale të punës.</w:t>
      </w:r>
    </w:p>
    <w:p w14:paraId="5846335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2.5.9</w:t>
      </w:r>
      <w:r w:rsidRPr="002128A6">
        <w:rPr>
          <w:rFonts w:ascii="Garamond" w:hAnsi="Garamond" w:cs="Garamond"/>
        </w:rPr>
        <w:t>: Mbështetja dhe forcimi i kapaciteteve për procesin e menaxhimit të cilësisë në nivel rajonal të hetimit të vendngjarjes dhe në nivel qendror, përfshirë përmes procedurave të harmonizuara, mentorimit, kontrolleve të brendshme dhe rishikimeve periodike të cilësisë për të siguruar zbatim konsistent të standardeve në të gjithë vendin.</w:t>
      </w:r>
    </w:p>
    <w:p w14:paraId="182CE4F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2.5.10</w:t>
      </w:r>
      <w:r w:rsidRPr="002128A6">
        <w:rPr>
          <w:rFonts w:ascii="Garamond" w:hAnsi="Garamond" w:cs="Garamond"/>
        </w:rPr>
        <w:t>: Ngritja dhe mirëmbajtja e një regjistri për inventarin e pajisjeve kriminalistike duke identifikuar sistematikisht nevojat për kalibrim, mirëmbajtje, rinovim ose zëvendësim të tyre, përfshirë duke vendosur afate, caktuar përgjegjësi dhe siguruar gjurmueshmërinë e ndërhyrjeve për të mbrojtur besueshmërinë e rezultateve kriminalistike.</w:t>
      </w:r>
    </w:p>
    <w:p w14:paraId="0D5835A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2.5.11</w:t>
      </w:r>
      <w:r w:rsidRPr="002128A6">
        <w:rPr>
          <w:rFonts w:ascii="Garamond" w:hAnsi="Garamond" w:cs="Garamond"/>
        </w:rPr>
        <w:t>: Hartimi i një plani investimi për 1, 3 dhe 5 vjet për ofrimin e shërbimeve të policisë shkencore, përfshirë nevojat e prioritizuara të prokurimit dhe infrastrukturës, buxhetimin dhe burimet e financimit, kërkesat për burime njerëzore dhe trajnim, dhe pikat e referimit të lidhura me akreditimin e shërbimit dhe objektivat e cilësisë.</w:t>
      </w:r>
    </w:p>
    <w:p w14:paraId="0C0E959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2.5.12</w:t>
      </w:r>
      <w:r w:rsidRPr="002128A6">
        <w:rPr>
          <w:rFonts w:ascii="Garamond" w:hAnsi="Garamond" w:cs="Garamond"/>
        </w:rPr>
        <w:t>: Ndërtimi i Serverit të Stacionit të Kontrollit në Distancë për të mundësuar krahasimin e drejtpërdrejtë të të dhënave daktiloskopike në sistemin AFIS Papillon të Institutit të Policisë Shkencore, duke siguruar ndërlidhje të sigurt, kapacitet të mjaftueshëm të serverit, integrim me flukset ekzistuese të punës dhe auditueshmëri të kërkimeve dhe përputhjeve.</w:t>
      </w:r>
    </w:p>
    <w:p w14:paraId="268E9B5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2.5.13</w:t>
      </w:r>
      <w:r w:rsidRPr="002128A6">
        <w:rPr>
          <w:rFonts w:ascii="Garamond" w:hAnsi="Garamond" w:cs="Garamond"/>
        </w:rPr>
        <w:t>: Organizimi i trajnimeve dhe vlerësimeve periodike të kompetencave të ekspertëve të vendngjarjes, përfshirë vlerësimet praktike, proceset e certifikimit/ricertifikimit dhe ngritjen e kapaciteteve të shënjestruara për të garantuar zbatim konsistent të standardeve minimale të cilësisë dhe trajtim të duhur të provave.</w:t>
      </w:r>
    </w:p>
    <w:p w14:paraId="47EA9413" w14:textId="030B33B6"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2.5.14</w:t>
      </w:r>
      <w:r w:rsidRPr="002128A6">
        <w:rPr>
          <w:rFonts w:ascii="Garamond" w:hAnsi="Garamond" w:cs="Garamond"/>
        </w:rPr>
        <w:t>: Integrimi i IPSh në komunitetin ndërkombëtar të shkencave kriminalistike, përfshirë përmes pjesëmarrjes në rrjete përkatëse, shkëmbime dhe aktivitete të krahasimit, me qëllim përshtatjen</w:t>
      </w:r>
      <w:r w:rsidR="00F54824" w:rsidRPr="002128A6">
        <w:rPr>
          <w:rFonts w:ascii="Garamond" w:hAnsi="Garamond" w:cs="Garamond"/>
        </w:rPr>
        <w:t xml:space="preserve"> </w:t>
      </w:r>
      <w:r w:rsidRPr="002128A6">
        <w:rPr>
          <w:rFonts w:ascii="Garamond" w:hAnsi="Garamond" w:cs="Garamond"/>
        </w:rPr>
        <w:t>modeleve, praktikave dhe metodave novatore të përdorura nga vendet e zhvilluara për përfshirjen e tyre në politikat kombëtare të zhvillimit të shërbimit kriminalistik në Shqipëri.</w:t>
      </w:r>
    </w:p>
    <w:p w14:paraId="0D3F889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2.5.15</w:t>
      </w:r>
      <w:r w:rsidRPr="002128A6">
        <w:rPr>
          <w:rFonts w:ascii="Garamond" w:hAnsi="Garamond" w:cs="Garamond"/>
        </w:rPr>
        <w:t>: Rishikimi dhe propozimi i ndryshimeve ligjore në lidhje me mbledhjen e mostrave të ADN-së nga të dyshuarit dhe të arrestuarit, përfshirë duke sqaruar bazën ligjore, garancitë procedurale, kërkesat e zinxhirit të ruajtjes, periudhat e ruajtjes dhe garancitë e mbrojtjes së të dhënave, me qëllim forcimin e efektivitetit hetimor dhe respektimin e të drejtave themelore.</w:t>
      </w:r>
    </w:p>
    <w:p w14:paraId="596749EA" w14:textId="62158AD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2.5.16</w:t>
      </w:r>
      <w:r w:rsidRPr="002128A6">
        <w:rPr>
          <w:rFonts w:ascii="Garamond" w:hAnsi="Garamond" w:cs="Garamond"/>
        </w:rPr>
        <w:t xml:space="preserve">: Përditësimi i programeve të trajnimit me zhvillime të reja teknologjike, bazuar në nevojave të identifikuara dhe zhvillim trajnimeve për sigurimin dhe ekzaminimin e vendngjarjes, përfshirë modulet mbi pajisjet e reja, dokumentimin </w:t>
      </w:r>
      <w:r w:rsidR="00F54824" w:rsidRPr="002128A6">
        <w:rPr>
          <w:rFonts w:ascii="Garamond" w:hAnsi="Garamond" w:cs="Garamond"/>
        </w:rPr>
        <w:t>digjital</w:t>
      </w:r>
      <w:r w:rsidRPr="002128A6">
        <w:rPr>
          <w:rFonts w:ascii="Garamond" w:hAnsi="Garamond" w:cs="Garamond"/>
        </w:rPr>
        <w:t>, parandalimin e kontaminimit dhe integritetin e provave.</w:t>
      </w:r>
    </w:p>
    <w:p w14:paraId="6A8B800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2.5.17</w:t>
      </w:r>
      <w:r w:rsidRPr="002128A6">
        <w:rPr>
          <w:rFonts w:ascii="Garamond" w:hAnsi="Garamond" w:cs="Garamond"/>
        </w:rPr>
        <w:t>: Rishikimi dhe përditësimi i programit fillestar dhe të vazhdueshëm të trajnimit për oficerët e policisë gjyqësore, përfshirë modulet mbi koordinimin efektiv me ekspertët kriminalistë, trajtimin dhe referimin e provave, kërkimin dhe interpretimin e ekspertizave dhe paraqitjen në sallën e gjyqit të konstatimeve kriminalistike.</w:t>
      </w:r>
    </w:p>
    <w:p w14:paraId="04BB8D93" w14:textId="791D27E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2.5.18</w:t>
      </w:r>
      <w:r w:rsidRPr="002128A6">
        <w:rPr>
          <w:rFonts w:ascii="Garamond" w:hAnsi="Garamond" w:cs="Garamond"/>
        </w:rPr>
        <w:t xml:space="preserve">: Forcimi i kapaciteteve teknike dhe profesionale për kryerjen e ekzaminimeve </w:t>
      </w:r>
      <w:r w:rsidR="00F54824" w:rsidRPr="002128A6">
        <w:rPr>
          <w:rFonts w:ascii="Garamond" w:hAnsi="Garamond" w:cs="Garamond"/>
        </w:rPr>
        <w:t>digjital</w:t>
      </w:r>
      <w:r w:rsidRPr="002128A6">
        <w:rPr>
          <w:rFonts w:ascii="Garamond" w:hAnsi="Garamond" w:cs="Garamond"/>
        </w:rPr>
        <w:t xml:space="preserve">e, përfshirë përmes personelit të specializuar, mjeteve moderne kriminalistike </w:t>
      </w:r>
      <w:r w:rsidR="00F54824" w:rsidRPr="002128A6">
        <w:rPr>
          <w:rFonts w:ascii="Garamond" w:hAnsi="Garamond" w:cs="Garamond"/>
        </w:rPr>
        <w:t>digjital</w:t>
      </w:r>
      <w:r w:rsidRPr="002128A6">
        <w:rPr>
          <w:rFonts w:ascii="Garamond" w:hAnsi="Garamond" w:cs="Garamond"/>
        </w:rPr>
        <w:t>e, metodologjive të standardizuara dhe trajnimit të vazhdueshëm për të mbështetur hetimet që përfshijnë pajisjet elektronike, provat</w:t>
      </w:r>
      <w:r w:rsidRPr="002128A6">
        <w:rPr>
          <w:rFonts w:ascii="Garamond" w:hAnsi="Garamond" w:cs="Garamond"/>
          <w:i/>
          <w:iCs/>
        </w:rPr>
        <w:t xml:space="preserve"> </w:t>
      </w:r>
      <w:r w:rsidR="008F549F" w:rsidRPr="002128A6">
        <w:rPr>
          <w:rFonts w:ascii="Garamond" w:hAnsi="Garamond" w:cs="Garamond"/>
          <w:i/>
          <w:iCs/>
        </w:rPr>
        <w:t>online</w:t>
      </w:r>
      <w:r w:rsidRPr="002128A6">
        <w:rPr>
          <w:rFonts w:ascii="Garamond" w:hAnsi="Garamond" w:cs="Garamond"/>
        </w:rPr>
        <w:t xml:space="preserve"> dhe gjurmët </w:t>
      </w:r>
      <w:r w:rsidR="00F54824" w:rsidRPr="002128A6">
        <w:rPr>
          <w:rFonts w:ascii="Garamond" w:hAnsi="Garamond" w:cs="Garamond"/>
        </w:rPr>
        <w:t>digjital</w:t>
      </w:r>
      <w:r w:rsidRPr="002128A6">
        <w:rPr>
          <w:rFonts w:ascii="Garamond" w:hAnsi="Garamond" w:cs="Garamond"/>
        </w:rPr>
        <w:t>e komplekse.</w:t>
      </w:r>
    </w:p>
    <w:p w14:paraId="2A32EBA3"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lastRenderedPageBreak/>
        <w:t>Masa 2.5.19</w:t>
      </w:r>
      <w:r w:rsidRPr="002128A6">
        <w:rPr>
          <w:rFonts w:ascii="Garamond" w:hAnsi="Garamond" w:cs="Garamond"/>
        </w:rPr>
        <w:t>: Hartimi dhe shpërndarja e një udhëzuesi që përditësohet çdo vit, mbi paketimin dhe ruajtjen e provave fizike, problematikat e afateve, si dhe rishikimi i strategjisë për çështjet kriminalistike dhe protokolleve të marrjes në dorëzim, me qëllim që të sigurohet trajtim konsistent i provave dhe forcim i pranueshmërisë dhe besueshmërisë së rezultateve kriminalistike.</w:t>
      </w:r>
    </w:p>
    <w:p w14:paraId="7E869EA2"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Për të mbështetur arritjen e këtyre Masave, do të zbatohen Aktivitetet e mëposhtme:</w:t>
      </w:r>
    </w:p>
    <w:p w14:paraId="0D80A590" w14:textId="108F1E2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w:t>
      </w:r>
    </w:p>
    <w:p w14:paraId="1B5C50C5" w14:textId="048A4CF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Finalizimi dhe miratimi i projektvendimit për organizimin dhe funksionimin e IPSh-së, duke siguruar harmonizim me kërkesat ISO 17025 dhe modelet ndërkombëtare të qeverisjes kriminalistike.</w:t>
      </w:r>
    </w:p>
    <w:p w14:paraId="3F9345AC" w14:textId="1BF6FAE5"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Hartimi i </w:t>
      </w:r>
      <w:r w:rsidRPr="002128A6">
        <w:rPr>
          <w:rFonts w:ascii="Garamond" w:hAnsi="Garamond" w:cs="Garamond"/>
          <w:b/>
          <w:bCs/>
        </w:rPr>
        <w:t>një plan veprimi të detajuar për zbatim, që përcakton përgjegjësitë, afatet kohore, nevojat për burime dhe modalitetet e monitorimit për të udhëhequr procesin e reformës.</w:t>
      </w:r>
    </w:p>
    <w:p w14:paraId="0FE4A27E" w14:textId="6CF210C7"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2.5.2</w:t>
      </w:r>
    </w:p>
    <w:p w14:paraId="513A686E" w14:textId="4D49E42A"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cs="Symbol"/>
        </w:rPr>
        <w:t xml:space="preserve">· </w:t>
      </w:r>
      <w:r w:rsidRPr="002128A6">
        <w:rPr>
          <w:rFonts w:ascii="Garamond" w:hAnsi="Garamond" w:cs="Garamond"/>
        </w:rPr>
        <w:t>Përgatitja e planit të sistemimit gjithëpërfshirës që detajon zonën e laboratorit, zonat e trajtimit të provave, sistemet e sigurisë dhe kërkesat e sigurisë në punë për ambientet e reja të IPSh-së.</w:t>
      </w:r>
    </w:p>
    <w:p w14:paraId="48C527B1" w14:textId="49F87124"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b/>
          <w:bCs/>
        </w:rPr>
        <w:t>- Zbatimi i një kalendari për zhvendosjen me faza, duke siguruar vazhdimësinë e shërbimeve kriminalistike, përfshirë rregullimet e kontingjencës për të shmangur ndërprerjen e shërbimit.</w:t>
      </w:r>
    </w:p>
    <w:p w14:paraId="4E908213" w14:textId="02882D08"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2.5.3</w:t>
      </w:r>
    </w:p>
    <w:p w14:paraId="18DAE567" w14:textId="1CF45A30"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Hartimi dhe zbatimi i procedurave standarde operacionale</w:t>
      </w:r>
      <w:r w:rsidR="00F54824" w:rsidRPr="002128A6">
        <w:rPr>
          <w:rFonts w:ascii="Garamond" w:hAnsi="Garamond" w:cs="Garamond"/>
        </w:rPr>
        <w:t xml:space="preserve"> </w:t>
      </w:r>
      <w:r w:rsidRPr="002128A6">
        <w:rPr>
          <w:rFonts w:ascii="Garamond" w:hAnsi="Garamond" w:cs="Garamond"/>
        </w:rPr>
        <w:t xml:space="preserve">për sigurimin, dokumentimin, mbledhjen, paketimin, transportimin, ruajtjen dhe paraqitjen e provave nga vendngjarja deri në sallën e gjyqit. </w:t>
      </w:r>
    </w:p>
    <w:p w14:paraId="209F535F" w14:textId="78C1866A"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b/>
          <w:bCs/>
        </w:rPr>
        <w:t>- Kryeja e auditimeve periodike dhe vlerësime praktike për të siguruar zbatim konsistent të procedurave standarde operacionale dhe gjurmueshmëri të plotë të provave gjatë gjithë zinxhirit të ruajtjes.</w:t>
      </w:r>
    </w:p>
    <w:p w14:paraId="1B4E2AC5" w14:textId="1811888C"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2.5.4</w:t>
      </w:r>
    </w:p>
    <w:p w14:paraId="20CB9771" w14:textId="673231F3"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Instalimi dhe vënia në punë e bazës së të dhënave të ADN-së dhe gjurmëve të gishtave, me qëllime të qarta përpunimi, kontrolle aksesi, rregulla ruajtjeje dhe gjurmë auditimi, në përputhje me Ligjin nr. 124/2024 për mbrojtjen e të dhënave personale. </w:t>
      </w:r>
    </w:p>
    <w:p w14:paraId="3D7D95A7" w14:textId="72CC393A"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Zbatimi i garancive të sigurisë së të dhënave dhe kontrolleve periodike të cilësisë, për të siguruar saktësinë, integritetin dhe përdorimin e ligjshëm të të dhënave kriminalistike.</w:t>
      </w:r>
    </w:p>
    <w:p w14:paraId="15E30C13" w14:textId="46192A1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2.5.5</w:t>
      </w:r>
    </w:p>
    <w:p w14:paraId="4252F7AA" w14:textId="188A0A5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Kryerja e vlerësimeve të nevojave për trajnim dhe përditësimi i kurrikulave, me qëllim që të reflektohen standardet ISO, metodat e reja kriminalistike dhe teknologjitë e reja. </w:t>
      </w:r>
    </w:p>
    <w:p w14:paraId="03F40888" w14:textId="47E51A45"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Zbatimi i moduleve të trajnimit bazuar në certifikim dhe kompetencë, përfshirë ushtrime praktike laboratorike dhe vlerësime </w:t>
      </w:r>
      <w:r w:rsidRPr="002128A6">
        <w:rPr>
          <w:rFonts w:ascii="Garamond" w:hAnsi="Garamond" w:cs="Garamond"/>
          <w:b/>
          <w:bCs/>
        </w:rPr>
        <w:t>të bazuara në skenarë.</w:t>
      </w:r>
    </w:p>
    <w:p w14:paraId="43F7FFBB" w14:textId="7B3DE8CE"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2.5.6</w:t>
      </w:r>
    </w:p>
    <w:p w14:paraId="1C1A76DD" w14:textId="605F6C00"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Sigurimi i ndërveprueshmërisë teknike dhe kanaleve të sigurta të komunikimit për shkëmbimin e automatizuar të të dhënave të ADN-së dhe gjurmëve të gishtave me shtetet partnere, sipas Marrëveshjes PCC Prüm. </w:t>
      </w:r>
    </w:p>
    <w:p w14:paraId="3E4EAC2A" w14:textId="085F6EA9"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Hartimi i procedurave të standardizuara për kërkimin, protokollet e ndjekjes dhe përputhshmërinë me garancitë e mbrojtjes së të dhënave, me qëllim që të sigurohet bashkëpunim kriminalistik ndërkufitar i ligjshëm dhe efikas.</w:t>
      </w:r>
    </w:p>
    <w:p w14:paraId="6B2FA3B8" w14:textId="0DFE30BE"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2.5.7</w:t>
      </w:r>
    </w:p>
    <w:p w14:paraId="1DA8A93B" w14:textId="373C3AB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Prioritizimi i disiplinave kriminalistike me ndikim të lartë për akreditim fillestar dhe kryerja e auditimeve të brendshme për identifikimin dhe korrigjimin e mospërputhjeve.</w:t>
      </w:r>
    </w:p>
    <w:p w14:paraId="6A70F8C0" w14:textId="107339DC"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Zbatimi i proceseve të përmirësimit të vazhdueshëm të cilësisë, </w:t>
      </w:r>
      <w:r w:rsidRPr="002128A6">
        <w:rPr>
          <w:rFonts w:ascii="Garamond" w:hAnsi="Garamond" w:cs="Garamond"/>
          <w:b/>
          <w:bCs/>
        </w:rPr>
        <w:t>përfshirë përditësimet e dokumentacionit, veprimet korrigjuese dhe rishikimet periodike të menaxhimit.</w:t>
      </w:r>
    </w:p>
    <w:p w14:paraId="0B03C00F" w14:textId="0E836AF0"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2.5.8</w:t>
      </w:r>
    </w:p>
    <w:p w14:paraId="29EBBEEA" w14:textId="5A154CBF"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lastRenderedPageBreak/>
        <w:t>-</w:t>
      </w:r>
      <w:r w:rsidR="00F54824" w:rsidRPr="002128A6">
        <w:rPr>
          <w:rFonts w:ascii="Garamond" w:hAnsi="Garamond" w:cs="Garamond"/>
        </w:rPr>
        <w:t xml:space="preserve"> </w:t>
      </w:r>
      <w:r w:rsidRPr="002128A6">
        <w:rPr>
          <w:rFonts w:ascii="Garamond" w:hAnsi="Garamond" w:cs="Garamond"/>
        </w:rPr>
        <w:t xml:space="preserve">Identifikimi i metodave kriminalistike prioritare novatore (p.sh., kriminalistika </w:t>
      </w:r>
      <w:r w:rsidR="00F54824" w:rsidRPr="002128A6">
        <w:rPr>
          <w:rFonts w:ascii="Garamond" w:hAnsi="Garamond" w:cs="Garamond"/>
        </w:rPr>
        <w:t>digjital</w:t>
      </w:r>
      <w:r w:rsidRPr="002128A6">
        <w:rPr>
          <w:rFonts w:ascii="Garamond" w:hAnsi="Garamond" w:cs="Garamond"/>
        </w:rPr>
        <w:t xml:space="preserve">e, ADN e shpejtë, balistika e avancuar) dhe përcaktimi i nevojave për pajisje, trajnim dhe validim. </w:t>
      </w:r>
    </w:p>
    <w:p w14:paraId="5407EB14" w14:textId="281EB065"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b/>
          <w:bCs/>
        </w:rPr>
        <w:t>- Integrimi i metodave të validuara në flukset operacionale të punës, për të rritur kapacitetin hetimor kundër krimit të organizuar.</w:t>
      </w:r>
    </w:p>
    <w:p w14:paraId="4ED23076" w14:textId="37B3AE15" w:rsidR="0025426C" w:rsidRPr="002128A6" w:rsidRDefault="00EF05E1" w:rsidP="0025426C">
      <w:pPr>
        <w:spacing w:after="0" w:line="240" w:lineRule="auto"/>
        <w:ind w:firstLine="284"/>
        <w:jc w:val="both"/>
        <w:rPr>
          <w:rFonts w:ascii="Garamond" w:hAnsi="Garamond" w:cs="Garamond"/>
        </w:rPr>
      </w:pPr>
      <w:r w:rsidRPr="002128A6">
        <w:rPr>
          <w:rFonts w:ascii="Garamond" w:hAnsi="Garamond" w:cs="Garamond"/>
          <w:b/>
          <w:bCs/>
        </w:rPr>
        <w:t xml:space="preserve">Aktivitete për masën </w:t>
      </w:r>
      <w:r w:rsidR="0025426C" w:rsidRPr="002128A6">
        <w:rPr>
          <w:rFonts w:ascii="Garamond" w:hAnsi="Garamond" w:cs="Garamond"/>
          <w:b/>
          <w:bCs/>
        </w:rPr>
        <w:t>2.5.9</w:t>
      </w:r>
    </w:p>
    <w:p w14:paraId="709A02AB" w14:textId="4D3212E3" w:rsidR="0025426C" w:rsidRPr="002128A6" w:rsidRDefault="00D75A11"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Harmonizimi i procedurave të hetimit të vendngjarjes në të gjitha rajonet, përmes mentorimit, kontrolleve të brendshme dhe rishikimeve periodike të cilësisë. </w:t>
      </w:r>
    </w:p>
    <w:p w14:paraId="4DF67785" w14:textId="12E178E9"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Ngritja e një kornize kombëtare </w:t>
      </w:r>
      <w:r w:rsidRPr="002128A6">
        <w:rPr>
          <w:rFonts w:ascii="Garamond" w:hAnsi="Garamond" w:cs="Garamond"/>
          <w:b/>
          <w:bCs/>
        </w:rPr>
        <w:t>të menaxhimit të cilësisë, duke siguruar zbatim konsistent të standardeve kriminalistike në të gjithë vendin.</w:t>
      </w:r>
    </w:p>
    <w:p w14:paraId="035409FA" w14:textId="04F052AB"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2.5.10</w:t>
      </w:r>
    </w:p>
    <w:p w14:paraId="4A0F7B6F" w14:textId="5E514AD8"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Krijimi i një regjistri të centralizuar që dokumenton kalibrimin, mirëmbajtjen, rinovimin dhe nevojat e zëvendësimit për të gjitha pajisjet kriminalistike. </w:t>
      </w:r>
    </w:p>
    <w:p w14:paraId="4EFF3355" w14:textId="7BCBF205"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b/>
          <w:bCs/>
        </w:rPr>
        <w:t>- Zbatimi i mirëmbajtjes së planifikuar dhe procedurave të gjurmueshmërisë, për të siguruar besueshmërinë dhe saktësinë e rezultateve kriminalistike.</w:t>
      </w:r>
    </w:p>
    <w:p w14:paraId="2F6124D6" w14:textId="218B770C"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2.5.11</w:t>
      </w:r>
    </w:p>
    <w:p w14:paraId="3CCF013B" w14:textId="4954F639"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Hartimi i planeve shumëvjeçare të investimeve që përfshijnë prioritetet e prokurimit, nevojat për infrastrukturë, kërkesat e burimeve njerëzore dhe programet e trajnimit. </w:t>
      </w:r>
    </w:p>
    <w:p w14:paraId="6C6F05F4" w14:textId="75D5E93E"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Lidhja e prioriteteve të investimeve me objektivat e akreditimit dhe synimet </w:t>
      </w:r>
      <w:r w:rsidRPr="002128A6">
        <w:rPr>
          <w:rFonts w:ascii="Garamond" w:hAnsi="Garamond" w:cs="Garamond"/>
          <w:b/>
          <w:bCs/>
        </w:rPr>
        <w:t>e përmirësimit të cilësisë, për të siguruar zhvillim strategjik të shërbimeve kriminalistike.</w:t>
      </w:r>
    </w:p>
    <w:p w14:paraId="7A445374" w14:textId="2D573D76"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2.5.12</w:t>
      </w:r>
    </w:p>
    <w:p w14:paraId="2A42860C" w14:textId="0B9DD414"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b/>
          <w:bCs/>
        </w:rPr>
        <w:t xml:space="preserve">- Ndërtimi dhe konfigurimi </w:t>
      </w:r>
      <w:r w:rsidRPr="002128A6">
        <w:rPr>
          <w:rFonts w:ascii="Garamond" w:hAnsi="Garamond" w:cs="Garamond"/>
        </w:rPr>
        <w:t>i Serverit të Stacionit të Kontrollit në Distancë për të mundësuar krahasimin e drejtpërdrejtë të të dhënave daktiloskopike në sistemin AFIS Papillon.</w:t>
      </w:r>
    </w:p>
    <w:p w14:paraId="551D4C68" w14:textId="014AC630"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2.5.13</w:t>
      </w:r>
    </w:p>
    <w:p w14:paraId="600907A6" w14:textId="17F16395"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Ofrimi i programeve periodike të trajnimit dhe ricertifikimi për ekspertët e vendngjarjes, përfshirë vlerësimet praktike dhe ushtrimet e bazuara në skenarë. </w:t>
      </w:r>
    </w:p>
    <w:p w14:paraId="55774B49" w14:textId="0A6E2782"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Kryerja e vlerësimeve periodike të kompetencave, për të garantuar zbatim konsistent të standardeve të cilësisë dhe trajtim të duhur të provave.</w:t>
      </w:r>
    </w:p>
    <w:p w14:paraId="5C902382" w14:textId="59A34FF8"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2.5.14</w:t>
      </w:r>
    </w:p>
    <w:p w14:paraId="20AF12F6" w14:textId="5A9AAD0D"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Pjesëmarrja në rrjetet ndërkombëtare kriminalistike, shkëmbimet dhe nismat e krahasimit, për të përdorur praktikat më të mira dhe metoda novatore.</w:t>
      </w:r>
    </w:p>
    <w:p w14:paraId="77772DF2" w14:textId="0B17A9ED"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Përfshirja e modeleve ndërkombëtarë dhe i mësimeve të nxjerra në politikat kombëtare të zhvillimit të shërbimit kriminalistik.</w:t>
      </w:r>
    </w:p>
    <w:p w14:paraId="322AA12A" w14:textId="4EE1F35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2.5.15</w:t>
      </w:r>
    </w:p>
    <w:p w14:paraId="287592AA" w14:textId="68F87BC3"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Kryerja e analizës së boshllëqeve ligjore dhe propozimi i ndryshimeve që sqarojnë bazën ligjore, garancitë procedurale, rregullat e zinxhirit të ruajtjes, periudhat e ruajtjes dhe garancitë e mbrojtjes së të dhënave. </w:t>
      </w:r>
    </w:p>
    <w:p w14:paraId="41884565" w14:textId="5C78B112"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b/>
          <w:bCs/>
        </w:rPr>
        <w:t>- Garantimi që ndryshimet e propozuara të forcojnë efektivitetin hetimor, ndërsa të drejtat themelore respektohen plotësisht.</w:t>
      </w:r>
    </w:p>
    <w:p w14:paraId="23DB1207" w14:textId="052F60F1"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2.5.16</w:t>
      </w:r>
    </w:p>
    <w:p w14:paraId="264F6452" w14:textId="49EE185C"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Integrimi, në kurrikulat e trajnimit, i pajisjeve të reja, i mjeteve të dokumentimit </w:t>
      </w:r>
      <w:r w:rsidR="00F54824" w:rsidRPr="002128A6">
        <w:rPr>
          <w:rFonts w:ascii="Garamond" w:hAnsi="Garamond" w:cs="Garamond"/>
        </w:rPr>
        <w:t>digjital</w:t>
      </w:r>
      <w:r w:rsidRPr="002128A6">
        <w:rPr>
          <w:rFonts w:ascii="Garamond" w:hAnsi="Garamond" w:cs="Garamond"/>
        </w:rPr>
        <w:t xml:space="preserve">, teknikave të parandalimit të kontaminimit dhe moduleve të integritetit të provave. </w:t>
      </w:r>
    </w:p>
    <w:p w14:paraId="4EC86618" w14:textId="186D04EF"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b/>
          <w:bCs/>
        </w:rPr>
        <w:t>- Ofrimi i sesioneve praktike të trajnimit mbi sigurimin dhe ekzaminimin e vendngjarjes, duke përdorur metodologji të përditësuara.</w:t>
      </w:r>
    </w:p>
    <w:p w14:paraId="79018B6B" w14:textId="66862F5A"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2.5.17</w:t>
      </w:r>
    </w:p>
    <w:p w14:paraId="4B4E8CDE" w14:textId="559D0AFB"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Përditësimi i moduleve të trajnimit për oficerët e policisë gjyqësore, mbi koordinimin efektiv me ekspertët kriminalistë, trajtimin e provave dhe procedurat e referimit. </w:t>
      </w:r>
    </w:p>
    <w:p w14:paraId="1F7F0A60" w14:textId="17883AB1"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rPr>
        <w:t xml:space="preserve">- Ofrimi i trajnimit mbi </w:t>
      </w:r>
      <w:r w:rsidRPr="002128A6">
        <w:rPr>
          <w:rFonts w:ascii="Garamond" w:hAnsi="Garamond" w:cs="Garamond"/>
          <w:b/>
          <w:bCs/>
        </w:rPr>
        <w:t>kërkimin, interpretimin dhe paraqitjen e ekzaminimeve kriminalistike në gjykatë për të forcuar fuqinë provuese.</w:t>
      </w:r>
    </w:p>
    <w:p w14:paraId="67BDC3AA" w14:textId="7FF7223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lastRenderedPageBreak/>
        <w:t xml:space="preserve">Aktivitete për masën </w:t>
      </w:r>
      <w:r w:rsidR="0025426C" w:rsidRPr="002128A6">
        <w:rPr>
          <w:rFonts w:ascii="Garamond" w:hAnsi="Garamond" w:cs="Garamond"/>
          <w:b/>
          <w:bCs/>
        </w:rPr>
        <w:t>2.5.18</w:t>
      </w:r>
    </w:p>
    <w:p w14:paraId="760832D6" w14:textId="4452527E"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Rritja e personelit të specializuar dhe prokurimi i mjeteve </w:t>
      </w:r>
      <w:r w:rsidR="00F54824" w:rsidRPr="002128A6">
        <w:rPr>
          <w:rFonts w:ascii="Garamond" w:hAnsi="Garamond" w:cs="Garamond"/>
        </w:rPr>
        <w:t>digjital</w:t>
      </w:r>
      <w:r w:rsidRPr="002128A6">
        <w:rPr>
          <w:rFonts w:ascii="Garamond" w:hAnsi="Garamond" w:cs="Garamond"/>
        </w:rPr>
        <w:t xml:space="preserve">e moderne të kriminalistikës, për të mbështetur ekzaminimet e pajisjeve elektronike, provave </w:t>
      </w:r>
      <w:r w:rsidR="008F549F" w:rsidRPr="002128A6">
        <w:rPr>
          <w:rFonts w:ascii="Garamond" w:hAnsi="Garamond" w:cs="Garamond"/>
          <w:i/>
          <w:iCs/>
        </w:rPr>
        <w:t>online</w:t>
      </w:r>
      <w:r w:rsidRPr="002128A6">
        <w:rPr>
          <w:rFonts w:ascii="Garamond" w:hAnsi="Garamond" w:cs="Garamond"/>
          <w:i/>
          <w:iCs/>
        </w:rPr>
        <w:t xml:space="preserve"> </w:t>
      </w:r>
      <w:r w:rsidRPr="002128A6">
        <w:rPr>
          <w:rFonts w:ascii="Garamond" w:hAnsi="Garamond" w:cs="Garamond"/>
        </w:rPr>
        <w:t xml:space="preserve">dhe gjurmëve </w:t>
      </w:r>
      <w:r w:rsidR="00F54824" w:rsidRPr="002128A6">
        <w:rPr>
          <w:rFonts w:ascii="Garamond" w:hAnsi="Garamond" w:cs="Garamond"/>
        </w:rPr>
        <w:t>digjital</w:t>
      </w:r>
      <w:r w:rsidRPr="002128A6">
        <w:rPr>
          <w:rFonts w:ascii="Garamond" w:hAnsi="Garamond" w:cs="Garamond"/>
        </w:rPr>
        <w:t xml:space="preserve">e komplekse. </w:t>
      </w:r>
    </w:p>
    <w:p w14:paraId="33933307" w14:textId="3174C836"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Zbatimi i metodologjive të standardizuara dhe trajnimit të vazhdueshëm për të siguruar produkte </w:t>
      </w:r>
      <w:r w:rsidR="00F54824" w:rsidRPr="002128A6">
        <w:rPr>
          <w:rFonts w:ascii="Garamond" w:hAnsi="Garamond" w:cs="Garamond"/>
        </w:rPr>
        <w:t>digjital</w:t>
      </w:r>
      <w:r w:rsidRPr="002128A6">
        <w:rPr>
          <w:rFonts w:ascii="Garamond" w:hAnsi="Garamond" w:cs="Garamond"/>
        </w:rPr>
        <w:t>e kriminalistike të cilësisë së lartë.</w:t>
      </w:r>
    </w:p>
    <w:p w14:paraId="311973FA" w14:textId="0FA89F8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2.5.19</w:t>
      </w:r>
    </w:p>
    <w:p w14:paraId="38830EE5" w14:textId="1374CE21"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xml:space="preserve">- Hartimi dhe përditësimi i një udhëzuesi vjetor mbi paketimin, ruajtjen dhe trajtimin e provave fizike, përfshirë problematikat e afateve dhe protokollet e marrjes në dorëzim. </w:t>
      </w:r>
    </w:p>
    <w:p w14:paraId="16DF2F33" w14:textId="453B859B"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Shpërndarja e udhëzuesit te të gjitha institucionet përkatëse dhe kryerja e trajnimit për të siguruar zbatim konsistent dhe pranueshmëri të përmirësuar të provave kriminalistike.</w:t>
      </w:r>
    </w:p>
    <w:p w14:paraId="0B22805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45A3122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Progresi i modernizimit të infrastrukturës laboratorike të IPSh dhe statusi i akreditimit ISO.</w:t>
      </w:r>
    </w:p>
    <w:p w14:paraId="1BFD308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testeve kriminalistike të finalizuara dhe koha mesatare e përpunimit të çështjes.</w:t>
      </w:r>
    </w:p>
    <w:p w14:paraId="5B3A646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specialistëve kriminalistë të trajnuar dhe të akredituar.</w:t>
      </w:r>
    </w:p>
    <w:p w14:paraId="6A2AD5A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përgjegjëse: </w:t>
      </w:r>
      <w:r w:rsidRPr="002128A6">
        <w:rPr>
          <w:rFonts w:ascii="Garamond" w:hAnsi="Garamond" w:cs="Garamond"/>
        </w:rPr>
        <w:t>Ministria e Punëve të Brendshme, Policia e Shtetit, Instituti i Policisë Shkencore, FFA, Akademia e Sigurisë;</w:t>
      </w:r>
    </w:p>
    <w:p w14:paraId="08543D4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mbështetëse: </w:t>
      </w:r>
      <w:r w:rsidRPr="002128A6">
        <w:rPr>
          <w:rFonts w:ascii="Garamond" w:hAnsi="Garamond" w:cs="Garamond"/>
        </w:rPr>
        <w:t>FFA, Ministria e Drejtësisë, Instituti i Mjekësisë Ligjore.</w:t>
      </w:r>
    </w:p>
    <w:p w14:paraId="22BF375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1CBBC693"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Koha mesatare e përpunimit të çështjeve të forensikës/kriminalistikës (ditë) dhe mbulimi i akreditimit.</w:t>
      </w:r>
    </w:p>
    <w:p w14:paraId="6ABDBC6F" w14:textId="40036DBE"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Vlera bazë: </w:t>
      </w:r>
      <w:r w:rsidRPr="002128A6">
        <w:rPr>
          <w:rFonts w:ascii="Garamond" w:hAnsi="Garamond" w:cs="Garamond"/>
        </w:rPr>
        <w:t>2025 – 0</w:t>
      </w:r>
      <w:r w:rsidR="00D86AE7" w:rsidRPr="002128A6">
        <w:rPr>
          <w:rFonts w:ascii="Garamond" w:hAnsi="Garamond" w:cs="Garamond"/>
        </w:rPr>
        <w:t>.</w:t>
      </w:r>
      <w:r w:rsidRPr="002128A6">
        <w:rPr>
          <w:rFonts w:ascii="Garamond" w:hAnsi="Garamond" w:cs="Garamond"/>
        </w:rPr>
        <w:t xml:space="preserve"> </w:t>
      </w:r>
    </w:p>
    <w:p w14:paraId="0BF2CFA9" w14:textId="33162D61" w:rsidR="0025426C" w:rsidRPr="002128A6" w:rsidRDefault="0025426C" w:rsidP="0025426C">
      <w:pPr>
        <w:spacing w:after="0" w:line="240" w:lineRule="auto"/>
        <w:ind w:firstLine="284"/>
        <w:rPr>
          <w:rFonts w:ascii="Garamond" w:hAnsi="Garamond" w:cs="Garamond"/>
        </w:rPr>
      </w:pPr>
      <w:r w:rsidRPr="002128A6">
        <w:rPr>
          <w:rFonts w:ascii="Garamond" w:hAnsi="Garamond" w:cs="Garamond"/>
          <w:b/>
          <w:bCs/>
        </w:rPr>
        <w:t xml:space="preserve">Synimi deri </w:t>
      </w:r>
      <w:r w:rsidR="00D86AE7" w:rsidRPr="002128A6">
        <w:rPr>
          <w:rFonts w:ascii="Garamond" w:hAnsi="Garamond" w:cs="Garamond"/>
          <w:b/>
          <w:bCs/>
        </w:rPr>
        <w:t>m</w:t>
      </w:r>
      <w:r w:rsidRPr="002128A6">
        <w:rPr>
          <w:rFonts w:ascii="Garamond" w:hAnsi="Garamond" w:cs="Garamond"/>
          <w:b/>
          <w:bCs/>
        </w:rPr>
        <w:t xml:space="preserve">ë 2030: </w:t>
      </w:r>
      <w:r w:rsidR="00166584" w:rsidRPr="002128A6">
        <w:rPr>
          <w:rFonts w:ascii="Garamond" w:hAnsi="Garamond" w:cs="Garamond"/>
        </w:rPr>
        <w:t>≤</w:t>
      </w:r>
      <w:r w:rsidR="00166584" w:rsidRPr="002128A6">
        <w:rPr>
          <w:rFonts w:ascii="Garamond" w:hAnsi="Garamond" w:cs="Garamond"/>
          <w:b/>
          <w:bCs/>
        </w:rPr>
        <w:t xml:space="preserve"> </w:t>
      </w:r>
      <w:r w:rsidRPr="002128A6">
        <w:rPr>
          <w:rFonts w:ascii="Garamond" w:hAnsi="Garamond" w:cs="Garamond"/>
        </w:rPr>
        <w:t>5 disiplina forensike të akredituara</w:t>
      </w:r>
      <w:r w:rsidR="00D86AE7" w:rsidRPr="002128A6">
        <w:rPr>
          <w:rFonts w:ascii="Garamond" w:hAnsi="Garamond" w:cs="Garamond"/>
        </w:rPr>
        <w:t>.</w:t>
      </w:r>
    </w:p>
    <w:p w14:paraId="321214EB" w14:textId="77777777" w:rsidR="0025426C" w:rsidRPr="002128A6" w:rsidRDefault="0025426C" w:rsidP="0025426C">
      <w:pPr>
        <w:pStyle w:val="Heading3"/>
        <w:spacing w:before="0" w:after="0" w:line="240" w:lineRule="auto"/>
        <w:ind w:firstLine="284"/>
        <w:jc w:val="both"/>
        <w:rPr>
          <w:rFonts w:ascii="Garamond" w:hAnsi="Garamond" w:cs="Garamond"/>
          <w:b/>
          <w:bCs/>
          <w:color w:val="auto"/>
          <w:sz w:val="24"/>
          <w:szCs w:val="24"/>
        </w:rPr>
      </w:pPr>
      <w:r w:rsidRPr="002128A6">
        <w:rPr>
          <w:rFonts w:ascii="Garamond" w:hAnsi="Garamond" w:cs="Garamond"/>
          <w:b/>
          <w:bCs/>
          <w:color w:val="auto"/>
          <w:sz w:val="24"/>
          <w:szCs w:val="24"/>
        </w:rPr>
        <w:t>Objektivi Specifik 2.6: Rritja e efektivitetit në gjurmimin, sekuestrim, konfiskimin dhe ripërdorimin e aseteve, duke hequr sistematikisht të ardhurat kriminale dhe duke i riinvestuar për dobi publike</w:t>
      </w:r>
    </w:p>
    <w:p w14:paraId="7AB948C5"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Hartimi i qasjes strategjike ndaj procesit të identifikimit, gjurmimit, konfiskimit dhe ripërdorimit të aseteve që rrjedhin nga krimi është një komponent thelbësor në arkitekturën e politikave kundër krimit të organizuar, pastrimit të parave dhe korrupsionit. Kjo qasje synon jo vetëm të ndëshkojë aktivitetet kriminale, por edhe të godasë fitimet ekonomike që rezultojnë prej tyre, duke dobësuar drejtpërdrejt strukturat kriminale dhe duke ndërprerë ciklin e paligjshmërisë.</w:t>
      </w:r>
    </w:p>
    <w:p w14:paraId="31299FC2"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Që kjo qasje të jetë efektive, është e nevojshme të vendosen dhe të veprojnë mekanizma të specializuar për të mundësuar identifikimin dhe gjurmimin e aseteve kriminale, si ZRA, zhvillimi i hetimeve paralele financiare, forcimi i bashkëpunimit ndërinstitucional midis agjencive ligjzbatuese, prokurorisë, administratës tatimore dhe institucioneve të inteligjencës financiare, si dhe rritja e kapaciteteve profesionale në përdorimin e mjeteve të avancuara analitike dhe teknologjike. Një aspekt tjetër i rëndësishëm është bashkëpunimi ndërkombëtar, veçanërisht në rastet kur asetet janë shpërndarë jashtë territorit të vendit, duke kërkuar mekanizma efektivë për ndihmë të ndërsjellë juridike dhe zbatimin e vendimeve të huaja të konfiskimit.</w:t>
      </w:r>
    </w:p>
    <w:p w14:paraId="24E2A86D" w14:textId="61DE3BCF"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Vëmendje e veçantë i kushtohet edhe ripërdorimit të aseteve të konfiskuara bazuar në parimet e transparencës, llogaridhënies dhe përdorimit për qëllime publike, si mbështetja për viktimat, forcimi i kapaciteteve institucionale, ose financimi i projekteve sociale dhe komunitare, si dhe ripërdorimi i pasurive të paluajtshme për qëllime sociale, si ndërmarrjet sociale. Kjo jo vetëm rrit efikasitetin e sistemit të drejtësisë penale, por</w:t>
      </w:r>
      <w:r w:rsidR="009F2103" w:rsidRPr="002128A6">
        <w:rPr>
          <w:rFonts w:ascii="Garamond" w:hAnsi="Garamond" w:cs="Garamond"/>
        </w:rPr>
        <w:t>,</w:t>
      </w:r>
      <w:r w:rsidRPr="002128A6">
        <w:rPr>
          <w:rFonts w:ascii="Garamond" w:hAnsi="Garamond" w:cs="Garamond"/>
        </w:rPr>
        <w:t xml:space="preserve"> gjithashtu</w:t>
      </w:r>
      <w:r w:rsidR="009F2103" w:rsidRPr="002128A6">
        <w:rPr>
          <w:rFonts w:ascii="Garamond" w:hAnsi="Garamond" w:cs="Garamond"/>
        </w:rPr>
        <w:t>,</w:t>
      </w:r>
      <w:r w:rsidRPr="002128A6">
        <w:rPr>
          <w:rFonts w:ascii="Garamond" w:hAnsi="Garamond" w:cs="Garamond"/>
        </w:rPr>
        <w:t xml:space="preserve"> forcon besimin publik tek institucionet shtetërore dhe kontribuon në ndërtimin e një shoqërie më të drejtë dhe më rezistente. Autoritetet përkatëse do të angazhohen që të ofrojnë dhe të përditësojnë periodikisht informacionin mbi asetet e konfiskuara, ato të administruara dhe të ripërdorura, përfshirë llojin, vlerën e përafërt, statusin aktual dhe destinacionin përfundimtar ose rezultatin e ripërdorimit të tyre social. Aksesi publik në informacion të besueshëm mbi asetet e konfiskuara, rrit transparencën dhe besimin publik te sistemi i drejtësisë dhe te </w:t>
      </w:r>
      <w:r w:rsidRPr="002128A6">
        <w:rPr>
          <w:rFonts w:ascii="Garamond" w:hAnsi="Garamond" w:cs="Garamond"/>
        </w:rPr>
        <w:lastRenderedPageBreak/>
        <w:t>mekanizmat kundër korrupsionit. Demonstrimi që të ardhurat e paligjshme konfiskohen efektivisht dhe riinvestohen për dobi publike, forcon besimin qytetar dhe bën që rikuperimi i aseteve të kontribuojë konkretisht në zhvillimin social dhe komunitar.</w:t>
      </w:r>
    </w:p>
    <w:p w14:paraId="266413FF" w14:textId="45741FE1"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Agjencia për Administrimin e Pasurive të Sekuestruara dhe të Konfiskuara (AAPSK) do të publikojë një regjistër </w:t>
      </w:r>
      <w:r w:rsidR="008F549F" w:rsidRPr="002128A6">
        <w:rPr>
          <w:rFonts w:ascii="Garamond" w:hAnsi="Garamond" w:cs="Garamond"/>
          <w:i/>
          <w:iCs/>
        </w:rPr>
        <w:t>online</w:t>
      </w:r>
      <w:r w:rsidRPr="002128A6">
        <w:rPr>
          <w:rFonts w:ascii="Garamond" w:hAnsi="Garamond" w:cs="Garamond"/>
        </w:rPr>
        <w:t>, me akses të hapur të aseteve të konfiskuara dhe ripërdorimit të tyre social, duke prioritizuar projektet që përfitojnë viktimat, të rinjtë dhe që forcojnë rezistencën komunitare. Objektiva vjetorë të performancës do të përcaktohen për gjurmimin, sekuestrimin dhe konfiskimin përfundimtar të aseteve, të cilat do të raportohen publikisht, duke siguruar transparencë, llogaridhënie dhe koordinim të ngushtë ndërinstitucional midis organeve hetimore, autoriteteve financiare dhe agjencive sociale.</w:t>
      </w:r>
    </w:p>
    <w:p w14:paraId="685FF28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43E81D8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Operacionalizim i plotë i Zyrës së Rikuperimit të Aseteve me koordinim ndërinstitucional.</w:t>
      </w:r>
    </w:p>
    <w:p w14:paraId="3AC1A0E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Rritje sistematike e vlerës së rikuperimit të aseteve dhe numri i urdhrave të konfiskimit të ekzekutuar.</w:t>
      </w:r>
    </w:p>
    <w:p w14:paraId="3145B39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3: </w:t>
      </w:r>
      <w:r w:rsidRPr="002128A6">
        <w:rPr>
          <w:rFonts w:ascii="Garamond" w:hAnsi="Garamond" w:cs="Garamond"/>
        </w:rPr>
        <w:t>Ripërdorim në shkallë të gjerë i aseteve të konfiskuara për interes social dhe komunitar.</w:t>
      </w:r>
    </w:p>
    <w:p w14:paraId="5A07E8F2"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Duke iu referuar sa më sipër, për këto dy struktura, ky dokument strategjik ka parashikuar disa masa për arritjen e këtij objektivi si vijon: </w:t>
      </w:r>
    </w:p>
    <w:p w14:paraId="7C80691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2.6.1:</w:t>
      </w:r>
      <w:r w:rsidRPr="002128A6">
        <w:rPr>
          <w:rFonts w:ascii="Garamond" w:hAnsi="Garamond" w:cs="Garamond"/>
        </w:rPr>
        <w:t xml:space="preserve"> Miratimi i akteve nënligjore për zbatimin e Ligjit nr. 44/2025 “Për Zyrën e Rikuperimit të Aseteve, duke përcaktuar organizimin e brendshëm, mandatet, flukset e punës dhe procedurat e bashkëpunimit të Zyrës së Rikuperimit të Aseteve, me qëllim përcaktimin e përgjegjësive të qarta operacionale dhe performancës efektive të funksioneve të gjurmimit dhe rikuperimit të aseteve.</w:t>
      </w:r>
    </w:p>
    <w:p w14:paraId="654DC8F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2.6.2</w:t>
      </w:r>
      <w:r w:rsidRPr="002128A6">
        <w:rPr>
          <w:rFonts w:ascii="Garamond" w:hAnsi="Garamond" w:cs="Garamond"/>
        </w:rPr>
        <w:t>: Pjesëmarrja aktive e Zyrës së Rikuperimit të Aseteve në shkëmbimin e informacionit brenda Rrjetit Evropian të Zyrave të Rikuperimit të Aseteve, rrjetit CARIN, si dhe në platformat rajonale/ndërkombëtare të rikuperimit të aseteve, përfshirë përmes përgjigjeve në kohë ndaj kërkesave, shpërndarjes proaktive të informacionit, pjesëmarrjes në takime dhe trajnime, dhe ndjekjes së koordinuar të veprimeve të gjurmimit të aseteve.</w:t>
      </w:r>
    </w:p>
    <w:p w14:paraId="74238B9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2.6.3</w:t>
      </w:r>
      <w:r w:rsidRPr="002128A6">
        <w:rPr>
          <w:rFonts w:ascii="Garamond" w:hAnsi="Garamond" w:cs="Garamond"/>
        </w:rPr>
        <w:t>: Përmirësimi i administrimit dhe ripërdorimit të aseteve të konfiskuara, me qëllim ruajtjen dhe/ose rritjen së vlere për ripërdorim të mëvonshëm ripërdorimit, duke forcuar planifikimin e menaxhimit të aseteve, masat e mirëmbajtjes dhe mbrojtjes, praktikat e vlerësimit dhe vendimmarrjen transparente mbi asgjësimin ose ripërdorimin.</w:t>
      </w:r>
    </w:p>
    <w:p w14:paraId="12ADF95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2.6.4</w:t>
      </w:r>
      <w:r w:rsidRPr="002128A6">
        <w:rPr>
          <w:rFonts w:ascii="Garamond" w:hAnsi="Garamond" w:cs="Garamond"/>
        </w:rPr>
        <w:t>: Ripërdorimi i aseteve të konfiskuara, përfshirë ripërdorimin social, brenda 6 muajve nga konfiskimi, duke thjeshtuar procedurat administrative, duke standardizuar rrugët e vendimmarrjes dhe duke forcuar koordinimin midis Agjencisë për Administrimin e Pasurive të Sekuestruara dhe të Konfiskuara dhe institucioneve përfituese përkatëse.</w:t>
      </w:r>
    </w:p>
    <w:p w14:paraId="37444DE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2.6.5</w:t>
      </w:r>
      <w:r w:rsidRPr="002128A6">
        <w:rPr>
          <w:rFonts w:ascii="Garamond" w:hAnsi="Garamond" w:cs="Garamond"/>
        </w:rPr>
        <w:t>: Përmirësimi dhe harmonizimi i praktikave për revokimin e aseteve kriminale, përmes hartimit të metodologjive të përbashkëta, qasjeve konsistente provuese dhe procedurale dhe punës së koordinuar të çështjeve midis autoriteteve përgjegjëse, me qëllim rritjen e sigurisë juridike dhe efektivitetit të rezultateve të rikuperimit të aseteve.</w:t>
      </w:r>
    </w:p>
    <w:p w14:paraId="526DB76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2.6.6</w:t>
      </w:r>
      <w:r w:rsidRPr="002128A6">
        <w:rPr>
          <w:rFonts w:ascii="Garamond" w:hAnsi="Garamond" w:cs="Garamond"/>
        </w:rPr>
        <w:t>: Identifikimi i nevojave për rritjen e kapaciteteve logjistike për të mbështetur administrimin e aseteve të sekuestruara dhe të konfiskuara, duke vlerësuar strukturat e ruajtjes, modalitetet e sigurisë, pajisjet e transportit dhe trajtimit, nevojat TI dhe kërkesat për burime njerëzore, si dhe duke shndërruar boshllëqet e identifikuara në veprime përmirësimi të prioritizuara.</w:t>
      </w:r>
    </w:p>
    <w:p w14:paraId="56223A3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2.6.7</w:t>
      </w:r>
      <w:r w:rsidRPr="002128A6">
        <w:rPr>
          <w:rFonts w:ascii="Garamond" w:hAnsi="Garamond" w:cs="Garamond"/>
        </w:rPr>
        <w:t>: Hartimi dhe miratimi i procedurave standarde operacionale të përbashkëta, ndërmjet Agjencisë për Administrimin e Pasurive të Sekuestruara dhe të Konfiskuara dhe Zyrës për Rikuperimin e Aseteve (ZRA), përfshirë procedurat për referimin, shkëmbimin e informacionit, kërkesat për gjurmimin e aseteve, përditësimet e regjistrit të aseteve, si dhe masat e koordinuara për ruajtjen, administrimin dhe ripërdorimin.</w:t>
      </w:r>
    </w:p>
    <w:p w14:paraId="7A1F5E1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lastRenderedPageBreak/>
        <w:t>Masa 2.6.8</w:t>
      </w:r>
      <w:r w:rsidRPr="002128A6">
        <w:rPr>
          <w:rFonts w:ascii="Garamond" w:hAnsi="Garamond" w:cs="Garamond"/>
        </w:rPr>
        <w:t>: Përmirësimi i elementeve funksionale të regjistrit elektronik të aseteve të sekuestruara dhe të konfiskuara, me përmirësimin e kontrollit të cilësisë së të dhënave, sigurimin e përditësimeve në kohë, përmirësimin e menaxhimit të aksesit të përdoruesit dhe të auditueshmërisë, duke mundësuar funksionalitetet raportuese dhe analitike në mbështetje të vendimmarrjes për administrimin, asgjësimin dhe ripërdorimin.</w:t>
      </w:r>
    </w:p>
    <w:p w14:paraId="20696E9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2.6.9:</w:t>
      </w:r>
      <w:r w:rsidRPr="002128A6">
        <w:rPr>
          <w:rFonts w:ascii="Garamond" w:hAnsi="Garamond" w:cs="Garamond"/>
        </w:rPr>
        <w:t xml:space="preserve"> Rritja e shkëmbimit ndërinstitucional dhe ndërkombëtar të informacionit në fushën e aseteve të sekuestruara, si dhe sigurimi/zgjerimi i aksesit në bazat e të dhënave përkatëse, përmes kanaleve të sigurta, autorizimeve të qarta dhe modaliteteve të ndërveprueshmërisë, me qëllim përmirësimin e gjurmimit, verifikimit, administrimit dhe ripërdorimit të aseteve në kohë.</w:t>
      </w:r>
    </w:p>
    <w:p w14:paraId="07C4C01F"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Për të mbështetur arritjen e këtyre Masave, do të zbatohen Aktivitetet e mëposhtme:</w:t>
      </w:r>
    </w:p>
    <w:p w14:paraId="220B2541" w14:textId="700EA854"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2.6.1</w:t>
      </w:r>
    </w:p>
    <w:p w14:paraId="20A0E6BD" w14:textId="5CAD2D79" w:rsidR="0025426C" w:rsidRPr="002128A6" w:rsidRDefault="0025426C" w:rsidP="0025426C">
      <w:pPr>
        <w:pStyle w:val="ListParagraph"/>
        <w:spacing w:after="0" w:line="240" w:lineRule="auto"/>
        <w:ind w:left="0" w:firstLine="284"/>
        <w:jc w:val="both"/>
        <w:rPr>
          <w:rFonts w:ascii="Garamond" w:hAnsi="Garamond" w:cs="Garamond"/>
        </w:rPr>
      </w:pPr>
      <w:r w:rsidRPr="002128A6">
        <w:rPr>
          <w:rFonts w:ascii="Garamond" w:hAnsi="Garamond" w:cs="Garamond"/>
        </w:rPr>
        <w:t>- Hartimi, konsultimi dhe miratimi i të gjitha akteve nënligjore që kërkohen për ta bërë ZRA-në plotësisht funksionale, përfshirë organizimin e brendshëm, mandatet, flukset e punës dhe procedurat e bashkëpunimit me organet hetimore dhe të prokurorisë.</w:t>
      </w:r>
    </w:p>
    <w:p w14:paraId="57C09602" w14:textId="44A590D1" w:rsidR="0025426C" w:rsidRPr="002128A6" w:rsidRDefault="0025426C" w:rsidP="0025426C">
      <w:pPr>
        <w:pStyle w:val="ListParagraph"/>
        <w:spacing w:after="0" w:line="240" w:lineRule="auto"/>
        <w:ind w:left="0" w:firstLine="284"/>
        <w:jc w:val="both"/>
        <w:rPr>
          <w:rFonts w:ascii="Garamond" w:hAnsi="Garamond" w:cs="Garamond"/>
          <w:b/>
          <w:bCs/>
        </w:rPr>
      </w:pPr>
      <w:r w:rsidRPr="002128A6">
        <w:rPr>
          <w:rFonts w:ascii="Garamond" w:hAnsi="Garamond" w:cs="Garamond"/>
          <w:b/>
          <w:bCs/>
        </w:rPr>
        <w:t>- Hartimi i manualeve operacionale të detajuara dhe i diagramit të fluksit të punës për gjurmimin e aseteve, shkëmbimin e informacionit, prioritizimin e çështjeve dhe koordinimin me partnerët kombëtarë dhe ndërkombëtarë.</w:t>
      </w:r>
    </w:p>
    <w:p w14:paraId="1247B128" w14:textId="6453353F"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2.6.2</w:t>
      </w:r>
    </w:p>
    <w:p w14:paraId="63640A9E" w14:textId="1BD449A2"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Pjesëmarrje e strukturuar në Rrjetin e BE-së të Zyrave të Rikuperimit të Aseteve, CARIN dhe platformat rajonale, përmes përgjigjeve në kohë ndaj kërkesave, shpërndarjes proaktive të inteligjencës dhe pjesëmarrjes në takime dhe trajnime. </w:t>
      </w:r>
    </w:p>
    <w:p w14:paraId="0FF84D5B" w14:textId="0227A94F" w:rsidR="0025426C" w:rsidRPr="002128A6" w:rsidRDefault="0025426C"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rPr>
        <w:t xml:space="preserve">- Koordinimi i veprimeve ndjekëse ndaj kërkesave ndërkufitare </w:t>
      </w:r>
      <w:r w:rsidRPr="002128A6">
        <w:rPr>
          <w:rFonts w:ascii="Garamond" w:hAnsi="Garamond" w:cs="Garamond"/>
          <w:b/>
          <w:bCs/>
        </w:rPr>
        <w:t>për gjurmim të aseteve, duke kryer verifikim të shpejtë, shkëmbim informacioni dhe mbështetje operacionale për sekuestrim dhe konfiskim.</w:t>
      </w:r>
    </w:p>
    <w:p w14:paraId="43BC5C7F" w14:textId="04E8F43D"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2.6.3</w:t>
      </w:r>
    </w:p>
    <w:p w14:paraId="2C355612" w14:textId="17D6FA1C"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Forcimi i planifikimit të menaxhimit të aseteve, duke miratuar praktika të standardizuara vlerësimi, protokolle mirëmbajtjeje dhe masa mbrojtëse për ruajtjen apo rritjen e vlerës së aseteve.</w:t>
      </w:r>
    </w:p>
    <w:p w14:paraId="1533B387" w14:textId="5BAB778E"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Miratimi i procedurave </w:t>
      </w:r>
      <w:r w:rsidRPr="002128A6">
        <w:rPr>
          <w:rFonts w:ascii="Garamond" w:hAnsi="Garamond" w:cs="Garamond"/>
          <w:b/>
          <w:bCs/>
        </w:rPr>
        <w:t xml:space="preserve">transparente vendimmarrës për asgjësimin dhe ripërdorimit, përfshirë kërkesat e dokumentimit, vlerësimet e riskut dhe mekanizmat </w:t>
      </w:r>
      <w:r w:rsidRPr="002128A6">
        <w:rPr>
          <w:rFonts w:ascii="Garamond" w:hAnsi="Garamond" w:cs="Garamond"/>
        </w:rPr>
        <w:t>e raportimit publik.</w:t>
      </w:r>
    </w:p>
    <w:p w14:paraId="7B7B045A" w14:textId="13DEA452"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2.6.4</w:t>
      </w:r>
    </w:p>
    <w:p w14:paraId="3962E762" w14:textId="60E1B366" w:rsidR="0025426C" w:rsidRPr="002128A6" w:rsidRDefault="0025426C"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Harmonizimi i procedurave administrative dhe i praktikës së vendimmarrjes, në mënyrë që asetet e konfiskuara të transferohen për ripërdorim social brenda gjashtë muajve, duke u dhënë prioritet projekteve në dobi të viktimave, të rinjve dhe rezistencës komunitare.</w:t>
      </w:r>
    </w:p>
    <w:p w14:paraId="225369A7" w14:textId="615CE186"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Forcimi i koordinimit midis AAPSK-së dhe institucioneve përfituese, për të garantuar dorëzim në kohë, përgatitjen e planeve të ripërdorimit dhe monitorimin e zbatimit.</w:t>
      </w:r>
    </w:p>
    <w:p w14:paraId="7508F758" w14:textId="7DD52CC9"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2.6.5</w:t>
      </w:r>
    </w:p>
    <w:p w14:paraId="7405D657" w14:textId="409F4F02"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Hartimi i metodologjive të përbashkëta dhe standardeve provuese për revokimin e aseteve kriminale, duke siguruar zbatim konsistent në institucionet hetimore, të prokurorisë dhe gjyqësore. </w:t>
      </w:r>
    </w:p>
    <w:p w14:paraId="1EFCACB0" w14:textId="2EBBB86D"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b/>
          <w:bCs/>
        </w:rPr>
        <w:t xml:space="preserve">- Mbajtja e takimeve të koordinuara për trajtimin e çështjeve, me qëllim që të harmonizohen qasjet procedurale, të reduktohen pasiguria juridike dhe të rritet efektiviteti i rezultateve </w:t>
      </w:r>
      <w:r w:rsidRPr="002128A6">
        <w:rPr>
          <w:rFonts w:ascii="Garamond" w:hAnsi="Garamond" w:cs="Garamond"/>
        </w:rPr>
        <w:t>të rikuperimit të aseteve.</w:t>
      </w:r>
    </w:p>
    <w:p w14:paraId="5E7990C3" w14:textId="6149760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2.6.6</w:t>
      </w:r>
    </w:p>
    <w:p w14:paraId="78B364D9" w14:textId="2D45AF7B" w:rsidR="0025426C" w:rsidRPr="002128A6" w:rsidRDefault="0025426C"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rPr>
        <w:t>- Kryerja e një vlerësimi gjithëpërfshirës të strukturave të ruajtjes, modaliteteve</w:t>
      </w:r>
      <w:r w:rsidR="00B8530E" w:rsidRPr="002128A6">
        <w:rPr>
          <w:rFonts w:ascii="Garamond" w:hAnsi="Garamond" w:cs="Garamond"/>
        </w:rPr>
        <w:t xml:space="preserve"> </w:t>
      </w:r>
      <w:r w:rsidRPr="002128A6">
        <w:rPr>
          <w:rFonts w:ascii="Garamond" w:hAnsi="Garamond" w:cs="Garamond"/>
        </w:rPr>
        <w:t xml:space="preserve">të sigurisë, pajisjeve të transportit dhe trajtimit, sistemeve TI dhe nevojave </w:t>
      </w:r>
      <w:r w:rsidRPr="002128A6">
        <w:rPr>
          <w:rFonts w:ascii="Garamond" w:hAnsi="Garamond" w:cs="Garamond"/>
          <w:b/>
          <w:bCs/>
        </w:rPr>
        <w:t xml:space="preserve">për burime njerëzore, për menaxhimin e aseteve të sekuestruara dhe të konfiskuara. </w:t>
      </w:r>
    </w:p>
    <w:p w14:paraId="1530DB23" w14:textId="66BAC4A8"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Shndërrimi i boshllëqeve të identifikuara në veprime përmirësimi të prioritizuara, përfshirë planet e prokurimit, modernizimet e infrastrukturës dhe përshtatjet në personel.</w:t>
      </w:r>
    </w:p>
    <w:p w14:paraId="0E537C66" w14:textId="55F8E4D9"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2.6.7</w:t>
      </w:r>
    </w:p>
    <w:p w14:paraId="33D80EC0" w14:textId="66C9BED5"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lastRenderedPageBreak/>
        <w:t xml:space="preserve">- Hartimi i procedurave standarde operacionale të përbashkëta që mbulojnë referimet, shkëmbimin e informacionit, kërkesat e gjurmimit të aseteve, përditësimet e regjistrit të aseteve dhe veprimet e koordinuara të mbrojtjes dhe ripërdorimit. </w:t>
      </w:r>
    </w:p>
    <w:p w14:paraId="02BAB059" w14:textId="0A73504A"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b/>
          <w:bCs/>
        </w:rPr>
        <w:t xml:space="preserve">- Trajnimi i personelit të të dyjave institucioneve mbi procedurat standarde operacionale, për të garantuar zbatim konsistent dhe bashkëpunim efikas në flukset e punës </w:t>
      </w:r>
      <w:r w:rsidRPr="002128A6">
        <w:rPr>
          <w:rFonts w:ascii="Garamond" w:hAnsi="Garamond" w:cs="Garamond"/>
        </w:rPr>
        <w:t>gjatë rikuperimit të aseteve.</w:t>
      </w:r>
    </w:p>
    <w:p w14:paraId="4F0BFC94" w14:textId="13B0BE05"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2.6.8</w:t>
      </w:r>
    </w:p>
    <w:p w14:paraId="19E5A717" w14:textId="0417ED49"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Përmirësimi i regjistrit elektronik duke futur kontrolle të cilësisë së të dhënave, mekanizma përditësimi në kohë, rregulla të përmirësuara të menaxhimit të aksesit dhe funksione auditueshmërie. </w:t>
      </w:r>
    </w:p>
    <w:p w14:paraId="1A47E85C" w14:textId="1F0732E9"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Zhvillimi i funksionaliteteve të raportimit dhe analitike, për të mbështetur vendimmarrjen</w:t>
      </w:r>
      <w:r w:rsidR="00F54824" w:rsidRPr="002128A6">
        <w:rPr>
          <w:rFonts w:ascii="Garamond" w:hAnsi="Garamond" w:cs="Garamond"/>
        </w:rPr>
        <w:t xml:space="preserve"> </w:t>
      </w:r>
      <w:r w:rsidRPr="002128A6">
        <w:rPr>
          <w:rFonts w:ascii="Garamond" w:hAnsi="Garamond" w:cs="Garamond"/>
        </w:rPr>
        <w:t>për administrimin, asgjësimin dhe ripërdorimin social të aseteve të konfiskuara.</w:t>
      </w:r>
    </w:p>
    <w:p w14:paraId="53A9E471" w14:textId="25429F73"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2.6.9</w:t>
      </w:r>
    </w:p>
    <w:p w14:paraId="37ADA6C8" w14:textId="2F22F11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Miratimi i </w:t>
      </w:r>
      <w:r w:rsidR="002C6785" w:rsidRPr="002128A6">
        <w:rPr>
          <w:rFonts w:ascii="Garamond" w:hAnsi="Garamond" w:cs="Garamond"/>
        </w:rPr>
        <w:t>kanaleve</w:t>
      </w:r>
      <w:r w:rsidRPr="002128A6">
        <w:rPr>
          <w:rFonts w:ascii="Garamond" w:hAnsi="Garamond" w:cs="Garamond"/>
        </w:rPr>
        <w:t xml:space="preserve"> të sigurta dhe i procedurave të qarta të autorizimit për shkëmbimin e informacionit midis organeve hetimore, autoriteteve financiare, AAPSK-së dhe partnerëve ndërkombëtarë. </w:t>
      </w:r>
    </w:p>
    <w:p w14:paraId="1BE4176E" w14:textId="236BA60A"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Përmirësimi i ndërveprueshmërinë midis bazave përkatëse të të dhënave kombëtare dhe ndërkombëtare për të mbështetur gjurmimin, verifikimin, administrimin dhe ripërdorimin në kohë të aseteve.</w:t>
      </w:r>
    </w:p>
    <w:p w14:paraId="1863A97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4268C6D2"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 xml:space="preserve">Produkti 1: </w:t>
      </w:r>
      <w:r w:rsidRPr="002128A6">
        <w:rPr>
          <w:rFonts w:ascii="Garamond" w:hAnsi="Garamond" w:cs="Garamond"/>
        </w:rPr>
        <w:t>Vlera vjetore e aseteve të sekuestruara dhe të konfiskuara përmes hetimeve penale.</w:t>
      </w:r>
    </w:p>
    <w:p w14:paraId="48A02D8C" w14:textId="25A94CFE"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pronave të konfiskuara që janë transferuar te qeverisja vendore për ripërdorim social.</w:t>
      </w:r>
    </w:p>
    <w:p w14:paraId="440023B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çështjeve ndërkufitare të rikuperimit të aseteve të finalizuara.</w:t>
      </w:r>
    </w:p>
    <w:p w14:paraId="5467AEE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Institucionet përgjegjëse:</w:t>
      </w:r>
      <w:r w:rsidRPr="002128A6">
        <w:rPr>
          <w:rFonts w:ascii="Garamond" w:hAnsi="Garamond" w:cs="Garamond"/>
        </w:rPr>
        <w:t xml:space="preserve"> Policia e Shtetit, Agjencia e Administrimit të Pasurive të Sekuestruara dhe Konfiskuara.</w:t>
      </w:r>
    </w:p>
    <w:p w14:paraId="28AD91F6"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 xml:space="preserve">Institucionet mbështetëse: </w:t>
      </w:r>
      <w:r w:rsidRPr="002128A6">
        <w:rPr>
          <w:rFonts w:ascii="Garamond" w:hAnsi="Garamond" w:cs="Garamond"/>
        </w:rPr>
        <w:t>Ministria e Punëve të Brendshme, Policia e Shtetit.</w:t>
      </w:r>
    </w:p>
    <w:p w14:paraId="25C54D2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1D2CBEC3"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Vlera kumulative vjetore e pasurive të konfiskuara dhe ripërdorura për qëllime sociale (në milionë lekë)</w:t>
      </w:r>
    </w:p>
    <w:p w14:paraId="589EF529" w14:textId="6C857901"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Vlera bazë</w:t>
      </w:r>
      <w:r w:rsidRPr="002128A6">
        <w:rPr>
          <w:rFonts w:ascii="Garamond" w:hAnsi="Garamond" w:cs="Garamond"/>
        </w:rPr>
        <w:t xml:space="preserve">: 2025 – vlera e pasurive të konfiskuara 180,670, 028.798 </w:t>
      </w:r>
      <w:r w:rsidR="00D86AE7" w:rsidRPr="002128A6">
        <w:rPr>
          <w:rFonts w:ascii="Garamond" w:hAnsi="Garamond" w:cs="Garamond"/>
        </w:rPr>
        <w:t>lekë.</w:t>
      </w:r>
    </w:p>
    <w:p w14:paraId="65301A2E" w14:textId="6924360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w:t>
      </w:r>
      <w:r w:rsidR="00D86AE7" w:rsidRPr="002128A6">
        <w:rPr>
          <w:rFonts w:ascii="Garamond" w:hAnsi="Garamond" w:cs="Garamond"/>
          <w:b/>
          <w:bCs/>
        </w:rPr>
        <w:t>m</w:t>
      </w:r>
      <w:r w:rsidRPr="002128A6">
        <w:rPr>
          <w:rFonts w:ascii="Garamond" w:hAnsi="Garamond" w:cs="Garamond"/>
          <w:b/>
          <w:bCs/>
        </w:rPr>
        <w:t xml:space="preserve">ë 2030: </w:t>
      </w:r>
      <w:r w:rsidRPr="002128A6">
        <w:rPr>
          <w:rFonts w:ascii="Garamond" w:hAnsi="Garamond" w:cs="Garamond"/>
        </w:rPr>
        <w:t>do të konfirmohet në vitin 2026.</w:t>
      </w:r>
    </w:p>
    <w:p w14:paraId="40AE26E3" w14:textId="77777777" w:rsidR="0025426C" w:rsidRPr="002128A6" w:rsidRDefault="0025426C" w:rsidP="0025426C">
      <w:pPr>
        <w:pStyle w:val="Heading3"/>
        <w:spacing w:before="0" w:after="0" w:line="240" w:lineRule="auto"/>
        <w:ind w:firstLine="284"/>
        <w:jc w:val="both"/>
        <w:rPr>
          <w:rFonts w:ascii="Garamond" w:hAnsi="Garamond" w:cs="Garamond"/>
          <w:color w:val="auto"/>
          <w:sz w:val="24"/>
          <w:szCs w:val="24"/>
        </w:rPr>
      </w:pPr>
      <w:r w:rsidRPr="002128A6">
        <w:rPr>
          <w:rFonts w:ascii="Garamond" w:hAnsi="Garamond" w:cs="Garamond"/>
          <w:b/>
          <w:bCs/>
          <w:color w:val="auto"/>
          <w:sz w:val="24"/>
          <w:szCs w:val="24"/>
        </w:rPr>
        <w:t>Objektivi Specifik 2.7: Përmirësimi i matshëm në hetimet dhe ndjekjet penale të udhëheqësve dhe anëtarëve të strukturave të krimit të organizuar, e demonstruar me rritjen e dënimeve të rënda dhe ekzekutimit të vendimeve gjyqësore</w:t>
      </w:r>
    </w:p>
    <w:p w14:paraId="7416B1D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 xml:space="preserve">Themelimi i strukturave të reja të specializuara në luftën kundër krimit të organizuar dhe krimeve të rënda përbën një zhvillim pozitiv dhe premtues për përballimin e grupeve kriminale dhe ndëshkimin e liderëve dhe anëtarëve të tyre. Për të garantuar rezultate të qëndrueshme dhe të prekshme në këtë drejtim, prioritet do t’i jepet rritjes së efikasitetit të hetimeve penale, me një fokus të veçantë në identifikimin dhe ndjekjen penale të organizatorëve dhe financuesve të aktiviteteve kriminale. Kjo do të mbështetet përmes forcimit të kapaciteteve teknike, ndërmarrjes së investimeve strategjike për hetime të thelluara, cilësore dhe proaktive, si dhe përmirësimit të mëtejshëm të kornizës ligjore. Objektivi kryesor mbetet rritja e efektivitetit të përgjithshëm në luftën kundër strukturave të organizuara kriminale. </w:t>
      </w:r>
    </w:p>
    <w:p w14:paraId="25B1BFE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2F1BD45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Rritje e përqindjes së hetimeve të krimit të organizuar, bazuar në inteligjencë dhe vlerësim të kërcënimeve.</w:t>
      </w:r>
    </w:p>
    <w:p w14:paraId="59ACE14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Norma më të larta dënimi dhe dënime më të ashpra për udhëheqësit e grupeve të krimit të organizuar.</w:t>
      </w:r>
    </w:p>
    <w:p w14:paraId="584AF699"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3: </w:t>
      </w:r>
      <w:r w:rsidRPr="002128A6">
        <w:rPr>
          <w:rFonts w:ascii="Garamond" w:hAnsi="Garamond" w:cs="Garamond"/>
        </w:rPr>
        <w:t>Ndërprerje e demonstruar e rrjeteve kryesore të krimit të organizuar.</w:t>
      </w:r>
    </w:p>
    <w:p w14:paraId="4EE31FF3"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lastRenderedPageBreak/>
        <w:t>Ky Objektiv Specifik do të zbatohet përmes Masave të mëposhtme:</w:t>
      </w:r>
    </w:p>
    <w:p w14:paraId="7A4D9B5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2.7.1:</w:t>
      </w:r>
      <w:r w:rsidRPr="002128A6">
        <w:rPr>
          <w:rFonts w:ascii="Garamond" w:hAnsi="Garamond" w:cs="Garamond"/>
        </w:rPr>
        <w:t xml:space="preserve"> Konsolidimi të dhënave statistikore mbi veprat penale të krimit të organizuar, përmes përdorimit të vazhdueshëm të platformës elektronike, duke siguruar hyrje të rregullt të të dhënave, validim, kontroll cilësie dhe raportim analitik për të mbështetur planifikimin operacional dhe vendimmarrjen strategjike.</w:t>
      </w:r>
    </w:p>
    <w:p w14:paraId="0E4D78A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2.7.2:</w:t>
      </w:r>
      <w:r w:rsidRPr="002128A6">
        <w:rPr>
          <w:rFonts w:ascii="Garamond" w:hAnsi="Garamond" w:cs="Garamond"/>
        </w:rPr>
        <w:t xml:space="preserve"> Bërja efektive e Seksionit të Përgjimit Parandalues në Byronë Kombëtare të Hetimit.</w:t>
      </w:r>
    </w:p>
    <w:p w14:paraId="4D1A77E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2.7.3</w:t>
      </w:r>
      <w:r w:rsidRPr="002128A6">
        <w:rPr>
          <w:rFonts w:ascii="Garamond" w:hAnsi="Garamond" w:cs="Garamond"/>
        </w:rPr>
        <w:t>: Ngritja e një sistemi analize në BKH për vlerësimin e kërcënimeve në lidhje me krimin e organizuar dhe korrupsionin.</w:t>
      </w:r>
    </w:p>
    <w:p w14:paraId="0B76E5F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2.7.4:</w:t>
      </w:r>
      <w:r w:rsidRPr="002128A6">
        <w:rPr>
          <w:rFonts w:ascii="Garamond" w:hAnsi="Garamond" w:cs="Garamond"/>
        </w:rPr>
        <w:t xml:space="preserve"> Zbatimi regjimit të posaçëm në burgun e sigurisë së lartë, për subjektet me rrezik të theksuar kriminal, përfshirë kategorizimin e jashtëm dhe të brendshëm dhe vlerësimin progresiv të rrezikut të këtyre subjekteve, me qëllim reduktimin e ndikimit të krimit të organizuar brenda strukturave të burgimit dhe forcimin e sigurisë institucionale.</w:t>
      </w:r>
    </w:p>
    <w:p w14:paraId="6B5FD5D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2.7.5:</w:t>
      </w:r>
      <w:r w:rsidRPr="002128A6">
        <w:rPr>
          <w:rFonts w:ascii="Garamond" w:hAnsi="Garamond" w:cs="Garamond"/>
        </w:rPr>
        <w:t xml:space="preserve"> Rritja e numrit të hetimeve proaktive dhe ndjekjes së vazhdueshme, duke vlerësuar dhe mbledhur informacion mbi rastet e korrupsionit, abuzimit dhe veprave penale brenda sistemit të vuajtjes së dënimit, përfshirë përmes mbledhjes së inteligjencës, shënjestrimit të bazuar në rrezik dhe referimeve në kohë tek organet përgjegjëse hetimore dhe të prokurorisë.</w:t>
      </w:r>
    </w:p>
    <w:p w14:paraId="569AA484" w14:textId="0A561CED"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2.7.6:</w:t>
      </w:r>
      <w:r w:rsidRPr="002128A6">
        <w:rPr>
          <w:rFonts w:ascii="Garamond" w:hAnsi="Garamond" w:cs="Garamond"/>
        </w:rPr>
        <w:t xml:space="preserve"> Parandalimi dhe goditja</w:t>
      </w:r>
      <w:r w:rsidR="00F54824" w:rsidRPr="002128A6">
        <w:rPr>
          <w:rFonts w:ascii="Garamond" w:hAnsi="Garamond" w:cs="Garamond"/>
        </w:rPr>
        <w:t xml:space="preserve"> </w:t>
      </w:r>
      <w:r w:rsidRPr="002128A6">
        <w:rPr>
          <w:rFonts w:ascii="Garamond" w:hAnsi="Garamond" w:cs="Garamond"/>
        </w:rPr>
        <w:t>e krimeve në burgjet e vendit, në bashkëpunim me SPAK-un, prokuroritë e rretheve gjyqësore, si dhe agjencitë ligjzbatuese, përfshirë përmes veprimeve të koordinuara operacionale, shkëmbimit të strukturuar të informacionit dhe planifikimit të përbashkët për hetime dhe ndërhyrje.</w:t>
      </w:r>
    </w:p>
    <w:p w14:paraId="05A643E2"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2.7.7</w:t>
      </w:r>
      <w:r w:rsidRPr="002128A6">
        <w:rPr>
          <w:rFonts w:ascii="Garamond" w:hAnsi="Garamond" w:cs="Garamond"/>
        </w:rPr>
        <w:t>: Rritja e përdorimit të metodave të posaçme të hetimit, me qëllim zbulimin dhe dokumentimin e aktiviteteve kriminale, përfshirë përgjimin, infiltrimin, mbikëqyrjen fizike, dhe rritjen e performancës profesionale të oficerëve që zbatojnë këto metoda përmes trajnimit të specializuar, mbikëqyrjes dhe sigurimit të cilësisë.</w:t>
      </w:r>
    </w:p>
    <w:p w14:paraId="5686E61B" w14:textId="77777777" w:rsidR="0025426C" w:rsidRPr="002128A6" w:rsidRDefault="0025426C" w:rsidP="0025426C">
      <w:pPr>
        <w:tabs>
          <w:tab w:val="left" w:pos="1560"/>
        </w:tabs>
        <w:spacing w:after="0" w:line="240" w:lineRule="auto"/>
        <w:ind w:firstLine="284"/>
        <w:jc w:val="both"/>
        <w:rPr>
          <w:rFonts w:ascii="Garamond" w:hAnsi="Garamond" w:cs="Garamond"/>
        </w:rPr>
      </w:pPr>
      <w:r w:rsidRPr="002128A6">
        <w:rPr>
          <w:rFonts w:ascii="Garamond" w:hAnsi="Garamond" w:cs="Garamond"/>
          <w:b/>
          <w:bCs/>
        </w:rPr>
        <w:t>Masa 2.7.8</w:t>
      </w:r>
      <w:r w:rsidRPr="002128A6">
        <w:rPr>
          <w:rFonts w:ascii="Garamond" w:hAnsi="Garamond" w:cs="Garamond"/>
        </w:rPr>
        <w:t>: Rritja e efektivitetit të hetimeve kundër krimit të organizuar, me fokus tek udhëheqësit dhe financuesit, duke kryer hetime të avancuara financiare me qëllimin e identifikimit dhe sekuestrimit të aseteve që rrjedhin nga krimi, përfshirë përmes hetimeve paralele financiare dhe mbështetjes së zgjeruar analitike.</w:t>
      </w:r>
    </w:p>
    <w:p w14:paraId="10366BB5" w14:textId="77777777" w:rsidR="0025426C" w:rsidRPr="002128A6" w:rsidRDefault="0025426C" w:rsidP="0025426C">
      <w:pPr>
        <w:tabs>
          <w:tab w:val="left" w:pos="1560"/>
        </w:tabs>
        <w:spacing w:after="0" w:line="240" w:lineRule="auto"/>
        <w:ind w:firstLine="284"/>
        <w:jc w:val="both"/>
        <w:rPr>
          <w:rFonts w:ascii="Garamond" w:hAnsi="Garamond" w:cs="Garamond"/>
        </w:rPr>
      </w:pPr>
      <w:r w:rsidRPr="002128A6">
        <w:rPr>
          <w:rFonts w:ascii="Garamond" w:hAnsi="Garamond" w:cs="Garamond"/>
          <w:b/>
          <w:bCs/>
        </w:rPr>
        <w:t>Masa 2.7.9</w:t>
      </w:r>
      <w:r w:rsidRPr="002128A6">
        <w:rPr>
          <w:rFonts w:ascii="Garamond" w:hAnsi="Garamond" w:cs="Garamond"/>
        </w:rPr>
        <w:t>: Rritja e efektivitetit të bashkëpunimit me partnerët për të zbuluar krimin e organizuar, përmes takimeve periodike, analizave dhe trajnimeve të përbashkëta, shkëmbimit të strukturuar të informacionit, dhe lidhjes e zbatimit të marrëveshjeve të bashkëpunimit.</w:t>
      </w:r>
    </w:p>
    <w:p w14:paraId="12CEC6B0" w14:textId="77777777" w:rsidR="0025426C" w:rsidRPr="002128A6" w:rsidRDefault="0025426C" w:rsidP="0025426C">
      <w:pPr>
        <w:tabs>
          <w:tab w:val="left" w:pos="1560"/>
        </w:tabs>
        <w:spacing w:after="0" w:line="240" w:lineRule="auto"/>
        <w:ind w:firstLine="284"/>
        <w:jc w:val="both"/>
        <w:rPr>
          <w:rFonts w:ascii="Garamond" w:hAnsi="Garamond" w:cs="Garamond"/>
        </w:rPr>
      </w:pPr>
      <w:r w:rsidRPr="002128A6">
        <w:rPr>
          <w:rFonts w:ascii="Garamond" w:hAnsi="Garamond" w:cs="Garamond"/>
          <w:b/>
          <w:bCs/>
        </w:rPr>
        <w:t>Masa 2.7.10</w:t>
      </w:r>
      <w:r w:rsidRPr="002128A6">
        <w:rPr>
          <w:rFonts w:ascii="Garamond" w:hAnsi="Garamond" w:cs="Garamond"/>
        </w:rPr>
        <w:t>: Hartimi i raportit “Vlerësimi i kërcënimeve të krimit të organizuar dhe krimit të rëndë”, përmes të cilit kërcënimet që paraqet krimi i organizuar dhe krimi i rëndë do të identifikohen, analizohen dhe vlerësohen, me qëllim përcaktimin e prioriteteve për një luftë më efektive kundër rimit, edhe përmes planifikimit strategjik dhe operacional të bazuar në të dhëna.</w:t>
      </w:r>
    </w:p>
    <w:p w14:paraId="21A90FCD" w14:textId="77777777" w:rsidR="0025426C" w:rsidRPr="002128A6" w:rsidRDefault="0025426C" w:rsidP="0025426C">
      <w:pPr>
        <w:tabs>
          <w:tab w:val="left" w:pos="1560"/>
        </w:tabs>
        <w:spacing w:after="0" w:line="240" w:lineRule="auto"/>
        <w:ind w:firstLine="284"/>
        <w:jc w:val="both"/>
        <w:rPr>
          <w:rFonts w:ascii="Garamond" w:hAnsi="Garamond" w:cs="Garamond"/>
        </w:rPr>
      </w:pPr>
      <w:r w:rsidRPr="002128A6">
        <w:rPr>
          <w:rFonts w:ascii="Garamond" w:hAnsi="Garamond" w:cs="Garamond"/>
          <w:b/>
          <w:bCs/>
        </w:rPr>
        <w:t>Masa 2.7.11:</w:t>
      </w:r>
      <w:r w:rsidRPr="002128A6">
        <w:rPr>
          <w:rFonts w:ascii="Garamond" w:hAnsi="Garamond" w:cs="Garamond"/>
        </w:rPr>
        <w:t xml:space="preserve"> Kryerja e analizave dhe vlerësimeve periodike të rrezikut të grupeve kriminale që veprojnë në Shqipëri, duke i renditur grupet aktive sipas nivelit të rrezikut, me qëllim prioritizimin dhe shënjestrimin e masave operacionale për ndërprerjen, hetimin dhe ndjekjen penale.</w:t>
      </w:r>
    </w:p>
    <w:p w14:paraId="6DCFF859" w14:textId="77777777" w:rsidR="0025426C" w:rsidRPr="002128A6" w:rsidRDefault="0025426C" w:rsidP="0025426C">
      <w:pPr>
        <w:tabs>
          <w:tab w:val="left" w:pos="1560"/>
        </w:tabs>
        <w:spacing w:after="0" w:line="240" w:lineRule="auto"/>
        <w:ind w:firstLine="284"/>
        <w:jc w:val="both"/>
        <w:rPr>
          <w:rFonts w:ascii="Garamond" w:hAnsi="Garamond" w:cs="Garamond"/>
        </w:rPr>
      </w:pPr>
      <w:r w:rsidRPr="002128A6">
        <w:rPr>
          <w:rFonts w:ascii="Garamond" w:hAnsi="Garamond" w:cs="Garamond"/>
          <w:b/>
          <w:bCs/>
        </w:rPr>
        <w:t xml:space="preserve">Masa 2.7.12: </w:t>
      </w:r>
      <w:r w:rsidRPr="002128A6">
        <w:rPr>
          <w:rFonts w:ascii="Garamond" w:hAnsi="Garamond" w:cs="Garamond"/>
        </w:rPr>
        <w:t>Rinovimi i pajisjes Router-VPN të instaluar në serverat e INTERPOL NCB Tirana, që mundëson enkriptim të komunikimeve në sistemin e INTERPOL-it, për të garantuar shkëmbim të sigurt të informacionit dhe për të ruajtur konfidencialitetin dhe integritetin e të dhënave që transmetohen.</w:t>
      </w:r>
    </w:p>
    <w:p w14:paraId="5E77561B" w14:textId="77777777" w:rsidR="0025426C" w:rsidRPr="002128A6" w:rsidRDefault="0025426C" w:rsidP="0025426C">
      <w:pPr>
        <w:tabs>
          <w:tab w:val="left" w:pos="1560"/>
        </w:tabs>
        <w:spacing w:after="0" w:line="240" w:lineRule="auto"/>
        <w:ind w:firstLine="284"/>
        <w:jc w:val="both"/>
        <w:rPr>
          <w:rFonts w:ascii="Garamond" w:hAnsi="Garamond" w:cs="Garamond"/>
        </w:rPr>
      </w:pPr>
      <w:r w:rsidRPr="002128A6">
        <w:rPr>
          <w:rFonts w:ascii="Garamond" w:hAnsi="Garamond" w:cs="Garamond"/>
          <w:b/>
          <w:bCs/>
        </w:rPr>
        <w:t>Masa 2.7.13</w:t>
      </w:r>
      <w:r w:rsidRPr="002128A6">
        <w:rPr>
          <w:rFonts w:ascii="Garamond" w:hAnsi="Garamond" w:cs="Garamond"/>
        </w:rPr>
        <w:t>: Reduktimi i kërcënimeve ndaj jetës dhe shëndetit të individëve (përfshirë vrasjet, lëndimet e rënda), edhe përmes masave parandaluese të shënjestruara, planifikimit operacional të bazuar në rrezik dhe veprimeve të koordinuara, për shkurajimin, zbulimin dhe ndërprerjen e aktivitetit kriminal të dhunshëm.</w:t>
      </w:r>
    </w:p>
    <w:p w14:paraId="232F39AE" w14:textId="77777777" w:rsidR="0025426C" w:rsidRPr="002128A6" w:rsidRDefault="0025426C" w:rsidP="0025426C">
      <w:pPr>
        <w:tabs>
          <w:tab w:val="left" w:pos="1560"/>
        </w:tabs>
        <w:spacing w:after="0" w:line="240" w:lineRule="auto"/>
        <w:ind w:firstLine="284"/>
        <w:jc w:val="both"/>
        <w:rPr>
          <w:rFonts w:ascii="Garamond" w:hAnsi="Garamond" w:cs="Garamond"/>
        </w:rPr>
      </w:pPr>
      <w:r w:rsidRPr="002128A6">
        <w:rPr>
          <w:rFonts w:ascii="Garamond" w:hAnsi="Garamond" w:cs="Garamond"/>
          <w:b/>
          <w:bCs/>
        </w:rPr>
        <w:t>Masa 2.7.14:</w:t>
      </w:r>
      <w:r w:rsidRPr="002128A6">
        <w:rPr>
          <w:rFonts w:ascii="Garamond" w:hAnsi="Garamond" w:cs="Garamond"/>
        </w:rPr>
        <w:t xml:space="preserve"> Rritja e hetimeve proaktive për parandalimin, gjurmimin, zbulimin dhe arrestimin e individëve dhe grupeve kriminale të përfshira në krimet e rënda ndaj jetës dhe shëndetit, përmes </w:t>
      </w:r>
      <w:r w:rsidRPr="002128A6">
        <w:rPr>
          <w:rFonts w:ascii="Garamond" w:hAnsi="Garamond" w:cs="Garamond"/>
        </w:rPr>
        <w:lastRenderedPageBreak/>
        <w:t>forcimit të mbledhjes së të dhënave, zbatimit të metodave të posaçme të hetimit, ku lejohet me ligj, si dhe prioritizimit të shkelësve dhe grupeve me rrezik të lartë.</w:t>
      </w:r>
    </w:p>
    <w:p w14:paraId="65C482F4" w14:textId="77777777" w:rsidR="0025426C" w:rsidRPr="002128A6" w:rsidRDefault="0025426C" w:rsidP="0025426C">
      <w:pPr>
        <w:tabs>
          <w:tab w:val="left" w:pos="1560"/>
        </w:tabs>
        <w:spacing w:after="0" w:line="240" w:lineRule="auto"/>
        <w:ind w:firstLine="284"/>
        <w:jc w:val="both"/>
        <w:rPr>
          <w:rFonts w:ascii="Garamond" w:hAnsi="Garamond" w:cs="Garamond"/>
        </w:rPr>
      </w:pPr>
      <w:r w:rsidRPr="002128A6">
        <w:rPr>
          <w:rFonts w:ascii="Garamond" w:hAnsi="Garamond" w:cs="Garamond"/>
          <w:b/>
          <w:bCs/>
        </w:rPr>
        <w:t>Masa 2.7.15</w:t>
      </w:r>
      <w:r w:rsidRPr="002128A6">
        <w:rPr>
          <w:rFonts w:ascii="Garamond" w:hAnsi="Garamond" w:cs="Garamond"/>
        </w:rPr>
        <w:t>: Blerja e pajisjeve për aplikimin e identifikimit biometrik të personit LTA, duke siguruar specifikimet teknike, instalimin e sigurt, trajnimin e personelit dhe integrimin me bazat përkatëse të të dhënave dhe rrjedhat operacionale të punës për të mbështetur identifikimin e saktë dhe veprimet ligjzbatuese.</w:t>
      </w:r>
    </w:p>
    <w:p w14:paraId="3EE0B411" w14:textId="77777777" w:rsidR="0025426C" w:rsidRPr="002128A6" w:rsidRDefault="0025426C" w:rsidP="0025426C">
      <w:pPr>
        <w:spacing w:after="0" w:line="240" w:lineRule="auto"/>
        <w:ind w:firstLine="284"/>
        <w:jc w:val="both"/>
        <w:rPr>
          <w:rFonts w:ascii="Garamond" w:hAnsi="Garamond" w:cs="Garamond"/>
          <w:b/>
          <w:bCs/>
        </w:rPr>
      </w:pPr>
      <w:r w:rsidRPr="002128A6">
        <w:rPr>
          <w:rFonts w:ascii="Garamond" w:hAnsi="Garamond" w:cs="Garamond"/>
          <w:b/>
          <w:bCs/>
        </w:rPr>
        <w:t>Për të mbështetur arritjen e këtyre Masave, do të zbatohen Aktivitetet e mëposhtme:</w:t>
      </w:r>
    </w:p>
    <w:p w14:paraId="4D68B975" w14:textId="7C218B3E" w:rsidR="0025426C" w:rsidRPr="002128A6" w:rsidRDefault="00EF05E1"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b/>
          <w:bCs/>
        </w:rPr>
        <w:t xml:space="preserve">Aktivitete për masën </w:t>
      </w:r>
      <w:r w:rsidR="0025426C" w:rsidRPr="002128A6">
        <w:rPr>
          <w:rFonts w:ascii="Garamond" w:hAnsi="Garamond" w:cs="Garamond"/>
          <w:b/>
          <w:bCs/>
        </w:rPr>
        <w:t>2.7.1</w:t>
      </w:r>
    </w:p>
    <w:p w14:paraId="459F89B5" w14:textId="74C75152" w:rsidR="0025426C" w:rsidRPr="002128A6" w:rsidRDefault="0025426C"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rPr>
        <w:t xml:space="preserve">- Sigurimi i hedhjes së rregullt të të dhënave, </w:t>
      </w:r>
      <w:r w:rsidR="002C6785" w:rsidRPr="002128A6">
        <w:rPr>
          <w:rFonts w:ascii="Garamond" w:hAnsi="Garamond" w:cs="Garamond"/>
        </w:rPr>
        <w:t>certifikim</w:t>
      </w:r>
      <w:r w:rsidRPr="002128A6">
        <w:rPr>
          <w:rFonts w:ascii="Garamond" w:hAnsi="Garamond" w:cs="Garamond"/>
        </w:rPr>
        <w:t xml:space="preserve"> dhe kontroll të cilësisë në platformën elektronike nga të gjitha strukturat përgjegjëse, duke mundësuar raportim statistikor të saktë dhe në kohë. </w:t>
      </w:r>
    </w:p>
    <w:p w14:paraId="1472B42E" w14:textId="7FB21AB1" w:rsidR="0025426C" w:rsidRPr="002128A6" w:rsidRDefault="0025426C"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rPr>
        <w:t xml:space="preserve">- Prodhimi i raporteve analitike periodike bazuar në të dhënat e konsoliduara, për të mbështetur planifikimin operacional, vlerësimet e kërcënimeve dhe vendimmarrjen </w:t>
      </w:r>
      <w:r w:rsidRPr="002128A6">
        <w:rPr>
          <w:rFonts w:ascii="Garamond" w:hAnsi="Garamond" w:cs="Garamond"/>
          <w:b/>
          <w:bCs/>
        </w:rPr>
        <w:t>strategjike.</w:t>
      </w:r>
    </w:p>
    <w:p w14:paraId="0F7710DF" w14:textId="2EBD0721"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2.7.2</w:t>
      </w:r>
    </w:p>
    <w:p w14:paraId="65CEEB6A" w14:textId="7CC9FA36" w:rsidR="0025426C" w:rsidRPr="002128A6" w:rsidRDefault="0025426C"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rPr>
        <w:t>- Plotësimi i personelit, procedurave operacionale dhe flukseve të brendshme të punës për Seksionin e Mbikëqyrjes Parandaluese, duke garantuar operacione mbikëqyrjeje të ligjshme dhe efikase.</w:t>
      </w:r>
    </w:p>
    <w:p w14:paraId="4E2A2862" w14:textId="2EA3CEDA" w:rsidR="0025426C" w:rsidRPr="002128A6" w:rsidRDefault="0025426C"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rPr>
        <w:t>- Pajisja e Seksionit me mjete moderne mbikëqyrjeje dhe miratimi i mekanizmave të qartë të koordinimit me organet hetimore dhe të prokurorisë, për veprime ndjekëse.</w:t>
      </w:r>
    </w:p>
    <w:p w14:paraId="425C2080" w14:textId="0F212BC4"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2.7.3</w:t>
      </w:r>
    </w:p>
    <w:p w14:paraId="6357B3BA" w14:textId="79B81494"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xml:space="preserve">- Hartimi i metodologjive analitike, protokolleve të mbledhjes së të dhënave dhe formateve të raportimit, për të vlerësuar kërcënimet e lidhura me krimin e organizuar dhe korrupsionin. </w:t>
      </w:r>
    </w:p>
    <w:p w14:paraId="3696CF9F" w14:textId="149F8115"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Prodhimi i produkteve analitike periodike, si vlerësime kërcënimesh, matrica risku dhe instruktazhe shënjestrimi, për të udhëhequr prioritizimin dhe alokimin e burimeve.</w:t>
      </w:r>
    </w:p>
    <w:p w14:paraId="52A7D390" w14:textId="2E352BBC" w:rsidR="0025426C" w:rsidRPr="002128A6" w:rsidRDefault="00EF05E1" w:rsidP="0025426C">
      <w:pPr>
        <w:pStyle w:val="NormalWeb"/>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2.7.4</w:t>
      </w:r>
    </w:p>
    <w:p w14:paraId="0B6C1C20" w14:textId="00AC6B81"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Zbatimi i procedurave të klasifikimit të jashtëm dhe të brendshëm dhe i vlerësimeve progresive të rrezikut për të burgosurit me rrezik të lartë, për të reduktuar ndikimin e tyre brenda strukturave të vuajtjes së dënimit.</w:t>
      </w:r>
    </w:p>
    <w:p w14:paraId="4D7F9ED0" w14:textId="5F121D5A"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Forcimi i masave operacionale të sigurisë dhe sistemeve të monitorimit, për të parandaluar komunikimin, koordinimin ose aktivitetin kriminal nga brenda burgjeve.</w:t>
      </w:r>
    </w:p>
    <w:p w14:paraId="33FC6B54" w14:textId="29530FD1" w:rsidR="0025426C" w:rsidRPr="002128A6" w:rsidRDefault="00EF05E1" w:rsidP="0025426C">
      <w:pPr>
        <w:pStyle w:val="NormalWeb"/>
        <w:tabs>
          <w:tab w:val="left" w:pos="1560"/>
        </w:tabs>
        <w:spacing w:before="0" w:beforeAutospacing="0" w:after="0" w:afterAutospacing="0"/>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2.7.5</w:t>
      </w:r>
    </w:p>
    <w:p w14:paraId="75AE4037" w14:textId="0925E240"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Shënjestrimi bazuar në mbledhjen e inteligjencës dhe në rrezik, me qëllim identifikimin e korrupsionit, abuzimit dhe aktivitetit kriminal brenda burgjeve.</w:t>
      </w:r>
    </w:p>
    <w:p w14:paraId="38E281DB" w14:textId="03D09C86"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Referim në kohë i rasteve të identifikuara tek organet përgjegjëse hetimore dhe të prokurorisë, si dhe monitorimi i vazhdueshëm i ecurisë së çështjeve.</w:t>
      </w:r>
    </w:p>
    <w:p w14:paraId="649C7C68" w14:textId="7B4F547D"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2.7.6</w:t>
      </w:r>
    </w:p>
    <w:p w14:paraId="625D976B" w14:textId="3B7F1EBC"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Miratimi i mekanizmave të strukturuar për shkëmbimin e informacionit midis SPAK-ut, prokurorëve të rrethit dhe agjencive ligjzbatuese, në zbulimin dhe trajtimin e aktivitetit kriminal në burgje.</w:t>
      </w:r>
    </w:p>
    <w:p w14:paraId="3B86C474" w14:textId="02B7C20B"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Kryerja e veprimeve operacionale të koordinuara dhe të sesioneve të përbashkëta të planifikimit për hetimin, ndërprerjen dhe ndjekjen penale të rrjeteve kriminale që veprojnë brenda strukturave të vuajtjes së dënimit.</w:t>
      </w:r>
    </w:p>
    <w:p w14:paraId="3C2B7526" w14:textId="375E96F1"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2.7.7</w:t>
      </w:r>
    </w:p>
    <w:p w14:paraId="6A3A18EE" w14:textId="1D514083"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Zgjerimi i përdorimit të ligjshëm të metodave të posaçme të hetimit, si përgjimi, infiltrimi dhe mbikëqyrja fizike, me qëllim zbulimin dhe dokumentimin e aktiviteteve të krimit të organizuar.</w:t>
      </w:r>
    </w:p>
    <w:p w14:paraId="51DB5267" w14:textId="02D3A639"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Ofrimi i trajnimit të specializuar, mbikëqyrjes dhe mekanizmave të sigurimit të cilësisë, për të rritur performancën profesionale të oficerëve që zbatojnë këto metoda.</w:t>
      </w:r>
    </w:p>
    <w:p w14:paraId="65F5217E" w14:textId="7701C0F9"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2.7.8</w:t>
      </w:r>
    </w:p>
    <w:p w14:paraId="0812C415" w14:textId="6D5E9160"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lastRenderedPageBreak/>
        <w:t xml:space="preserve">- Kryerja e hetimeve financiare të avancuara paralelisht me hetimet penale, për identifikimin, gjurmimin dhe sekuestrimin e aseteve që rrjedhin nga krimi i organizuar. </w:t>
      </w:r>
    </w:p>
    <w:p w14:paraId="52F8FCEB" w14:textId="60EDA86F"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Forcimi i mbështetjes analitike dhe bashkëpunimit ndërinstitucional për shënjestrimin e individëve me vlerë të lartë, financuesve dhe lehtësuesve brenda rrjeteve kriminale.</w:t>
      </w:r>
    </w:p>
    <w:p w14:paraId="350BB26A" w14:textId="6EF71A84"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2.7.9</w:t>
      </w:r>
    </w:p>
    <w:p w14:paraId="1CC86DB1" w14:textId="3FF9CC97"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Zhvillimi i takimeve koordinuese periodike, analizave të përbashkëta dhe trajnimeve të përbashkëta me partnerët kombëtarë dhe ndërkombëtarë, për zbulimin dhe ndërprerjen e aktivitetit të krimit të organizuar.</w:t>
      </w:r>
    </w:p>
    <w:p w14:paraId="5024E954" w14:textId="14C1A967"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Forcimi i mekanizmave të strukturuar të shkëmbimit të informacionit dhe zbatimi i marrëveshjeve të bashkëpunimit, për të mbështetur hetimet e përbashkëta dhe veprimet operacionale.</w:t>
      </w:r>
    </w:p>
    <w:p w14:paraId="3318270A" w14:textId="46799285"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2.7.10</w:t>
      </w:r>
    </w:p>
    <w:p w14:paraId="409E7736" w14:textId="7D5A7877"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Mbledhja dhe analizimi i të dhënave nga autoritetet ligjzbatuese, inteligjenca dhe organet rregullatorë, me qëllim identifikimin dhe vlerësimin e kërcënimeve që rrjedhin nga krimi i organizuar dhe i rëndë.</w:t>
      </w:r>
    </w:p>
    <w:p w14:paraId="1A501E86" w14:textId="46641A85"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Përgatitja e një raporti gjithëpërfshirës të kërcënimeve, për të udhëhequr planifikimin strategjik dhe operacional të bazuar në të dhëna.</w:t>
      </w:r>
    </w:p>
    <w:p w14:paraId="0EAFAE3C" w14:textId="56A448D1"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2.7.11</w:t>
      </w:r>
    </w:p>
    <w:p w14:paraId="04BBE614" w14:textId="676CEB92"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xml:space="preserve">- Hartimi dhe zbatimi i metodologjisë për renditjen e grupeve kriminale aktive bazuar në rrezik, nivel kërcënimi dhe ndikim operacional. </w:t>
      </w:r>
    </w:p>
    <w:p w14:paraId="37763C2C" w14:textId="128271DE"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Përdorimi i vlerësimeve të rrezikut për të prioritizuar veprimet operacionale, hetimet dhe përpjekjet e ndërprerjes kundër grupeve me rrezik të lartë.</w:t>
      </w:r>
    </w:p>
    <w:p w14:paraId="4DEF3295" w14:textId="11772F79"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2.7.12</w:t>
      </w:r>
    </w:p>
    <w:p w14:paraId="6C746CB8" w14:textId="75B0E8A9"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xml:space="preserve">- Prokurimi dhe instalimi i pajisjes së re Router VPN për të garantuar komunikim të sigurt dhe të enkriptuar brenda sistemit të INTERPOL-it. </w:t>
      </w:r>
    </w:p>
    <w:p w14:paraId="497BD2F1" w14:textId="4200803B"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Kryerja e testimit dhe konfigurimit, si edhe trajnimi i personelit për të garantuar konfidencialitetin, integritetin dhe shkëmbimin e pandërprerë të informacionit.</w:t>
      </w:r>
    </w:p>
    <w:p w14:paraId="2E584A62" w14:textId="4E413B7A"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2.7.13</w:t>
      </w:r>
    </w:p>
    <w:p w14:paraId="0C2A5B7C" w14:textId="5AAD4167"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Kryerja e planifikimit operacional të bazuar në rrezik dhe në masa parandalimi të shënjestruar, me qëllim shkurajimin dhe ndërprerjen e aktivitetit kriminal të dhunshëm, përfshirë vrasjet dhe lëndimet e rënda.</w:t>
      </w:r>
    </w:p>
    <w:p w14:paraId="50045B45" w14:textId="437A09A7"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xml:space="preserve">- Koordinimi i veprimeve midis strukturave policore për të identifikuar individët me rrezik të lartë, për të parandaluar përshkallëzimin dhe për t’iu përgjigjur me shpejtësi kërcënimeve që shfaqen rishtas. </w:t>
      </w:r>
    </w:p>
    <w:p w14:paraId="522E3AE2" w14:textId="366ABE95"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2.7.14</w:t>
      </w:r>
    </w:p>
    <w:p w14:paraId="5295E19E" w14:textId="63E043A5"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Forcimi i mbledhjes së inteligjencës dhe zbatimi i metodave të posaçme të hetimit, për zbulimin dhe gjurmimin e individëve dhe grupeve të përfshira në krime të rënda dhe të dhunshme.</w:t>
      </w:r>
    </w:p>
    <w:p w14:paraId="5AFD4B5B" w14:textId="063A204E"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Prioritizimi i hetimeve që shënjestrojnë shkelësit me rrezik të lartë dhe grupet e organizuara, përgjegjëse për vepra të dhunshme të përsëritura ose me ndikim të lartë.</w:t>
      </w:r>
    </w:p>
    <w:p w14:paraId="4240BD8C" w14:textId="7583B364"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2.7.15</w:t>
      </w:r>
    </w:p>
    <w:p w14:paraId="48B47562" w14:textId="3697A168"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w:t>
      </w:r>
      <w:r w:rsidR="00F54824" w:rsidRPr="002128A6">
        <w:rPr>
          <w:rFonts w:ascii="Garamond" w:hAnsi="Garamond" w:cs="Garamond"/>
        </w:rPr>
        <w:t xml:space="preserve"> </w:t>
      </w:r>
      <w:r w:rsidRPr="002128A6">
        <w:rPr>
          <w:rFonts w:ascii="Garamond" w:hAnsi="Garamond" w:cs="Garamond"/>
        </w:rPr>
        <w:t xml:space="preserve">Prokurimi i pajisjeve të identifikimit biometrik me specifikime teknike të përshtatshme, si dhe instalimi i sigurt dhe integrimi me bazat përkatëse të të dhënave. </w:t>
      </w:r>
    </w:p>
    <w:p w14:paraId="4E07FC0E" w14:textId="651C5E54"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Trajnimi i personelit operacional dhe integrimi i flukseve biometrike të punës në procedurat hetimore dhe ekzekutuese për të mbështetur identifikimin e saktë.</w:t>
      </w:r>
    </w:p>
    <w:p w14:paraId="235D7B8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5459C19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Numri i rrjeteve prioritare të krimit të organizuar të identifikuara dhe të shënjestruara.</w:t>
      </w:r>
    </w:p>
    <w:p w14:paraId="126490E1" w14:textId="7A2DC3E6"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operacioneve të task</w:t>
      </w:r>
      <w:r w:rsidR="002C6785" w:rsidRPr="002128A6">
        <w:rPr>
          <w:rFonts w:ascii="Garamond" w:hAnsi="Garamond" w:cs="Garamond"/>
        </w:rPr>
        <w:t>-</w:t>
      </w:r>
      <w:r w:rsidRPr="002128A6">
        <w:rPr>
          <w:rFonts w:ascii="Garamond" w:hAnsi="Garamond" w:cs="Garamond"/>
        </w:rPr>
        <w:t>forcës së përbashkët të kryera kundër shenjëstrave prioritare.</w:t>
      </w:r>
    </w:p>
    <w:p w14:paraId="3716C51B"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dënimeve të lidhura me grupet e krimit të organizuar, si dhe rezultatet e rikuperimit të aseteve.</w:t>
      </w:r>
    </w:p>
    <w:p w14:paraId="7F946D9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lastRenderedPageBreak/>
        <w:t xml:space="preserve">Institucionet përgjegjëse: </w:t>
      </w:r>
      <w:r w:rsidRPr="002128A6">
        <w:rPr>
          <w:rFonts w:ascii="Garamond" w:hAnsi="Garamond" w:cs="Garamond"/>
        </w:rPr>
        <w:t>Ministria e Drejtësisë, Byroja Kombëtare e Hetimit, Drejtoria e Përgjithshme e Burgjeve/Institucionet e Ekzekutimit të Vendimeve Penale/AMSEVP; Policia e Shtetit.</w:t>
      </w:r>
    </w:p>
    <w:p w14:paraId="7C3CBF9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mbështetëse: </w:t>
      </w:r>
      <w:r w:rsidRPr="002128A6">
        <w:rPr>
          <w:rFonts w:ascii="Garamond" w:hAnsi="Garamond" w:cs="Garamond"/>
        </w:rPr>
        <w:t>Byroja Kombëtare e Hetimit, Prokuroria e Posaçme, Gjykatat, Policia e Shtetit, Struktura e Posaçme Kundër Korrupsionit dhe Krimit të Organizuar, Prokuroria e Përgjithshme, Shërbimi Informativ i Shtetit, Ministria e Punëve të Brendshme, INTERPOL.</w:t>
      </w:r>
    </w:p>
    <w:p w14:paraId="4190368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54883441"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Numri i procedimeve penale të referuara në gjykatë në lidhje me krimin e organizuar dhe krimin e rëndë, dhe numri i personave të ndjekur penalisht.</w:t>
      </w:r>
    </w:p>
    <w:p w14:paraId="08497456" w14:textId="2CF2E5BF"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Vlera bazë: </w:t>
      </w:r>
      <w:r w:rsidRPr="002128A6">
        <w:rPr>
          <w:rFonts w:ascii="Garamond" w:hAnsi="Garamond" w:cs="Garamond"/>
        </w:rPr>
        <w:t>do të konfirmohet në 2026</w:t>
      </w:r>
      <w:r w:rsidR="00D86AE7" w:rsidRPr="002128A6">
        <w:rPr>
          <w:rFonts w:ascii="Garamond" w:hAnsi="Garamond" w:cs="Garamond"/>
        </w:rPr>
        <w:t>;</w:t>
      </w:r>
    </w:p>
    <w:p w14:paraId="0500CF1A" w14:textId="1922AD69"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w:t>
      </w:r>
      <w:r w:rsidR="00D86AE7" w:rsidRPr="002128A6">
        <w:rPr>
          <w:rFonts w:ascii="Garamond" w:hAnsi="Garamond" w:cs="Garamond"/>
          <w:b/>
          <w:bCs/>
        </w:rPr>
        <w:t>m</w:t>
      </w:r>
      <w:r w:rsidRPr="002128A6">
        <w:rPr>
          <w:rFonts w:ascii="Garamond" w:hAnsi="Garamond" w:cs="Garamond"/>
          <w:b/>
          <w:bCs/>
        </w:rPr>
        <w:t xml:space="preserve">ë 2030: </w:t>
      </w:r>
      <w:r w:rsidRPr="002128A6">
        <w:rPr>
          <w:rFonts w:ascii="Garamond" w:hAnsi="Garamond" w:cs="Garamond"/>
        </w:rPr>
        <w:t>do të konfirmohet në 2026.</w:t>
      </w:r>
    </w:p>
    <w:p w14:paraId="0B15D358" w14:textId="77777777" w:rsidR="0025426C" w:rsidRPr="002128A6" w:rsidRDefault="0025426C" w:rsidP="0025426C">
      <w:pPr>
        <w:pStyle w:val="Heading3"/>
        <w:spacing w:before="0" w:after="0" w:line="240" w:lineRule="auto"/>
        <w:ind w:firstLine="284"/>
        <w:jc w:val="both"/>
        <w:rPr>
          <w:rFonts w:ascii="Garamond" w:hAnsi="Garamond" w:cs="Garamond"/>
          <w:b/>
          <w:bCs/>
          <w:color w:val="auto"/>
          <w:sz w:val="24"/>
          <w:szCs w:val="24"/>
        </w:rPr>
      </w:pPr>
      <w:r w:rsidRPr="002128A6">
        <w:rPr>
          <w:rFonts w:ascii="Garamond" w:hAnsi="Garamond" w:cs="Garamond"/>
          <w:b/>
          <w:bCs/>
          <w:color w:val="auto"/>
          <w:sz w:val="24"/>
          <w:szCs w:val="24"/>
        </w:rPr>
        <w:t xml:space="preserve">Objektivi Specifik 2.8: 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p w14:paraId="5F59819A"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Forcimi i mekanizmave për parandalimin, zbulimin dhe ndëshkimin e krimeve mjedisore është i nevojshëm për mbrojtjen e ekosistemeve dhe burimeve natyrore. Përmirësimi i kapaciteteve të autoriteteve ligjzbatuese dhe përdorimi i teknologjive moderne mundëson identifikimin dhe synimin e grupeve të organizuara kriminale që veprojnë në mënyrë të paligjshme kundër mjedisit. </w:t>
      </w:r>
    </w:p>
    <w:p w14:paraId="07CDD85A" w14:textId="17510A4E"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Kjo përfshin ndërhyrje efektive në prerjen e paligjshme, trafikimin e mbetjeve të rrezikshme dhe jo të rrezikshme, nxjerrjen e paligjshme të mineraleve (rërë dhe zhavorr), krimet ndaj kafshëve të egra dhe tregtinë/kontrabandën e paligjshme, ndërtimet e paautorizuara në zona të mbrojtura</w:t>
      </w:r>
      <w:r w:rsidR="00F54824" w:rsidRPr="002128A6">
        <w:rPr>
          <w:rFonts w:ascii="Garamond" w:hAnsi="Garamond" w:cs="Garamond"/>
        </w:rPr>
        <w:t xml:space="preserve"> </w:t>
      </w:r>
      <w:r w:rsidRPr="002128A6">
        <w:rPr>
          <w:rFonts w:ascii="Garamond" w:hAnsi="Garamond" w:cs="Garamond"/>
        </w:rPr>
        <w:t>dhe shkatërrimin e habitatit natyror, si dhe forcimin e bashkëpunimit midis institucioneve shtetërore dhe organizatave mjedisore. Monitorimi i krimit mjedisor do të bazohet në një sistem të integruar të mbledhjes dhe raportimit të të dhënave ndërinstitucionale, bazuar kërkesat e nenit 22 të Direktivës (BE) 2024/1203, duke siguruar gjurmueshmërinë e rasteve nga identifikimi deri në vendimmarrjen përfundimtare dhe konfiskimin e përfitimeve të paligjshme.</w:t>
      </w:r>
    </w:p>
    <w:p w14:paraId="7EF19B48"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Në këtë mënyrë, përmes zbatimit të masave, synohet të reduktohen ndjeshëm rastet e ndotjes së qëllimshme, prerjes së paligjshme dhe dëmtimeve të tjera mjedisore, duke krijuar një sistem të qëndrueshëm mbikëqyrjeje dhe ndëshkimi. Kjo forcon llogaridhënien ligjore për shkeljet mjedisore dhe rrit ndërgjegjësimin publik për rëndësinë e mbrojtjes së mjedisit. Mbrojtja e mjedisit kontribuon në zhvillimin e qëndrueshëm ekonomik dhe social, duke siguruar mirëqenie afatgjatë dhe ruajtje të burimeve natyrore. </w:t>
      </w:r>
    </w:p>
    <w:p w14:paraId="15DF07E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283EEE61"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Ngritja e kapaciteteve të specializuara të hetimit dhe ndjekjes penale të krimit mjedisor.</w:t>
      </w:r>
    </w:p>
    <w:p w14:paraId="114BC154"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Rritja e zbulimit dhe ndjekjes penale të veprave të krimit mjedisor.</w:t>
      </w:r>
    </w:p>
    <w:p w14:paraId="22446EF0"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3: </w:t>
      </w:r>
      <w:r w:rsidRPr="002128A6">
        <w:rPr>
          <w:rFonts w:ascii="Garamond" w:hAnsi="Garamond" w:cs="Garamond"/>
        </w:rPr>
        <w:t>Koordinim i përmirësuar ndërinstitucional për mbrojtjen dhe zbatimin mjedisor.</w:t>
      </w:r>
    </w:p>
    <w:p w14:paraId="3660A23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Ky Objektiv Specifik do të zbatohet përmes Masave të mëposhtme:</w:t>
      </w:r>
    </w:p>
    <w:p w14:paraId="343CC8B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2.8.1:</w:t>
      </w:r>
      <w:r w:rsidRPr="002128A6">
        <w:rPr>
          <w:rFonts w:ascii="Garamond" w:hAnsi="Garamond" w:cs="Garamond"/>
        </w:rPr>
        <w:t xml:space="preserve"> Rritja e aktivitetit hetimor parandalues dhe proaktiv kundër krimeve mjedisore, me qëllim përmirësimin e mekanizmave mbrojtës dhe identifikimin e hershëm të veprave penale mjedisore, përfshirë përmes shënjestrimit të bazuar në rrezik, patrullimeve dhe inspektimeve të udhëhequra nga inteligjenca, si dhe nisjes në kohë të hetimeve proaktive.</w:t>
      </w:r>
    </w:p>
    <w:p w14:paraId="1AECE40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2.8.2:</w:t>
      </w:r>
      <w:r w:rsidRPr="002128A6">
        <w:rPr>
          <w:rFonts w:ascii="Garamond" w:hAnsi="Garamond" w:cs="Garamond"/>
        </w:rPr>
        <w:t xml:space="preserve"> Forcimi i shkëmbimit të informacionit si mjet strategjik për të përmirësuar cilësinë dhe efektivitetin e hetimeve të veprave penale që lidhen me krimet mjedisore, në bashkëpunim me prokuroritë e juridiksionit të përgjithshëm, përfshirë përmes koordinimit të strukturuar të çështjeve, referimeve në kohë dhe ndarjes së pistave hetimore, nevojave provuese dhe produkteve analitike.</w:t>
      </w:r>
    </w:p>
    <w:p w14:paraId="0CF5C32F" w14:textId="2A60D260"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2.8.3</w:t>
      </w:r>
      <w:r w:rsidRPr="002128A6">
        <w:rPr>
          <w:rFonts w:ascii="Garamond" w:hAnsi="Garamond" w:cs="Garamond"/>
        </w:rPr>
        <w:t xml:space="preserve">: Forcimi i bashkëpunimit ndërkombëtar në shkëmbimin e informacionit mbi krimin mjedisor, përmes kanaleve të sigurta të komunikimit, me qëllim sigurinë mjedisore globale dhe </w:t>
      </w:r>
      <w:r w:rsidRPr="002128A6">
        <w:rPr>
          <w:rFonts w:ascii="Garamond" w:hAnsi="Garamond" w:cs="Garamond"/>
        </w:rPr>
        <w:lastRenderedPageBreak/>
        <w:t>kombëtare, duke promovuar bashkëpunimin ndërkufitar dhe hetimet e përbashkëta, si dhe duke përdorur mjetet dhe mekanizmat përkatës sipas UNTOC (Konventës së OKB-së kundër Krimit të Organizuar Transnacional) për të luftuar prerjen e paligjshme, trafikimin e mbetjeve, dhe trafikimin e</w:t>
      </w:r>
      <w:r w:rsidR="00F54824" w:rsidRPr="002128A6">
        <w:rPr>
          <w:rFonts w:ascii="Garamond" w:hAnsi="Garamond" w:cs="Garamond"/>
        </w:rPr>
        <w:t xml:space="preserve"> </w:t>
      </w:r>
      <w:r w:rsidRPr="002128A6">
        <w:rPr>
          <w:rFonts w:ascii="Garamond" w:hAnsi="Garamond" w:cs="Garamond"/>
        </w:rPr>
        <w:t xml:space="preserve">kafshëve të egra. </w:t>
      </w:r>
    </w:p>
    <w:p w14:paraId="4B4D8A3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2.8.4:</w:t>
      </w:r>
      <w:r w:rsidRPr="002128A6">
        <w:rPr>
          <w:rFonts w:ascii="Garamond" w:hAnsi="Garamond" w:cs="Garamond"/>
        </w:rPr>
        <w:t xml:space="preserve"> Ofrimi i trajnimit të përbashkët për oficerët e agjencive ligjzbatuese mbi identifikimin, zbulimin dhe referimin (kualifikimin) e krimeve mjedisore, përfshirë trajnimin mbi tipologjitë e krimit mjedisor, kërkesat e mbledhjes së provave dhe procedurat e koordinimit me inspektorët dhe prokurorët.</w:t>
      </w:r>
    </w:p>
    <w:p w14:paraId="78BD076B"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2.8.5</w:t>
      </w:r>
      <w:r w:rsidRPr="002128A6">
        <w:rPr>
          <w:rFonts w:ascii="Garamond" w:hAnsi="Garamond" w:cs="Garamond"/>
        </w:rPr>
        <w:t>: Krijimi dhe operacionalizimi i njësive të specializuara për identifikimin dhe hetimin e krimeve mjedisore, duke përcaktuar mandatet, profilet e personelit, mekanizmat e koordinimit me inspektoratet mjedisore dhe prokurorët, dhe përdorimin e mjeteve dhe metodologjive të specializuara për zbulimin dhe zhvillimin e çështjes.</w:t>
      </w:r>
    </w:p>
    <w:p w14:paraId="06D29C1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2.8.6</w:t>
      </w:r>
      <w:r w:rsidRPr="002128A6">
        <w:rPr>
          <w:rFonts w:ascii="Garamond" w:hAnsi="Garamond" w:cs="Garamond"/>
        </w:rPr>
        <w:t>: Integrimi i kurrikulave të krimit mjedisor në Akademinë e Sigurisë, si dhe hartimi i moduleve të specializuara të trajnimit ndërinstitucional për hetuesit financiarë, prokurorët dhe inspektorët mjedisorë, përfshirë module për korrupsionin e gjelbër, të ardhurat mjedisore nga krimi, si dhe flukset e paligjshme financiare që rrjedhin nga krimet mjedisore, me qëllim forcimin e parandalimit, zbulimit dhe ndërtimit efektiv të çështjes.</w:t>
      </w:r>
    </w:p>
    <w:p w14:paraId="58BB00E3"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2.8.7:</w:t>
      </w:r>
      <w:r w:rsidRPr="002128A6">
        <w:rPr>
          <w:rFonts w:ascii="Garamond" w:hAnsi="Garamond" w:cs="Garamond"/>
        </w:rPr>
        <w:t xml:space="preserve"> Përfshirja e kurrikulave të krimit mjedisor në Shkollën e Magjistraturës për trajnimin fillestar dhe të vazhdueshëm të magjistratëve, përfshirë modulet mbi kualifikimin e veprave, standardet provuese, të ardhurat e krimit mjedisor dhe përdorimin e ekspertizës së specializuar dhe koordinimit ndërinstitucional në procedimet e krimit mjedisor.</w:t>
      </w:r>
    </w:p>
    <w:p w14:paraId="191DD8D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Për të mbështetur arritjen e këtyre Masave, do të zbatohen Aktivitetet e mëposhtme:</w:t>
      </w:r>
    </w:p>
    <w:p w14:paraId="29145173" w14:textId="24B03348"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2.8.1</w:t>
      </w:r>
    </w:p>
    <w:p w14:paraId="0B857C1A" w14:textId="343049DD"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Kryerja e patrullimeve të shënjestruara, të bazuara në rrezik dhe të udhëhequra nga inteligjenca, në zonat me rrezik të lartë për prerjen e paligjshme, trafikimin e mbetjeve, krimin ndaj kafshëve të egra dhe nxjerrjen e paautorizuar të burimeve natyrore, duke siguruar identifikim të hershëm të veprave.</w:t>
      </w:r>
    </w:p>
    <w:p w14:paraId="1AF6A453" w14:textId="3643B06C"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Nisja e hetimeve proaktive bazuar në tregues të rrezikut mjedisor, imazhe satelitore, monitorim me dron</w:t>
      </w:r>
      <w:r w:rsidR="008602A2">
        <w:rPr>
          <w:rFonts w:ascii="Garamond" w:hAnsi="Garamond" w:cs="Garamond"/>
        </w:rPr>
        <w:t>e</w:t>
      </w:r>
      <w:r w:rsidRPr="002128A6">
        <w:rPr>
          <w:rFonts w:ascii="Garamond" w:hAnsi="Garamond" w:cs="Garamond"/>
        </w:rPr>
        <w:t xml:space="preserve"> dhe raportim komunitar, duke mundësuar ndërhyrje në kohë dhe zhvillim të çështjes.</w:t>
      </w:r>
    </w:p>
    <w:p w14:paraId="030AC472" w14:textId="622056AA"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2.8.2</w:t>
      </w:r>
    </w:p>
    <w:p w14:paraId="4F1EF70B" w14:textId="3BA591B0"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Krijimi i mekanizmave të strukturuar të koordinimit të çështjes me prokurorët, përfshirë takime të rregullta, rishikim të përbashkët të pistave hetimore dhe referime në kohë të veprave të dyshuara mjedisore. </w:t>
      </w:r>
    </w:p>
    <w:p w14:paraId="71F85296" w14:textId="08B30B93" w:rsidR="0025426C" w:rsidRPr="002128A6" w:rsidRDefault="0025426C" w:rsidP="0025426C">
      <w:pPr>
        <w:pStyle w:val="NormalWeb"/>
        <w:tabs>
          <w:tab w:val="left" w:pos="1560"/>
        </w:tabs>
        <w:spacing w:before="0" w:beforeAutospacing="0" w:after="0" w:afterAutospacing="0"/>
        <w:ind w:firstLine="284"/>
        <w:jc w:val="both"/>
        <w:rPr>
          <w:rFonts w:ascii="Garamond" w:hAnsi="Garamond" w:cs="Garamond"/>
        </w:rPr>
      </w:pPr>
      <w:r w:rsidRPr="002128A6">
        <w:rPr>
          <w:rFonts w:ascii="Garamond" w:hAnsi="Garamond" w:cs="Garamond"/>
        </w:rPr>
        <w:t>- Shpërndarja e produkteve analitike, nevojave provuese dhe konstatimeve hetimore për të përmirësuar cilësinë e çështjes dhe për të siguruar kualifikim dhe ndjekje konsistente të krimeve mjedisore.</w:t>
      </w:r>
    </w:p>
    <w:p w14:paraId="5E85436B" w14:textId="420ED508"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2.8.3</w:t>
      </w:r>
    </w:p>
    <w:p w14:paraId="397854AF" w14:textId="58962D5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Përdorimi i kanaleve të sigurta të komunikimit dhe mekanizmave të UNTOC-ut për shkëmbimin e informacionit me autoritetet e huaja mbi prerjen e paligjshme, trafikimin e mbetjeve, kontrabandën e kafshëve të egra dhe veprat mjedisore ndërkufitare. </w:t>
      </w:r>
    </w:p>
    <w:p w14:paraId="58559E3B" w14:textId="6D7208A2"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Pjesëmarrja në hetime të përbashkëta, operacione ndërkufitare dhe task</w:t>
      </w:r>
      <w:r w:rsidR="005C084B" w:rsidRPr="002128A6">
        <w:rPr>
          <w:rFonts w:ascii="Garamond" w:hAnsi="Garamond" w:cs="Garamond"/>
        </w:rPr>
        <w:t>-</w:t>
      </w:r>
      <w:r w:rsidRPr="002128A6">
        <w:rPr>
          <w:rFonts w:ascii="Garamond" w:hAnsi="Garamond" w:cs="Garamond"/>
        </w:rPr>
        <w:t>forca ndërkombëtare për të goditur rrjetet transnacionale të krimit mjedisor.</w:t>
      </w:r>
    </w:p>
    <w:p w14:paraId="67A42369" w14:textId="41A1622B"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2.8.4</w:t>
      </w:r>
    </w:p>
    <w:p w14:paraId="1EEF5527" w14:textId="6AB6D22C"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w:t>
      </w:r>
      <w:r w:rsidR="00F54824" w:rsidRPr="002128A6">
        <w:rPr>
          <w:rFonts w:ascii="Garamond" w:hAnsi="Garamond" w:cs="Garamond"/>
        </w:rPr>
        <w:t xml:space="preserve"> </w:t>
      </w:r>
      <w:r w:rsidRPr="002128A6">
        <w:rPr>
          <w:rFonts w:ascii="Garamond" w:hAnsi="Garamond" w:cs="Garamond"/>
        </w:rPr>
        <w:t xml:space="preserve">Ofrimi i trajnimit të specializuar mbi tipologjitë e krimit mjedisor, kërkesat e mbledhjes së provave dhe procedurat e koordinimit me inspektorët mjedisorë dhe prokurorët. </w:t>
      </w:r>
    </w:p>
    <w:p w14:paraId="5EA2831F" w14:textId="55EC05B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Kryerja e ushtrimeve të përbashkëta praktike që simulojnë dokumentimin e vendit të krimit, marrjen e mostrave dhe proceset e referimit, me qëllim forcimin e bashkëpunimit ndërinstitucional.</w:t>
      </w:r>
    </w:p>
    <w:p w14:paraId="1B8D20D1" w14:textId="1BD3B4B4"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2.8.5</w:t>
      </w:r>
    </w:p>
    <w:p w14:paraId="1030C2A0" w14:textId="641C969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lastRenderedPageBreak/>
        <w:t xml:space="preserve">- Ngritja e njësive të specializuara me mandate të përcaktuara, profile personeli dhe procedura operacionale për zbulimin dhe hetimin e krimeve mjedisore. </w:t>
      </w:r>
    </w:p>
    <w:p w14:paraId="39A73FA7" w14:textId="2560BE19"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Pajisja e njësive me mjete të specializuara, si GPS, kite për marrje mostrash, dron</w:t>
      </w:r>
      <w:r w:rsidR="008602A2">
        <w:rPr>
          <w:rFonts w:ascii="Garamond" w:hAnsi="Garamond" w:cs="Garamond"/>
        </w:rPr>
        <w:t>e</w:t>
      </w:r>
      <w:r w:rsidRPr="002128A6">
        <w:rPr>
          <w:rFonts w:ascii="Garamond" w:hAnsi="Garamond" w:cs="Garamond"/>
        </w:rPr>
        <w:t xml:space="preserve"> dhe mjete të hartëzimit </w:t>
      </w:r>
      <w:r w:rsidR="00F54824" w:rsidRPr="002128A6">
        <w:rPr>
          <w:rFonts w:ascii="Garamond" w:hAnsi="Garamond" w:cs="Garamond"/>
        </w:rPr>
        <w:t>digjital</w:t>
      </w:r>
      <w:r w:rsidRPr="002128A6">
        <w:rPr>
          <w:rFonts w:ascii="Garamond" w:hAnsi="Garamond" w:cs="Garamond"/>
        </w:rPr>
        <w:t>, si dhe koordinimi i strukturuar me inspektoratet mjedisore dhe prokurorët.</w:t>
      </w:r>
    </w:p>
    <w:p w14:paraId="6041C71A" w14:textId="4D6CC41F"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2.8.6</w:t>
      </w:r>
    </w:p>
    <w:p w14:paraId="56801DB1" w14:textId="2BBB8104"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Futja e moduleve të krimit mjedisor në programet e Akademisë së Sigurisë, përfshirë korrupsionin e gjelbër, të ardhurat mjedisore nga krimi dhe flukset e paligjshme financiare të lidhura me veprat mjedisore. </w:t>
      </w:r>
    </w:p>
    <w:p w14:paraId="0BFFE2B3" w14:textId="6C88B835"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Përgatitja e moduleve të trajnimit ndërinstitucional për hetuesit financiarë, prokurorët dhe inspektorët mjedisorë, me qëllim forcimin e kapaciteteve të parandalimit, zbulimit dhe ndërtimit të çështjes.</w:t>
      </w:r>
    </w:p>
    <w:p w14:paraId="72A8A6DF" w14:textId="5D4E5362"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2.8.7</w:t>
      </w:r>
    </w:p>
    <w:p w14:paraId="4B169B8B" w14:textId="7A409B63"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Përgatitja e moduleve të specializuara të trajnimi për magjistratët mbi kualifikimin e veprave mjedisore, standardet provuese dhe përdorimin e dëshmisë së ekspertit në çështjet e krimit mjedisor. </w:t>
      </w:r>
    </w:p>
    <w:p w14:paraId="3D59F7F1" w14:textId="682B6AD0"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Ofrimi i trajnimit të vazhdueshëm mbi të ardhurat e krimit mjedisor, koordinimin ndërinstitucional dhe ndjekjen gjyqësore të çështjeve komplekse të krimit mjedisor.</w:t>
      </w:r>
    </w:p>
    <w:p w14:paraId="3F89A73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1EE12B4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Njësia e hetimit të krimit mjedisor e ngritur dhe funksionale.</w:t>
      </w:r>
    </w:p>
    <w:p w14:paraId="3F45CFA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hetimeve të krimit mjedisor të nisura dhe çështjeve të ndjekura penalisht.</w:t>
      </w:r>
    </w:p>
    <w:p w14:paraId="743D2957"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ndjekjeve dhe dënimeve të krimit mjedisor.</w:t>
      </w:r>
    </w:p>
    <w:p w14:paraId="6967D45B" w14:textId="1249C51E"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përgjegjëse: </w:t>
      </w:r>
      <w:r w:rsidRPr="002128A6">
        <w:rPr>
          <w:rFonts w:ascii="Garamond" w:hAnsi="Garamond" w:cs="Garamond"/>
        </w:rPr>
        <w:t>Policia e Shtetit</w:t>
      </w:r>
      <w:r w:rsidR="005C084B" w:rsidRPr="002128A6">
        <w:rPr>
          <w:rFonts w:ascii="Garamond" w:hAnsi="Garamond" w:cs="Garamond"/>
        </w:rPr>
        <w:t>/</w:t>
      </w:r>
      <w:r w:rsidRPr="002128A6">
        <w:rPr>
          <w:rFonts w:ascii="Garamond" w:hAnsi="Garamond" w:cs="Garamond"/>
        </w:rPr>
        <w:t>Inspektorati Kombëtar i Mbrojtjes së Territorit, Akademia e Sigurisë, Shkolla e Magjistraturës.</w:t>
      </w:r>
    </w:p>
    <w:p w14:paraId="4F4A9AAC" w14:textId="47DEB990"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mbështetëse: </w:t>
      </w:r>
      <w:r w:rsidRPr="002128A6">
        <w:rPr>
          <w:rFonts w:ascii="Garamond" w:hAnsi="Garamond" w:cs="Garamond"/>
        </w:rPr>
        <w:t>Prokuroria e Përgjithshme; Byroja Kombëtare e Hetimit; Ministria e Mjedisit;</w:t>
      </w:r>
      <w:r w:rsidR="00F54824" w:rsidRPr="002128A6">
        <w:rPr>
          <w:rFonts w:ascii="Garamond" w:hAnsi="Garamond" w:cs="Garamond"/>
        </w:rPr>
        <w:t xml:space="preserve"> </w:t>
      </w:r>
      <w:r w:rsidRPr="002128A6">
        <w:rPr>
          <w:rFonts w:ascii="Garamond" w:hAnsi="Garamond" w:cs="Garamond"/>
        </w:rPr>
        <w:t>Inspektorati i Përgjithshëm; Policia e Shtetit.</w:t>
      </w:r>
    </w:p>
    <w:p w14:paraId="7C1C9CB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70B5D9D8"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Numri vjetor i hetimeve dhe ndjekjeve penale për krimet mjedisore.</w:t>
      </w:r>
    </w:p>
    <w:p w14:paraId="0B7335EC" w14:textId="62634FD0"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Vlera bazë: </w:t>
      </w:r>
      <w:r w:rsidRPr="002128A6">
        <w:rPr>
          <w:rFonts w:ascii="Garamond" w:hAnsi="Garamond" w:cs="Garamond"/>
        </w:rPr>
        <w:t>do të konfirmohet në 2026</w:t>
      </w:r>
      <w:r w:rsidR="00D86AE7" w:rsidRPr="002128A6">
        <w:rPr>
          <w:rFonts w:ascii="Garamond" w:hAnsi="Garamond" w:cs="Garamond"/>
        </w:rPr>
        <w:t>;</w:t>
      </w:r>
      <w:r w:rsidRPr="002128A6">
        <w:rPr>
          <w:rFonts w:ascii="Garamond" w:hAnsi="Garamond" w:cs="Garamond"/>
        </w:rPr>
        <w:t xml:space="preserve"> </w:t>
      </w:r>
    </w:p>
    <w:p w14:paraId="5DE85B5A" w14:textId="5E84F22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w:t>
      </w:r>
      <w:r w:rsidR="00D86AE7" w:rsidRPr="002128A6">
        <w:rPr>
          <w:rFonts w:ascii="Garamond" w:hAnsi="Garamond" w:cs="Garamond"/>
          <w:b/>
          <w:bCs/>
        </w:rPr>
        <w:t>m</w:t>
      </w:r>
      <w:r w:rsidRPr="002128A6">
        <w:rPr>
          <w:rFonts w:ascii="Garamond" w:hAnsi="Garamond" w:cs="Garamond"/>
          <w:b/>
          <w:bCs/>
        </w:rPr>
        <w:t xml:space="preserve">ë 2030: </w:t>
      </w:r>
      <w:r w:rsidRPr="002128A6">
        <w:rPr>
          <w:rFonts w:ascii="Garamond" w:hAnsi="Garamond" w:cs="Garamond"/>
        </w:rPr>
        <w:t>do të konfirmohet në 2026</w:t>
      </w:r>
      <w:r w:rsidR="00D86AE7" w:rsidRPr="002128A6">
        <w:rPr>
          <w:rFonts w:ascii="Garamond" w:hAnsi="Garamond" w:cs="Garamond"/>
        </w:rPr>
        <w:t>.</w:t>
      </w:r>
    </w:p>
    <w:p w14:paraId="07C76DF0" w14:textId="77777777" w:rsidR="0025426C" w:rsidRPr="002128A6" w:rsidRDefault="0025426C" w:rsidP="0025426C">
      <w:pPr>
        <w:pStyle w:val="Heading3"/>
        <w:spacing w:before="0" w:after="0" w:line="240" w:lineRule="auto"/>
        <w:ind w:firstLine="284"/>
        <w:jc w:val="both"/>
        <w:rPr>
          <w:rFonts w:ascii="Garamond" w:hAnsi="Garamond" w:cs="Garamond"/>
          <w:color w:val="auto"/>
          <w:sz w:val="24"/>
          <w:szCs w:val="24"/>
        </w:rPr>
      </w:pPr>
      <w:r w:rsidRPr="002128A6">
        <w:rPr>
          <w:rFonts w:ascii="Garamond" w:hAnsi="Garamond" w:cs="Garamond"/>
          <w:b/>
          <w:bCs/>
          <w:color w:val="auto"/>
          <w:sz w:val="24"/>
          <w:szCs w:val="24"/>
        </w:rPr>
        <w:t>Objektivi Specifik 2.9: Rritja efektivitetit të ndjekjes ndërkombëtare të personave të kërkuar, e demonstruar përmes normave më të larta të arrestimit dhe ekzekutimit në kohë të procedurave të ekstradimit</w:t>
      </w:r>
    </w:p>
    <w:p w14:paraId="08D13F65"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Ky objektiv specifik lidhet drejtpërdrejt me forcimin e bashkëpunimit me agjencitë ligjzbatuese të vendeve partnere. Përmes trajnimit të vazhdueshëm dhe pjesëmarrjes aktive në takimet e këtij rrjeti, synohet rritja e numrit të shtetasve shqiptarë dhe të huaj në kërkim ndërkombëtar që lokalizohen dhe arrestohen. Procesi i identifikimit, ndjekjes dhe arrestimit të individëve në kërkim ndërkombëtar dhe kombëtar, si dhe ndjekja e tyre ligjore, është një element kyç në reduktimin e ndikimit dhe kërcënimeve që krimi i organizuar dhe krimet e rënda paraqesin për vendin dhe rajonin në përgjithësi. </w:t>
      </w:r>
    </w:p>
    <w:p w14:paraId="5E79C9C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e pritshme të këtij objektivi janë si vijon:</w:t>
      </w:r>
    </w:p>
    <w:p w14:paraId="013F9B9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1: </w:t>
      </w:r>
      <w:r w:rsidRPr="002128A6">
        <w:rPr>
          <w:rFonts w:ascii="Garamond" w:hAnsi="Garamond" w:cs="Garamond"/>
        </w:rPr>
        <w:t>Rritje e numrit të kapjes së personave të kërkuarve përmes forcimit të aftësisë së zbulimit dhe bashkëpunimit ndërkombëtar.</w:t>
      </w:r>
    </w:p>
    <w:p w14:paraId="0040825E"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2: </w:t>
      </w:r>
      <w:r w:rsidRPr="002128A6">
        <w:rPr>
          <w:rFonts w:ascii="Garamond" w:hAnsi="Garamond" w:cs="Garamond"/>
        </w:rPr>
        <w:t>Procedura më të shpejta të ekstradimit duke reduktuar periudhat e paraburgimit para ekstradimit.</w:t>
      </w:r>
    </w:p>
    <w:p w14:paraId="45D5FE75"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Rezultati 3: </w:t>
      </w:r>
      <w:r w:rsidRPr="002128A6">
        <w:rPr>
          <w:rFonts w:ascii="Garamond" w:hAnsi="Garamond" w:cs="Garamond"/>
        </w:rPr>
        <w:t>Koordinim i përmirësuar ndërinstitucional për menaxhimin e të arratisurve.</w:t>
      </w:r>
    </w:p>
    <w:p w14:paraId="3D8F973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Ky Objektiv Specifik do të zbatohet përmes Masave të mëposhtme:</w:t>
      </w:r>
    </w:p>
    <w:p w14:paraId="48A92313"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2.9.1</w:t>
      </w:r>
      <w:r w:rsidRPr="002128A6">
        <w:rPr>
          <w:rFonts w:ascii="Garamond" w:hAnsi="Garamond" w:cs="Garamond"/>
        </w:rPr>
        <w:t xml:space="preserve">: Forcimi i përpjekjeve kombëtare dhe ndërkombëtare për lokalizimin, kapjen dhe vënien përpara drejtësisë të personave në kërkim kombëtar dhe ndërkombëtar, përfshirë përmes shënjestrimit të udhëhequr nga inteligjenca, veprimeve operacionale të koordinuara dhe ekzekutimit në kohë të vendimeve gjyqësore dhe kërkesave ndërkombëtare (përfshirë procedurat e arrestimit dhe </w:t>
      </w:r>
      <w:r w:rsidRPr="002128A6">
        <w:rPr>
          <w:rFonts w:ascii="Garamond" w:hAnsi="Garamond" w:cs="Garamond"/>
        </w:rPr>
        <w:lastRenderedPageBreak/>
        <w:t>ekstradimit/dorëzimit), me qëllim rritjen e normave të arrestimit dhe reduktimin e pandëshkueshmërisë.</w:t>
      </w:r>
    </w:p>
    <w:p w14:paraId="1BB360AD" w14:textId="16DF136E"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2.9.2</w:t>
      </w:r>
      <w:r w:rsidRPr="002128A6">
        <w:rPr>
          <w:rFonts w:ascii="Garamond" w:hAnsi="Garamond" w:cs="Garamond"/>
        </w:rPr>
        <w:t xml:space="preserve">: Rritja e shkëmbimit të të dhënave me Shtetet Anëtare të </w:t>
      </w:r>
      <w:r w:rsidR="007269A4" w:rsidRPr="002128A6">
        <w:rPr>
          <w:rFonts w:ascii="Garamond" w:hAnsi="Garamond" w:cs="Garamond"/>
        </w:rPr>
        <w:t>ENFAST-</w:t>
      </w:r>
      <w:r w:rsidR="00956886" w:rsidRPr="002128A6">
        <w:rPr>
          <w:rFonts w:ascii="Garamond" w:hAnsi="Garamond" w:cs="Garamond"/>
        </w:rPr>
        <w:t xml:space="preserve">it, Europolit </w:t>
      </w:r>
      <w:r w:rsidRPr="002128A6">
        <w:rPr>
          <w:rFonts w:ascii="Garamond" w:hAnsi="Garamond" w:cs="Garamond"/>
        </w:rPr>
        <w:t xml:space="preserve">dhe </w:t>
      </w:r>
      <w:r w:rsidR="00A634DB" w:rsidRPr="002128A6">
        <w:rPr>
          <w:rFonts w:ascii="Garamond" w:hAnsi="Garamond" w:cs="Garamond"/>
        </w:rPr>
        <w:t>INTERPOL-</w:t>
      </w:r>
      <w:r w:rsidR="00956886" w:rsidRPr="002128A6">
        <w:rPr>
          <w:rFonts w:ascii="Garamond" w:hAnsi="Garamond" w:cs="Garamond"/>
        </w:rPr>
        <w:t>it</w:t>
      </w:r>
      <w:r w:rsidRPr="002128A6">
        <w:rPr>
          <w:rFonts w:ascii="Garamond" w:hAnsi="Garamond" w:cs="Garamond"/>
        </w:rPr>
        <w:t>, përfshirë përmes kanaleve të sigurta të komunikimit, procedurave të standardizuara të kërkesave dhe përgjigjeve, ndarjes në kohë të sinjalizimeve dhe pistave hetimore dhe ndjekjes sistematike të informacionit të marrë, me qëllim përshpejtimin e identifikimit, lokalizimit dhe arrestimit të personave të kërkuar.</w:t>
      </w:r>
    </w:p>
    <w:p w14:paraId="4B909F5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2.9.3</w:t>
      </w:r>
      <w:r w:rsidRPr="002128A6">
        <w:rPr>
          <w:rFonts w:ascii="Garamond" w:hAnsi="Garamond" w:cs="Garamond"/>
        </w:rPr>
        <w:t>: Rritja e numrit të shtetasve shqiptarë në kërkim ndërkombëtar që lokalizohen dhe arrestohen, përfshirë përmes koordinimit të zgjeruar ndërkombëtar, ndjekjes proaktive të çështjeve me autoritetet partnere, verifikimit dhe përditësimit të të dhënave të personave të kërkuar dhe mbështetjes së procedurave të ekstradimit, me qëllim sigurimin e zbatimit në kohë të urdhrave ndërkombëtarë të arrestit dhe vendimeve gjyqësore.</w:t>
      </w:r>
    </w:p>
    <w:p w14:paraId="063DCC4A"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Masa 2.9.4</w:t>
      </w:r>
      <w:r w:rsidRPr="002128A6">
        <w:rPr>
          <w:rFonts w:ascii="Garamond" w:hAnsi="Garamond" w:cs="Garamond"/>
        </w:rPr>
        <w:t>: Publikimi dhe përditësimi periodik i identitetit të personave në kërkim ndërkombëtar, duke mbajtur të dhëna të sakta, me qëllim mbështetjen e identifikimit, lokalizimit dhe kapjes së shpejtë.</w:t>
      </w:r>
    </w:p>
    <w:p w14:paraId="0BD2D3C8"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Për të mbështetur arritjen e këtyre Masave, do të zbatohen Aktivitetet e mëposhtme:</w:t>
      </w:r>
    </w:p>
    <w:p w14:paraId="3213492B" w14:textId="0DA50BF1"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2.9.1</w:t>
      </w:r>
    </w:p>
    <w:p w14:paraId="28EAC23A" w14:textId="742F50EE"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w:t>
      </w:r>
      <w:r w:rsidR="00F54824" w:rsidRPr="002128A6">
        <w:rPr>
          <w:rFonts w:ascii="Garamond" w:hAnsi="Garamond" w:cs="Garamond"/>
        </w:rPr>
        <w:t xml:space="preserve"> </w:t>
      </w:r>
      <w:r w:rsidRPr="002128A6">
        <w:rPr>
          <w:rFonts w:ascii="Garamond" w:hAnsi="Garamond" w:cs="Garamond"/>
        </w:rPr>
        <w:t>Kryerja e shënjestrimit të udhëhequr nga inteligjenca të individëve në kërkim kombëtar dhe ndërkombëtar, duke përdorur mjete analitike, tregues rreziku dhe inteligjencë operacionale për të prioritizuar të kërkuarit me rrezik të lartë.</w:t>
      </w:r>
    </w:p>
    <w:p w14:paraId="5129E91C" w14:textId="10D173A3"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Zbatimi i veprimeve operacionale të koordinuara me agjencitë ligjzbatuese kombëtare dhe të huaja, për ekzekutimin e urdhrave të arrestit kapjen në kohë dhe mbështetjen e procedurave të ekstradimit ose dorëzimit.</w:t>
      </w:r>
    </w:p>
    <w:p w14:paraId="4FE0C04C" w14:textId="7F988D4E"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2.9.2</w:t>
      </w:r>
    </w:p>
    <w:p w14:paraId="7C3DF760" w14:textId="51645F6A"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Forcimi i kanaleve të sigurta të komunikimit dhe shkëmbimit të informacionit me </w:t>
      </w:r>
      <w:r w:rsidR="007269A4" w:rsidRPr="002128A6">
        <w:rPr>
          <w:rFonts w:ascii="Garamond" w:hAnsi="Garamond" w:cs="Garamond"/>
        </w:rPr>
        <w:t>ENFAST-</w:t>
      </w:r>
      <w:r w:rsidR="00956886" w:rsidRPr="002128A6">
        <w:rPr>
          <w:rFonts w:ascii="Garamond" w:hAnsi="Garamond" w:cs="Garamond"/>
        </w:rPr>
        <w:t>in</w:t>
      </w:r>
      <w:r w:rsidRPr="002128A6">
        <w:rPr>
          <w:rFonts w:ascii="Garamond" w:hAnsi="Garamond" w:cs="Garamond"/>
        </w:rPr>
        <w:t xml:space="preserve">, </w:t>
      </w:r>
      <w:r w:rsidR="00956886" w:rsidRPr="002128A6">
        <w:rPr>
          <w:rFonts w:ascii="Garamond" w:hAnsi="Garamond" w:cs="Garamond"/>
        </w:rPr>
        <w:t xml:space="preserve">Europolin </w:t>
      </w:r>
      <w:r w:rsidRPr="002128A6">
        <w:rPr>
          <w:rFonts w:ascii="Garamond" w:hAnsi="Garamond" w:cs="Garamond"/>
        </w:rPr>
        <w:t xml:space="preserve">dhe </w:t>
      </w:r>
      <w:r w:rsidR="00A634DB" w:rsidRPr="002128A6">
        <w:rPr>
          <w:rFonts w:ascii="Garamond" w:hAnsi="Garamond" w:cs="Garamond"/>
        </w:rPr>
        <w:t>INTERPOL-</w:t>
      </w:r>
      <w:r w:rsidR="00956886" w:rsidRPr="002128A6">
        <w:rPr>
          <w:rFonts w:ascii="Garamond" w:hAnsi="Garamond" w:cs="Garamond"/>
        </w:rPr>
        <w:t>in</w:t>
      </w:r>
      <w:r w:rsidRPr="002128A6">
        <w:rPr>
          <w:rFonts w:ascii="Garamond" w:hAnsi="Garamond" w:cs="Garamond"/>
        </w:rPr>
        <w:t xml:space="preserve">, duke siguruar transmetim në kohë të sinjalizimeve, Njoftimeve të Kuqe dhe pistave hetimore. </w:t>
      </w:r>
    </w:p>
    <w:p w14:paraId="704820EC" w14:textId="3ECFC2F3"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Zbatimi i procedurave standarde për kërkesat dhe përgjigjet, si dhe ndjekja sistematike e informacionit të marrë për të përshpejtuar identifikimin, lokalizimin dhe arrestimin e personave të kërkuar.</w:t>
      </w:r>
    </w:p>
    <w:p w14:paraId="1A23F21A" w14:textId="2074F529"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2.9.3</w:t>
      </w:r>
    </w:p>
    <w:p w14:paraId="700B865D" w14:textId="3DAA7399"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Ndjekja proaktive e çështjeve me autoritetet partnere për verifikimin, përditësimin dhe mbajtjen e të dhënave të sakta të shtetasve shqiptarë të shpallur në kërkim ndërkombëtar.</w:t>
      </w:r>
    </w:p>
    <w:p w14:paraId="052EA376" w14:textId="529B96D9"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Mbështetja e procedurave të ekstradimit, duke ofruar në kohë dokumentacionin e kërkuar, sqarimet ligjore dhe asistencën operacione për autoritetet e huaja, për të garantuar ekzekutim të shpejtë të urdhrave ndërkombëtarë të arrestit.</w:t>
      </w:r>
    </w:p>
    <w:p w14:paraId="69419B24" w14:textId="5CAA83D4" w:rsidR="0025426C" w:rsidRPr="002128A6" w:rsidRDefault="00EF05E1" w:rsidP="0025426C">
      <w:pPr>
        <w:spacing w:after="0" w:line="240" w:lineRule="auto"/>
        <w:ind w:firstLine="284"/>
        <w:jc w:val="both"/>
        <w:rPr>
          <w:rFonts w:ascii="Garamond" w:hAnsi="Garamond" w:cs="Garamond"/>
          <w:b/>
          <w:bCs/>
        </w:rPr>
      </w:pPr>
      <w:r w:rsidRPr="002128A6">
        <w:rPr>
          <w:rFonts w:ascii="Garamond" w:hAnsi="Garamond" w:cs="Garamond"/>
          <w:b/>
          <w:bCs/>
        </w:rPr>
        <w:t xml:space="preserve">Aktivitete për masën </w:t>
      </w:r>
      <w:r w:rsidR="0025426C" w:rsidRPr="002128A6">
        <w:rPr>
          <w:rFonts w:ascii="Garamond" w:hAnsi="Garamond" w:cs="Garamond"/>
          <w:b/>
          <w:bCs/>
        </w:rPr>
        <w:t>2.9.4</w:t>
      </w:r>
    </w:p>
    <w:p w14:paraId="14E9938A" w14:textId="5D7C01A0"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xml:space="preserve">- Mbajtja dhe përditësimi periodik i të dhënave të identitetit, fotografive dhe identifikuesve të individëve më të rrezikshëm në kërkim ndërkombëtar, për të mbështetur njohjen dhe lokalizimin e shpejtë. </w:t>
      </w:r>
    </w:p>
    <w:p w14:paraId="5FCDD858" w14:textId="22C1911A"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t>- Publikimi dhe shpërndarja e sigurt e informacionit mbi personin e kërkuar te partnerët përkatës kombëtarë dhe ndërkombëtarë, në përputhje me kërkesat ligjore të mbrojtjes së të dhënave.</w:t>
      </w:r>
    </w:p>
    <w:p w14:paraId="76F17F2F"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Produktet e pritshme që do të rezultojnë janë:</w:t>
      </w:r>
    </w:p>
    <w:p w14:paraId="29A9186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1: </w:t>
      </w:r>
      <w:r w:rsidRPr="002128A6">
        <w:rPr>
          <w:rFonts w:ascii="Garamond" w:hAnsi="Garamond" w:cs="Garamond"/>
        </w:rPr>
        <w:t>Numri i të kërkuarve të kapur përmes hetimeve kombëtare dhe bashkëpunimit ndërkombëtar.</w:t>
      </w:r>
    </w:p>
    <w:p w14:paraId="5719D14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2: </w:t>
      </w:r>
      <w:r w:rsidRPr="002128A6">
        <w:rPr>
          <w:rFonts w:ascii="Garamond" w:hAnsi="Garamond" w:cs="Garamond"/>
        </w:rPr>
        <w:t>Numri i Njoftimeve të Kuqe të INTERPOL-it të lëshuara dhe kapjeve që rezultojnë nga Njoftimet e Kuqe.</w:t>
      </w:r>
    </w:p>
    <w:p w14:paraId="147F656C"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Produkti 3: </w:t>
      </w:r>
      <w:r w:rsidRPr="002128A6">
        <w:rPr>
          <w:rFonts w:ascii="Garamond" w:hAnsi="Garamond" w:cs="Garamond"/>
        </w:rPr>
        <w:t>Numri i kërkesave të ekstradimit të përpunuara dhe koha e finalizimit..</w:t>
      </w:r>
    </w:p>
    <w:p w14:paraId="766289AB"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Institucionet përgjegjëse: </w:t>
      </w:r>
      <w:r w:rsidRPr="002128A6">
        <w:rPr>
          <w:rFonts w:ascii="Garamond" w:hAnsi="Garamond" w:cs="Garamond"/>
        </w:rPr>
        <w:t>Policia e Shtetit.</w:t>
      </w:r>
    </w:p>
    <w:p w14:paraId="3D48501F" w14:textId="2C6D3FA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lastRenderedPageBreak/>
        <w:t xml:space="preserve">Institucionet mbështetëse: </w:t>
      </w:r>
      <w:r w:rsidRPr="002128A6">
        <w:rPr>
          <w:rFonts w:ascii="Garamond" w:hAnsi="Garamond" w:cs="Garamond"/>
        </w:rPr>
        <w:t xml:space="preserve">Ministria e Punëve të Brendshme, </w:t>
      </w:r>
      <w:r w:rsidR="00956886" w:rsidRPr="002128A6">
        <w:rPr>
          <w:rFonts w:ascii="Garamond" w:hAnsi="Garamond" w:cs="Garamond"/>
        </w:rPr>
        <w:t>Europol,</w:t>
      </w:r>
      <w:r w:rsidRPr="002128A6">
        <w:rPr>
          <w:rFonts w:ascii="Garamond" w:hAnsi="Garamond" w:cs="Garamond"/>
        </w:rPr>
        <w:t xml:space="preserve"> </w:t>
      </w:r>
      <w:r w:rsidR="00A634DB" w:rsidRPr="002128A6">
        <w:rPr>
          <w:rFonts w:ascii="Garamond" w:hAnsi="Garamond" w:cs="Garamond"/>
        </w:rPr>
        <w:t>INTERPOL</w:t>
      </w:r>
      <w:r w:rsidR="00956886" w:rsidRPr="002128A6">
        <w:rPr>
          <w:rFonts w:ascii="Garamond" w:hAnsi="Garamond" w:cs="Garamond"/>
        </w:rPr>
        <w:t>,</w:t>
      </w:r>
      <w:r w:rsidRPr="002128A6">
        <w:rPr>
          <w:rFonts w:ascii="Garamond" w:hAnsi="Garamond" w:cs="Garamond"/>
        </w:rPr>
        <w:t xml:space="preserve"> Shërbimi Informativ i Shtetit.</w:t>
      </w:r>
    </w:p>
    <w:p w14:paraId="1A36776D"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Rezultatet do të maten përmes Treguesit të mëposhtëm:</w:t>
      </w:r>
    </w:p>
    <w:p w14:paraId="369052FC" w14:textId="77777777" w:rsidR="0025426C" w:rsidRPr="002128A6" w:rsidRDefault="0025426C" w:rsidP="0025426C">
      <w:pPr>
        <w:spacing w:after="0" w:line="240" w:lineRule="auto"/>
        <w:ind w:firstLine="284"/>
        <w:jc w:val="both"/>
        <w:rPr>
          <w:rFonts w:ascii="Garamond" w:hAnsi="Garamond" w:cs="Garamond"/>
          <w:i/>
          <w:iCs/>
        </w:rPr>
      </w:pPr>
      <w:r w:rsidRPr="002128A6">
        <w:rPr>
          <w:rFonts w:ascii="Garamond" w:hAnsi="Garamond" w:cs="Garamond"/>
          <w:i/>
          <w:iCs/>
        </w:rPr>
        <w:t>Shkalla vjetore e personave të shpallur në kërkim, të kapur.</w:t>
      </w:r>
    </w:p>
    <w:p w14:paraId="59CC64D6" w14:textId="2D4B54EE" w:rsidR="0025426C" w:rsidRPr="002128A6" w:rsidRDefault="0025426C" w:rsidP="0025426C">
      <w:pPr>
        <w:tabs>
          <w:tab w:val="left" w:pos="900"/>
        </w:tabs>
        <w:spacing w:after="0" w:line="240" w:lineRule="auto"/>
        <w:ind w:firstLine="284"/>
        <w:jc w:val="both"/>
        <w:rPr>
          <w:rFonts w:ascii="Garamond" w:hAnsi="Garamond" w:cs="Garamond"/>
        </w:rPr>
      </w:pPr>
      <w:r w:rsidRPr="002128A6">
        <w:rPr>
          <w:rFonts w:ascii="Garamond" w:hAnsi="Garamond" w:cs="Garamond"/>
          <w:b/>
          <w:bCs/>
        </w:rPr>
        <w:t xml:space="preserve">Vlera bazë: </w:t>
      </w:r>
      <w:r w:rsidRPr="002128A6">
        <w:rPr>
          <w:rFonts w:ascii="Garamond" w:hAnsi="Garamond" w:cs="Garamond"/>
        </w:rPr>
        <w:t>viti 2025 me rreth 22% (sipas të dhënave të Policisë së Shtetit më 1 janar të vitit 2025)</w:t>
      </w:r>
      <w:r w:rsidR="00D86AE7" w:rsidRPr="002128A6">
        <w:rPr>
          <w:rFonts w:ascii="Garamond" w:hAnsi="Garamond" w:cs="Garamond"/>
        </w:rPr>
        <w:t>.</w:t>
      </w:r>
    </w:p>
    <w:p w14:paraId="11455709" w14:textId="08E95E9B"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b/>
          <w:bCs/>
        </w:rPr>
        <w:t xml:space="preserve">Synimi deri </w:t>
      </w:r>
      <w:r w:rsidR="00D86AE7" w:rsidRPr="002128A6">
        <w:rPr>
          <w:rFonts w:ascii="Garamond" w:hAnsi="Garamond" w:cs="Garamond"/>
          <w:b/>
          <w:bCs/>
        </w:rPr>
        <w:t>m</w:t>
      </w:r>
      <w:r w:rsidRPr="002128A6">
        <w:rPr>
          <w:rFonts w:ascii="Garamond" w:hAnsi="Garamond" w:cs="Garamond"/>
          <w:b/>
          <w:bCs/>
        </w:rPr>
        <w:t xml:space="preserve">ë 2030: </w:t>
      </w:r>
      <w:r w:rsidRPr="002128A6">
        <w:rPr>
          <w:rFonts w:ascii="Garamond" w:hAnsi="Garamond" w:cs="Garamond"/>
        </w:rPr>
        <w:t>+4.5% rritje krahasuar me vlerësimin bazë deri në vitin 2030.</w:t>
      </w:r>
    </w:p>
    <w:p w14:paraId="7141D86B" w14:textId="09ED189D" w:rsidR="00BE490C" w:rsidRPr="002128A6" w:rsidRDefault="00BE490C" w:rsidP="0025426C">
      <w:pPr>
        <w:pStyle w:val="NormalWeb"/>
        <w:spacing w:before="0" w:beforeAutospacing="0" w:after="0" w:afterAutospacing="0"/>
        <w:ind w:firstLine="284"/>
        <w:jc w:val="both"/>
        <w:rPr>
          <w:rFonts w:ascii="Garamond" w:hAnsi="Garamond"/>
        </w:rPr>
      </w:pPr>
      <w:r w:rsidRPr="002128A6">
        <w:rPr>
          <w:rFonts w:ascii="Garamond" w:hAnsi="Garamond"/>
        </w:rPr>
        <w:t>2.3</w:t>
      </w:r>
      <w:r w:rsidR="00F54824" w:rsidRPr="002128A6">
        <w:rPr>
          <w:rFonts w:ascii="Garamond" w:hAnsi="Garamond"/>
        </w:rPr>
        <w:t xml:space="preserve"> </w:t>
      </w:r>
      <w:r w:rsidRPr="002128A6">
        <w:rPr>
          <w:rFonts w:ascii="Garamond" w:hAnsi="Garamond"/>
        </w:rPr>
        <w:t xml:space="preserve">QËLLIMI </w:t>
      </w:r>
      <w:r w:rsidR="0049467E" w:rsidRPr="002128A6">
        <w:rPr>
          <w:rFonts w:ascii="Garamond" w:hAnsi="Garamond"/>
        </w:rPr>
        <w:t xml:space="preserve">I </w:t>
      </w:r>
      <w:r w:rsidRPr="002128A6">
        <w:rPr>
          <w:rFonts w:ascii="Garamond" w:hAnsi="Garamond"/>
        </w:rPr>
        <w:t>POLITIK</w:t>
      </w:r>
      <w:r w:rsidR="0049467E" w:rsidRPr="002128A6">
        <w:rPr>
          <w:rFonts w:ascii="Garamond" w:hAnsi="Garamond"/>
        </w:rPr>
        <w:t>ËS</w:t>
      </w:r>
      <w:r w:rsidRPr="002128A6">
        <w:rPr>
          <w:rFonts w:ascii="Garamond" w:hAnsi="Garamond"/>
        </w:rPr>
        <w:t xml:space="preserve"> III: BASHKËPUNIMI KOMBËTAR DHE NDËRKOMBËTAR</w:t>
      </w:r>
      <w:bookmarkEnd w:id="53"/>
      <w:bookmarkEnd w:id="54"/>
    </w:p>
    <w:p w14:paraId="03A21DB2" w14:textId="1D7A926C" w:rsidR="00625460" w:rsidRPr="002128A6" w:rsidRDefault="00625460" w:rsidP="0025426C">
      <w:pPr>
        <w:spacing w:after="0" w:line="240" w:lineRule="auto"/>
        <w:ind w:firstLine="284"/>
        <w:jc w:val="both"/>
        <w:rPr>
          <w:rFonts w:ascii="Garamond" w:hAnsi="Garamond" w:cstheme="majorBidi"/>
        </w:rPr>
      </w:pPr>
      <w:r w:rsidRPr="002128A6">
        <w:rPr>
          <w:rFonts w:ascii="Garamond" w:hAnsi="Garamond" w:cstheme="majorBidi"/>
        </w:rPr>
        <w:t xml:space="preserve">Bashkëpunimi kombëtar dhe ndërkombëtar përbën Qëllimin </w:t>
      </w:r>
      <w:r w:rsidR="00F47A30" w:rsidRPr="002128A6">
        <w:rPr>
          <w:rFonts w:ascii="Garamond" w:hAnsi="Garamond" w:cstheme="majorBidi"/>
        </w:rPr>
        <w:t xml:space="preserve">e </w:t>
      </w:r>
      <w:r w:rsidRPr="002128A6">
        <w:rPr>
          <w:rFonts w:ascii="Garamond" w:hAnsi="Garamond" w:cstheme="majorBidi"/>
        </w:rPr>
        <w:t>Politik</w:t>
      </w:r>
      <w:r w:rsidR="00F47A30" w:rsidRPr="002128A6">
        <w:rPr>
          <w:rFonts w:ascii="Garamond" w:hAnsi="Garamond" w:cstheme="majorBidi"/>
        </w:rPr>
        <w:t>ës</w:t>
      </w:r>
      <w:r w:rsidRPr="002128A6">
        <w:rPr>
          <w:rFonts w:ascii="Garamond" w:hAnsi="Garamond" w:cstheme="majorBidi"/>
        </w:rPr>
        <w:t xml:space="preserve"> III të kësaj strategjie, duke theksuar se asnjë përgjigje e brendshme ligjzbatuese, sado e </w:t>
      </w:r>
      <w:r w:rsidR="0085175A" w:rsidRPr="002128A6">
        <w:rPr>
          <w:rFonts w:ascii="Garamond" w:hAnsi="Garamond" w:cstheme="majorBidi"/>
        </w:rPr>
        <w:t>pajisur</w:t>
      </w:r>
      <w:r w:rsidRPr="002128A6">
        <w:rPr>
          <w:rFonts w:ascii="Garamond" w:hAnsi="Garamond" w:cstheme="majorBidi"/>
        </w:rPr>
        <w:t xml:space="preserve"> mirë me burime dhe e ekzekutuar profesionalisht, nuk mund të adresojë plotësisht dimensionin transnacional të krimit të organizuar që prek Shqipërinë. Rrjetet shqiptare kriminale veprojnë në shumë vende, shfrytëzojnë boshllëqet rregullatore ndërkufitare, pastrojnë të ardhurat ndërkombëtarisht dhe rekrutojnë shërbime logjistike dhe lehtësuese përtej kufijve kombëtarë. Prandaj, përgjigjja efektive kërkon që Shqipëria të funksionojë si partner i aftë, i besueshëm dhe proaktiv brenda arkitekturave të sigurisë evropiane dhe globale.</w:t>
      </w:r>
    </w:p>
    <w:p w14:paraId="6DFBCD05" w14:textId="15D7FE80" w:rsidR="00F47A30" w:rsidRPr="002128A6" w:rsidRDefault="00625460" w:rsidP="0025426C">
      <w:pPr>
        <w:spacing w:after="0" w:line="240" w:lineRule="auto"/>
        <w:ind w:firstLine="284"/>
        <w:jc w:val="both"/>
        <w:rPr>
          <w:rFonts w:ascii="Garamond" w:hAnsi="Garamond" w:cstheme="majorBidi"/>
        </w:rPr>
      </w:pPr>
      <w:r w:rsidRPr="002128A6">
        <w:rPr>
          <w:rFonts w:ascii="Garamond" w:hAnsi="Garamond" w:cstheme="majorBidi"/>
        </w:rPr>
        <w:t xml:space="preserve">Qëllimi </w:t>
      </w:r>
      <w:r w:rsidR="00F47A30" w:rsidRPr="002128A6">
        <w:rPr>
          <w:rFonts w:ascii="Garamond" w:hAnsi="Garamond" w:cstheme="majorBidi"/>
        </w:rPr>
        <w:t xml:space="preserve">i </w:t>
      </w:r>
      <w:r w:rsidRPr="002128A6">
        <w:rPr>
          <w:rFonts w:ascii="Garamond" w:hAnsi="Garamond" w:cstheme="majorBidi"/>
        </w:rPr>
        <w:t>Politik</w:t>
      </w:r>
      <w:r w:rsidR="00F47A30" w:rsidRPr="002128A6">
        <w:rPr>
          <w:rFonts w:ascii="Garamond" w:hAnsi="Garamond" w:cstheme="majorBidi"/>
        </w:rPr>
        <w:t>ës</w:t>
      </w:r>
      <w:r w:rsidRPr="002128A6">
        <w:rPr>
          <w:rFonts w:ascii="Garamond" w:hAnsi="Garamond" w:cstheme="majorBidi"/>
        </w:rPr>
        <w:t xml:space="preserve"> III përcakton dy </w:t>
      </w:r>
      <w:r w:rsidR="00F47A30" w:rsidRPr="002128A6">
        <w:rPr>
          <w:rFonts w:ascii="Garamond" w:hAnsi="Garamond" w:cstheme="majorBidi"/>
        </w:rPr>
        <w:t>o</w:t>
      </w:r>
      <w:r w:rsidRPr="002128A6">
        <w:rPr>
          <w:rFonts w:ascii="Garamond" w:hAnsi="Garamond" w:cstheme="majorBidi"/>
        </w:rPr>
        <w:t xml:space="preserve">bjektiva </w:t>
      </w:r>
      <w:r w:rsidR="00F47A30" w:rsidRPr="002128A6">
        <w:rPr>
          <w:rFonts w:ascii="Garamond" w:hAnsi="Garamond" w:cstheme="majorBidi"/>
        </w:rPr>
        <w:t>s</w:t>
      </w:r>
      <w:r w:rsidRPr="002128A6">
        <w:rPr>
          <w:rFonts w:ascii="Garamond" w:hAnsi="Garamond" w:cstheme="majorBidi"/>
        </w:rPr>
        <w:t>pecifikë: forcimin e bashkëpunimit policor ndërkombëtar dhe përmirësimin e efektivitetit të bashkëpunimit gjyqësor ndërkombëtar. Së bashku, ofrojnë kornizat, mekanizmat dhe mjetet operacionale përmes të cilave Shqipëria projekton kapacitetin e saj zbatues përtej kufijve të saj, kontribuon dhe përfiton nga ndarja evropiane e inteligjencës, merr pjesë në hetime të përbashkëta dhe siguron zbatimin reciprok të vendimeve gjyqësore. Kët</w:t>
      </w:r>
      <w:r w:rsidR="00B76863" w:rsidRPr="002128A6">
        <w:rPr>
          <w:rFonts w:ascii="Garamond" w:hAnsi="Garamond" w:cstheme="majorBidi"/>
        </w:rPr>
        <w:t>a</w:t>
      </w:r>
      <w:r w:rsidRPr="002128A6">
        <w:rPr>
          <w:rFonts w:ascii="Garamond" w:hAnsi="Garamond" w:cstheme="majorBidi"/>
        </w:rPr>
        <w:t xml:space="preserve"> objektiva</w:t>
      </w:r>
      <w:r w:rsidR="00B76863" w:rsidRPr="002128A6">
        <w:rPr>
          <w:rFonts w:ascii="Garamond" w:hAnsi="Garamond" w:cstheme="majorBidi"/>
        </w:rPr>
        <w:t>,</w:t>
      </w:r>
      <w:r w:rsidRPr="002128A6">
        <w:rPr>
          <w:rFonts w:ascii="Garamond" w:hAnsi="Garamond" w:cstheme="majorBidi"/>
        </w:rPr>
        <w:t xml:space="preserve"> gjithashtu</w:t>
      </w:r>
      <w:r w:rsidR="00B76863" w:rsidRPr="002128A6">
        <w:rPr>
          <w:rFonts w:ascii="Garamond" w:hAnsi="Garamond" w:cstheme="majorBidi"/>
        </w:rPr>
        <w:t>,</w:t>
      </w:r>
      <w:r w:rsidRPr="002128A6">
        <w:rPr>
          <w:rFonts w:ascii="Garamond" w:hAnsi="Garamond" w:cstheme="majorBidi"/>
        </w:rPr>
        <w:t xml:space="preserve"> përforcojnë dhe amplifikojnë rezultatet e Qëllimeve të Politikës I dhe II: parandalimi përfiton nga inteligjenca e ndarë e kërcënimit; ndjekja penale përfiton nga operacionet e përbashkëta dhe gjurmimi ndërkufitar i aseteve; dhe të dyja forcohen nga një sistem i fortë i ndihmës së ndërsjellë juridike.</w:t>
      </w:r>
      <w:r w:rsidR="00F47A30" w:rsidRPr="002128A6">
        <w:rPr>
          <w:rFonts w:ascii="Garamond" w:hAnsi="Garamond" w:cstheme="majorBidi"/>
        </w:rPr>
        <w:t xml:space="preserve"> Koordinimi kombëtar nuk është përfshirë si objektiv specifik më vete në kuadër të Qëllimit të Politikës III, pasi është konceptuar si një funksion horizontal dhe mundësues që mbështet zbatimin e të gjithë strategjisë, dhe jo si një fushë e veçantë politike apo operative. Koordinimi efektiv ndërinstitucional është integruar në të gjithë strategjinë dhe reflektohet në të gjitha objektivat e politikës përmes roleve dhe përgjegjësive të institucioneve kompetente, mekanizmave të bashkëpunimit ndërinstitucional, strukturave të zbatimit dhe monitorimit, si dhe aktiviteteve konkrete të parashikuara në planin e veprimit.</w:t>
      </w:r>
    </w:p>
    <w:p w14:paraId="2D6588E4" w14:textId="15742F1A" w:rsidR="00F47A30" w:rsidRPr="002128A6" w:rsidRDefault="00F47A30" w:rsidP="0025426C">
      <w:pPr>
        <w:spacing w:after="0" w:line="240" w:lineRule="auto"/>
        <w:ind w:firstLine="284"/>
        <w:jc w:val="both"/>
        <w:rPr>
          <w:rFonts w:ascii="Garamond" w:hAnsi="Garamond" w:cstheme="majorBidi"/>
        </w:rPr>
      </w:pPr>
      <w:r w:rsidRPr="002128A6">
        <w:rPr>
          <w:rFonts w:ascii="Garamond" w:hAnsi="Garamond" w:cstheme="majorBidi"/>
        </w:rPr>
        <w:t>Struktura e Qëllimit të Politikës III është ndërtuar me synimin që objektivat specifike të adresojnë dimensionin e jashtëm të bashkëpunimit, konkretisht bashkëpunimin policor ndërkombëtar (Objektivi Specifik 3.1) dhe bashkëpunimin gjyqësor ndërkombëtar (Objektivi Specifik 3.2). Këto përbëjnë fusha të veçanta strategjike që kërkojnë masa, tregues dhe mekanizma të dedikuar monitorimi, ndaj edhe objektivat specifike janë fokusuar në forcimin e bashkëpunimit me partnerët ndërkombëtarë, organizatat dhe rrjetet rajonale, evropiane dhe ndërkombëtare.</w:t>
      </w:r>
    </w:p>
    <w:p w14:paraId="088DE6D0" w14:textId="1CB4DA38" w:rsidR="00F47A30" w:rsidRPr="002128A6" w:rsidRDefault="00F47A30" w:rsidP="0025426C">
      <w:pPr>
        <w:spacing w:after="0" w:line="240" w:lineRule="auto"/>
        <w:ind w:firstLine="284"/>
        <w:jc w:val="both"/>
        <w:rPr>
          <w:rFonts w:ascii="Garamond" w:hAnsi="Garamond" w:cstheme="majorBidi"/>
        </w:rPr>
      </w:pPr>
      <w:r w:rsidRPr="002128A6">
        <w:rPr>
          <w:rFonts w:ascii="Garamond" w:hAnsi="Garamond" w:cstheme="majorBidi"/>
        </w:rPr>
        <w:t xml:space="preserve">Nga ana tjetër, koordinimi kombëtar është i integruar në vetë përmbajtjen e masave dhe përbën një parakusht të domosdoshëm për realizimin e tyre. Në praktikë, bashkëpunimi ndërkombëtar nuk mund të zhvillohet në mënyrë efektive pa koordinimin paraprak dhe të vazhdueshëm ndërmjet institucioneve kombëtare përgjegjëse. Masa të tilla si shkëmbimi i informacionit me partnerët e huaj, pjesëmarrja në operacione të përbashkëta, krijimi dhe funksionimi i skuadrave të përbashkëta hetimore, bashkëpunimi me </w:t>
      </w:r>
      <w:r w:rsidR="00956886" w:rsidRPr="002128A6">
        <w:rPr>
          <w:rFonts w:ascii="Garamond" w:hAnsi="Garamond" w:cstheme="majorBidi"/>
        </w:rPr>
        <w:t xml:space="preserve">Europol, </w:t>
      </w:r>
      <w:r w:rsidR="00A634DB" w:rsidRPr="002128A6">
        <w:rPr>
          <w:rFonts w:ascii="Garamond" w:hAnsi="Garamond" w:cstheme="majorBidi"/>
        </w:rPr>
        <w:t xml:space="preserve">INTERPOL </w:t>
      </w:r>
      <w:r w:rsidRPr="002128A6">
        <w:rPr>
          <w:rFonts w:ascii="Garamond" w:hAnsi="Garamond" w:cstheme="majorBidi"/>
        </w:rPr>
        <w:t xml:space="preserve">dhe </w:t>
      </w:r>
      <w:r w:rsidR="00956886" w:rsidRPr="002128A6">
        <w:rPr>
          <w:rFonts w:ascii="Garamond" w:hAnsi="Garamond" w:cstheme="majorBidi"/>
        </w:rPr>
        <w:t>Eurojust</w:t>
      </w:r>
      <w:r w:rsidRPr="002128A6">
        <w:rPr>
          <w:rFonts w:ascii="Garamond" w:hAnsi="Garamond" w:cstheme="majorBidi"/>
        </w:rPr>
        <w:t>, ekzekutimi i kërkesave të ndihmës juridike ndërkombëtare, bashkëpunimi për rikuperimin e aseteve apo pjesëmarrja në platformat operacionale rajonale dhe ndërkombëtare, kërkojnë domosdoshmërisht bashkërendim të ngushtë ndërmjet autoriteteve kombëtare ligjzbatuese, prokurorive, institucioneve gjyqësore dhe institucioneve të tjera kompetente.</w:t>
      </w:r>
    </w:p>
    <w:p w14:paraId="1263DDE4" w14:textId="43AA252B" w:rsidR="00F47A30" w:rsidRPr="002128A6" w:rsidRDefault="00F47A30" w:rsidP="0025426C">
      <w:pPr>
        <w:spacing w:after="0" w:line="240" w:lineRule="auto"/>
        <w:ind w:firstLine="284"/>
        <w:jc w:val="both"/>
        <w:rPr>
          <w:rFonts w:ascii="Garamond" w:hAnsi="Garamond" w:cstheme="majorBidi"/>
        </w:rPr>
      </w:pPr>
      <w:r w:rsidRPr="002128A6">
        <w:rPr>
          <w:rFonts w:ascii="Garamond" w:hAnsi="Garamond" w:cstheme="majorBidi"/>
        </w:rPr>
        <w:t xml:space="preserve">Për rrjedhojë, koordinimi kombëtar përbën njëkohësisht parakusht dhe element përbërës të vetë masave të bashkëpunimit ndërkombëtar të parashikuara në Qëllimin e Politikës III. Krijimi i një Objektivi Specifik të veçantë për koordinimin kombëtar do të sillte mbivendosje konceptuale dhe </w:t>
      </w:r>
      <w:r w:rsidRPr="002128A6">
        <w:rPr>
          <w:rFonts w:ascii="Garamond" w:hAnsi="Garamond" w:cstheme="majorBidi"/>
        </w:rPr>
        <w:lastRenderedPageBreak/>
        <w:t>operacionale me objektivat dhe masat ekzistuese, pasi pothuajse çdo veprim i parashikuar në strategji kërkon dhe përfshin koordinim ndërinstitucional në nivel kombëtar.</w:t>
      </w:r>
    </w:p>
    <w:p w14:paraId="7D59DDAC" w14:textId="7DD4E328" w:rsidR="00625460" w:rsidRPr="002128A6" w:rsidRDefault="00F47A30" w:rsidP="0025426C">
      <w:pPr>
        <w:spacing w:after="0" w:line="240" w:lineRule="auto"/>
        <w:ind w:firstLine="284"/>
        <w:jc w:val="both"/>
        <w:rPr>
          <w:rFonts w:ascii="Garamond" w:hAnsi="Garamond" w:cstheme="majorBidi"/>
        </w:rPr>
      </w:pPr>
      <w:r w:rsidRPr="002128A6">
        <w:rPr>
          <w:rFonts w:ascii="Garamond" w:hAnsi="Garamond" w:cstheme="majorBidi"/>
        </w:rPr>
        <w:t>Për këto arsye, strategjia ndjek një qasje të integruar, ku koordinimi kombëtar trajtohet si një mekanizëm horizontal zbatimi që mbështet arritjen e të gjitha objektivave strategjike, ndërsa Qëllimi i Politikës III fokusohet në rezultatet konkrete që lidhen me bashkëpunimin policor dhe gjyqësor ndërkombëtar.</w:t>
      </w:r>
    </w:p>
    <w:p w14:paraId="21820FFE" w14:textId="77777777" w:rsidR="00BE490C" w:rsidRPr="002128A6" w:rsidRDefault="00BE490C" w:rsidP="0025426C">
      <w:pPr>
        <w:pStyle w:val="Heading3"/>
        <w:spacing w:before="0" w:after="0" w:line="240" w:lineRule="auto"/>
        <w:ind w:firstLine="284"/>
        <w:jc w:val="both"/>
        <w:rPr>
          <w:rFonts w:ascii="Garamond" w:eastAsia="Times New Roman" w:hAnsi="Garamond"/>
          <w:b/>
          <w:bCs/>
          <w:color w:val="auto"/>
          <w:sz w:val="24"/>
          <w:szCs w:val="24"/>
          <w:lang w:eastAsia="en-GB"/>
        </w:rPr>
      </w:pPr>
      <w:bookmarkStart w:id="55" w:name="_Toc227770714"/>
      <w:bookmarkStart w:id="56" w:name="_Toc233371600"/>
      <w:r w:rsidRPr="002128A6">
        <w:rPr>
          <w:rFonts w:ascii="Garamond" w:eastAsia="Times New Roman" w:hAnsi="Garamond"/>
          <w:b/>
          <w:bCs/>
          <w:color w:val="auto"/>
          <w:sz w:val="24"/>
          <w:szCs w:val="24"/>
          <w:lang w:eastAsia="en-GB"/>
        </w:rPr>
        <w:t xml:space="preserve">Objektivi Specifik 3.1: </w:t>
      </w:r>
      <w:r w:rsidRPr="002128A6">
        <w:rPr>
          <w:rFonts w:ascii="Garamond" w:hAnsi="Garamond"/>
          <w:b/>
          <w:bCs/>
          <w:color w:val="auto"/>
          <w:sz w:val="24"/>
          <w:szCs w:val="24"/>
        </w:rPr>
        <w:t>Forcimi</w:t>
      </w:r>
      <w:r w:rsidRPr="002128A6">
        <w:rPr>
          <w:rFonts w:ascii="Garamond" w:eastAsia="Times New Roman" w:hAnsi="Garamond"/>
          <w:b/>
          <w:bCs/>
          <w:color w:val="auto"/>
          <w:sz w:val="24"/>
          <w:szCs w:val="24"/>
          <w:lang w:eastAsia="en-GB"/>
        </w:rPr>
        <w:t xml:space="preserve"> i bashkëpunimit policor ndërkombëtar përmes rritjes së shkëmbimit të informacionit, operacioneve të përbashkëta, </w:t>
      </w:r>
      <w:r w:rsidRPr="002128A6">
        <w:rPr>
          <w:rFonts w:ascii="Garamond" w:hAnsi="Garamond"/>
          <w:b/>
          <w:bCs/>
          <w:color w:val="auto"/>
          <w:sz w:val="24"/>
          <w:szCs w:val="24"/>
        </w:rPr>
        <w:t xml:space="preserve">dhe ndërprerjes ndërkufitare </w:t>
      </w:r>
      <w:r w:rsidRPr="002128A6">
        <w:rPr>
          <w:rFonts w:ascii="Garamond" w:eastAsia="Times New Roman" w:hAnsi="Garamond"/>
          <w:b/>
          <w:bCs/>
          <w:color w:val="auto"/>
          <w:sz w:val="24"/>
          <w:szCs w:val="24"/>
          <w:lang w:eastAsia="en-GB"/>
        </w:rPr>
        <w:t>të krimit të organizuar</w:t>
      </w:r>
      <w:bookmarkEnd w:id="55"/>
      <w:bookmarkEnd w:id="56"/>
    </w:p>
    <w:p w14:paraId="15AC3BD9"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Forcimi i bashkëpunimit policor ndërkombëtar është thelbësor për luftën efektive kundër krimit të organizuar, krimeve të rënda dhe formave të tjera të kriminalitetit që kalojnë kufijtë shtetërorë. Ky shkëmbim do të kryhet në përputhje me legjislacionin kombëtar në fuqi dhe standardet e BE-së për shkëmbimin e sigurt të të dhënave dhe privatësinë. Duke ndarë informacionin dhe burimet midis agjencive të ndryshme policore në vende të ndryshme, mundësohet një përgjigje më e shpejtë dhe më e koordinuar ndaj kërcënimeve që prekin sigurinë globale dhe rajonale. Kjo formë bashkëpunimi gjithashtu kontribuon në përmirësimin e kapaciteteve hetimore dhe kapjen e personave në kërkim ndërkombëtar, duke përforcuar drejtësinë dhe sigurinë si në nivel lokal ashtu edhe ndërkombëtar.</w:t>
      </w:r>
    </w:p>
    <w:p w14:paraId="0B80ACA2"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Një aspekt i rëndësishëm është bashkëpunimi ndërkufitar, përfshirë promovimin e hetimeve të përbashkëta dhe shkëmbimin e inteligjencës mbi krimet ndërkufitare, përfshirë prerjen e paligjshme, trafikimin e mbetjeve dhe krimet ndaj kafshëve të egra, në përputhje me angazhimet rajonale dhe ndërkombëtare.</w:t>
      </w:r>
    </w:p>
    <w:p w14:paraId="626B6A30"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 xml:space="preserve">Për të arritur rezultate të qëndrueshme në këtë drejtim, nënshkrimi i marrëveshjeve dhe protokolleve të bashkëpunimit, përdorimi i teknologjive të avancuara dhe zhvillimi i trajnimeve të përbashkëta për personelin policor janë thelbësore. </w:t>
      </w:r>
    </w:p>
    <w:p w14:paraId="4DD59B23"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Rezultatet e pritshme të këtij objektivi janë si vijon:</w:t>
      </w:r>
    </w:p>
    <w:p w14:paraId="16AD768B"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1: </w:t>
      </w:r>
      <w:r w:rsidRPr="002128A6">
        <w:rPr>
          <w:rFonts w:ascii="Garamond" w:eastAsia="Arial" w:hAnsi="Garamond" w:cstheme="majorBidi"/>
        </w:rPr>
        <w:t>Rritja e vëllimit, shpejtësisë dhe cilësisë së shkëmbimit të inteligjencës policore me partnerët ndërkombëtarë.</w:t>
      </w:r>
    </w:p>
    <w:p w14:paraId="17A96A65"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2: </w:t>
      </w:r>
      <w:r w:rsidRPr="002128A6">
        <w:rPr>
          <w:rFonts w:ascii="Garamond" w:eastAsia="Arial" w:hAnsi="Garamond" w:cstheme="majorBidi"/>
        </w:rPr>
        <w:t>Frekuencë dhe efektivitet më të lartë të operacioneve të përbashkëta policore kundër krimit të organizuar ndërkufitar.</w:t>
      </w:r>
    </w:p>
    <w:p w14:paraId="59636B7F"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Rezultati 3: </w:t>
      </w:r>
      <w:r w:rsidRPr="002128A6">
        <w:rPr>
          <w:rFonts w:ascii="Garamond" w:eastAsia="Arial" w:hAnsi="Garamond" w:cstheme="majorBidi"/>
        </w:rPr>
        <w:t>Ndërprerje e qëndrueshme e rrjeteve të organizuara kriminale ndërkombëtare që veprojnë përmes Shqipërisë.</w:t>
      </w:r>
    </w:p>
    <w:p w14:paraId="561FD9ED"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Ky Objektiv Specifik do të zbatohet përmes Masave të mëposhtme:</w:t>
      </w:r>
    </w:p>
    <w:p w14:paraId="1EF83D6E" w14:textId="560C597E"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3.1.1:</w:t>
      </w:r>
      <w:r w:rsidRPr="002128A6">
        <w:rPr>
          <w:rFonts w:ascii="Garamond" w:hAnsi="Garamond" w:cstheme="majorBidi"/>
        </w:rPr>
        <w:t xml:space="preserve"> Rritja e shkëmbimit të informacionit me agjencitë ligjzbatuese të rajonit dhe më gjerë, përmes kanaleve tradicionale të bashkëpunimit, si dhe duke integruar Drejtorinë e Rikuperimit të Aseteve (</w:t>
      </w:r>
      <w:r w:rsidR="002243EA" w:rsidRPr="002128A6">
        <w:rPr>
          <w:rFonts w:ascii="Garamond" w:hAnsi="Garamond" w:cstheme="majorBidi"/>
        </w:rPr>
        <w:t>D</w:t>
      </w:r>
      <w:r w:rsidRPr="002128A6">
        <w:rPr>
          <w:rFonts w:ascii="Garamond" w:hAnsi="Garamond" w:cstheme="majorBidi"/>
        </w:rPr>
        <w:t>RA) në shkëmbimin operacional të informacionit, me qëllim forcimin e luftës kundër krimit të organizuar dhe përmirësimin e identifikimit, gjurmimit, sekuestrimit të aseteve që rrjedhin nga krimi.</w:t>
      </w:r>
    </w:p>
    <w:p w14:paraId="345960C1" w14:textId="70F8AAE9"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3.1.2:</w:t>
      </w:r>
      <w:r w:rsidRPr="002128A6">
        <w:rPr>
          <w:rFonts w:ascii="Garamond" w:hAnsi="Garamond" w:cstheme="majorBidi"/>
        </w:rPr>
        <w:t xml:space="preserve"> Rritja e bashkëpunimit me partnerët ndërkombëtarë në hetimin e krimit të organizuar dhe </w:t>
      </w:r>
      <w:r w:rsidR="00300542" w:rsidRPr="002128A6">
        <w:rPr>
          <w:rFonts w:ascii="Garamond" w:hAnsi="Garamond" w:cstheme="majorBidi"/>
        </w:rPr>
        <w:t>goditjen</w:t>
      </w:r>
      <w:r w:rsidRPr="002128A6">
        <w:rPr>
          <w:rFonts w:ascii="Garamond" w:hAnsi="Garamond" w:cstheme="majorBidi"/>
        </w:rPr>
        <w:t xml:space="preserve"> e grupeve kriminale, përmes modernizimit të shkëmbimit të informacionit dhe nisjes së hetimeve të hershme financiare, përfshirë duke mbështetur identifikimin e aktiviteteve kriminale ndërkufitare dhe sigurimin e platformave dhe kanaleve të sigurta për shkëmbimin e informacionit në kohë reale, duke synuar përdorimin e pikave të kontaktit sektorial, me qëllim forcimin e përdorimit të pikave të kontaktit sektorial dhe përmirësimin e shpejtësisë dhe cilësisë së bashkëpunimit operacional.</w:t>
      </w:r>
    </w:p>
    <w:p w14:paraId="63E1A401" w14:textId="48D1C7B8"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t>Masa 3.1.3:</w:t>
      </w:r>
      <w:r w:rsidRPr="002128A6">
        <w:rPr>
          <w:rFonts w:ascii="Garamond" w:hAnsi="Garamond" w:cstheme="majorBidi"/>
        </w:rPr>
        <w:t xml:space="preserve"> Pjesëmarrja aktive në </w:t>
      </w:r>
      <w:r w:rsidR="00956886" w:rsidRPr="002128A6">
        <w:rPr>
          <w:rFonts w:ascii="Garamond" w:hAnsi="Garamond" w:cstheme="majorBidi"/>
        </w:rPr>
        <w:t xml:space="preserve">Europol, </w:t>
      </w:r>
      <w:r w:rsidR="00A634DB" w:rsidRPr="002128A6">
        <w:rPr>
          <w:rFonts w:ascii="Garamond" w:hAnsi="Garamond" w:cstheme="majorBidi"/>
        </w:rPr>
        <w:t xml:space="preserve">INTERPOL </w:t>
      </w:r>
      <w:r w:rsidRPr="002128A6">
        <w:rPr>
          <w:rFonts w:ascii="Garamond" w:hAnsi="Garamond" w:cstheme="majorBidi"/>
        </w:rPr>
        <w:t>dhe platformat rajonale të bashkëpunimit, edhe përmes angazhimit të rregullt në takimet operacionale dhe nismat analitike, shkëmbimit në kohë të informacionit dhe ndjekjes sistematike të kërkesave, me qëllim forcimin e bashkëpunimit ndërkufitar dhe përgjigjeve të koordinuara ndaj krimit të organizuar dhe kërcënimeve të krimit të rëndë.</w:t>
      </w:r>
    </w:p>
    <w:p w14:paraId="625D96AC" w14:textId="080F3FE0"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b/>
          <w:bCs/>
        </w:rPr>
        <w:lastRenderedPageBreak/>
        <w:t>Masa 3.1.4</w:t>
      </w:r>
      <w:r w:rsidRPr="002128A6">
        <w:rPr>
          <w:rFonts w:ascii="Garamond" w:hAnsi="Garamond" w:cstheme="majorBidi"/>
        </w:rPr>
        <w:t>: Rritja e numrit të operacioneve policore të përbashkëta kundër krimit të organizuar, përfshirë duke formuar skuadra të përbashkëta hetimore, sipas rastit, me vendet partnere, për hetime specifike, përdorimin e</w:t>
      </w:r>
      <w:r w:rsidR="00F54824" w:rsidRPr="002128A6">
        <w:rPr>
          <w:rFonts w:ascii="Garamond" w:hAnsi="Garamond" w:cstheme="majorBidi"/>
        </w:rPr>
        <w:t xml:space="preserve"> </w:t>
      </w:r>
      <w:r w:rsidRPr="002128A6">
        <w:rPr>
          <w:rFonts w:ascii="Garamond" w:hAnsi="Garamond" w:cstheme="majorBidi"/>
        </w:rPr>
        <w:t xml:space="preserve">platformave dhe kanaleve të sigurta për shkëmbimin e informacionit, duke u dhënë akses edhe strukturave hetimore; si dhe pjesëmarrja në të gjitha nismat operacionale të </w:t>
      </w:r>
      <w:r w:rsidR="00A634DB" w:rsidRPr="002128A6">
        <w:rPr>
          <w:rFonts w:ascii="Garamond" w:hAnsi="Garamond" w:cstheme="majorBidi"/>
        </w:rPr>
        <w:t xml:space="preserve">INTERPOL-it </w:t>
      </w:r>
      <w:r w:rsidRPr="002128A6">
        <w:rPr>
          <w:rFonts w:ascii="Garamond" w:hAnsi="Garamond" w:cstheme="majorBidi"/>
        </w:rPr>
        <w:t xml:space="preserve">dhe </w:t>
      </w:r>
      <w:r w:rsidR="00A634DB" w:rsidRPr="002128A6">
        <w:rPr>
          <w:rFonts w:ascii="Garamond" w:hAnsi="Garamond" w:cstheme="majorBidi"/>
        </w:rPr>
        <w:t xml:space="preserve">të </w:t>
      </w:r>
      <w:r w:rsidR="00956886" w:rsidRPr="002128A6">
        <w:rPr>
          <w:rFonts w:ascii="Garamond" w:hAnsi="Garamond" w:cstheme="majorBidi"/>
        </w:rPr>
        <w:t>Europol</w:t>
      </w:r>
      <w:r w:rsidR="00A634DB" w:rsidRPr="002128A6">
        <w:rPr>
          <w:rFonts w:ascii="Garamond" w:hAnsi="Garamond" w:cstheme="majorBidi"/>
        </w:rPr>
        <w:t>it</w:t>
      </w:r>
      <w:r w:rsidRPr="002128A6">
        <w:rPr>
          <w:rFonts w:ascii="Garamond" w:hAnsi="Garamond" w:cstheme="majorBidi"/>
        </w:rPr>
        <w:t xml:space="preserve">, me qëllim përmirësimin e zhvillimit të çështjeve ndërkufitare, veprimeve të koordinuara të zbatimit dhe </w:t>
      </w:r>
      <w:r w:rsidR="00300542" w:rsidRPr="002128A6">
        <w:rPr>
          <w:rFonts w:ascii="Garamond" w:hAnsi="Garamond" w:cstheme="majorBidi"/>
        </w:rPr>
        <w:t>goditjes</w:t>
      </w:r>
      <w:r w:rsidRPr="002128A6">
        <w:rPr>
          <w:rFonts w:ascii="Garamond" w:hAnsi="Garamond" w:cstheme="majorBidi"/>
        </w:rPr>
        <w:t xml:space="preserve"> </w:t>
      </w:r>
      <w:r w:rsidR="00300542" w:rsidRPr="002128A6">
        <w:rPr>
          <w:rFonts w:ascii="Garamond" w:hAnsi="Garamond" w:cstheme="majorBidi"/>
        </w:rPr>
        <w:t>s</w:t>
      </w:r>
      <w:r w:rsidRPr="002128A6">
        <w:rPr>
          <w:rFonts w:ascii="Garamond" w:hAnsi="Garamond" w:cstheme="majorBidi"/>
        </w:rPr>
        <w:t>ë rrjeteve kriminale.</w:t>
      </w:r>
    </w:p>
    <w:p w14:paraId="3B6A3C4C" w14:textId="3BE81DF0"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b/>
          <w:bCs/>
        </w:rPr>
        <w:t>Masa 3.1.5</w:t>
      </w:r>
      <w:r w:rsidRPr="002128A6">
        <w:rPr>
          <w:rFonts w:ascii="Garamond" w:eastAsia="Times New Roman" w:hAnsi="Garamond" w:cstheme="majorBidi"/>
        </w:rPr>
        <w:t>: Pjesëmarrja në takimet dhe trajnimet ENFAST</w:t>
      </w:r>
      <w:r w:rsidRPr="002128A6">
        <w:rPr>
          <w:rFonts w:ascii="Garamond" w:hAnsi="Garamond" w:cstheme="majorBidi"/>
        </w:rPr>
        <w:t>, duke ndarë përvojat operacionale dhe praktikat më të mira, duke forcuar bashkëpunimin e pikave të kontaktit dhe duke përmirësuar kapacitetet për lokalizimin, arrestimin dhe dorëzimin e personave në kërkim ndërkombëtar, përmes veprimeve të koordinuara ndërkufitare.</w:t>
      </w:r>
    </w:p>
    <w:p w14:paraId="7597F417"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Times New Roman" w:hAnsi="Garamond" w:cstheme="majorBidi"/>
          <w:b/>
          <w:bCs/>
        </w:rPr>
        <w:t>Masa 3.1.6</w:t>
      </w:r>
      <w:r w:rsidRPr="002128A6">
        <w:rPr>
          <w:rFonts w:ascii="Garamond" w:eastAsia="Times New Roman" w:hAnsi="Garamond" w:cstheme="majorBidi"/>
        </w:rPr>
        <w:t xml:space="preserve">: Forcimi i bashkëpunimit midis institucioneve </w:t>
      </w:r>
      <w:r w:rsidRPr="002128A6">
        <w:rPr>
          <w:rFonts w:ascii="Garamond" w:hAnsi="Garamond" w:cstheme="majorBidi"/>
        </w:rPr>
        <w:t xml:space="preserve">përgjegjëse </w:t>
      </w:r>
      <w:r w:rsidRPr="002128A6">
        <w:rPr>
          <w:rFonts w:ascii="Garamond" w:eastAsia="Times New Roman" w:hAnsi="Garamond" w:cstheme="majorBidi"/>
        </w:rPr>
        <w:t>për mbrojtjen e mjedisit, përfshirë masat për inkurajimin e bashkëpunimit ndërkufitar, promovimin e hetimeve të përbashkëta dhe shkëmbimin e inteligjencës mbi krimet mjedisore ndërkufitare, përfshirë prerjen e paligjshme, trafikimin e mbetjeve dhe kafshëve të egra, në përputhje me angazhimet rajonale dhe ndërkombëtare</w:t>
      </w:r>
      <w:r w:rsidRPr="002128A6">
        <w:rPr>
          <w:rFonts w:ascii="Garamond" w:hAnsi="Garamond" w:cstheme="majorBidi"/>
        </w:rPr>
        <w:t>, me qëllim përmirësimin e parandalimit, zbulimit dhe zbatimit kundër rrjeteve të krimit mjedisor.</w:t>
      </w:r>
    </w:p>
    <w:p w14:paraId="5B19C86F" w14:textId="5FB9F036" w:rsidR="00160F2C" w:rsidRPr="002128A6" w:rsidRDefault="00BE490C" w:rsidP="0025426C">
      <w:pPr>
        <w:spacing w:after="0" w:line="240" w:lineRule="auto"/>
        <w:ind w:firstLine="284"/>
        <w:jc w:val="both"/>
        <w:rPr>
          <w:rFonts w:ascii="Garamond" w:hAnsi="Garamond" w:cs="Times New Roman"/>
        </w:rPr>
      </w:pPr>
      <w:r w:rsidRPr="002128A6">
        <w:rPr>
          <w:rFonts w:ascii="Garamond" w:eastAsia="Times New Roman" w:hAnsi="Garamond" w:cs="Times New Roman"/>
          <w:b/>
          <w:bCs/>
        </w:rPr>
        <w:t>Masa 3.1.7:</w:t>
      </w:r>
      <w:r w:rsidRPr="002128A6">
        <w:rPr>
          <w:rFonts w:ascii="Garamond" w:eastAsia="Times New Roman" w:hAnsi="Garamond" w:cs="Times New Roman"/>
        </w:rPr>
        <w:t xml:space="preserve"> Monitorimi i zbatimit të detyrimev</w:t>
      </w:r>
      <w:r w:rsidRPr="002128A6">
        <w:rPr>
          <w:rFonts w:ascii="Garamond" w:hAnsi="Garamond" w:cs="Times New Roman"/>
        </w:rPr>
        <w:t xml:space="preserve">e </w:t>
      </w:r>
      <w:r w:rsidRPr="002128A6">
        <w:rPr>
          <w:rFonts w:ascii="Garamond" w:eastAsia="Times New Roman" w:hAnsi="Garamond" w:cs="Times New Roman"/>
        </w:rPr>
        <w:t xml:space="preserve">nga </w:t>
      </w:r>
      <w:r w:rsidRPr="002128A6">
        <w:rPr>
          <w:rFonts w:ascii="Garamond" w:hAnsi="Garamond" w:cs="Times New Roman"/>
        </w:rPr>
        <w:t xml:space="preserve">marrëveshjet midis autoriteteve shqiptare dhe Shteteve Anëtare të BE-së dhe/ose </w:t>
      </w:r>
      <w:r w:rsidRPr="002128A6">
        <w:rPr>
          <w:rFonts w:ascii="Garamond" w:eastAsia="Times New Roman" w:hAnsi="Garamond" w:cs="Times New Roman"/>
        </w:rPr>
        <w:t>vendeve të treta në luftën kundër krimit të organizuar dhe krimeve të rënda</w:t>
      </w:r>
      <w:r w:rsidRPr="002128A6">
        <w:rPr>
          <w:rFonts w:ascii="Garamond" w:hAnsi="Garamond" w:cs="Times New Roman"/>
        </w:rPr>
        <w:t xml:space="preserve">, edhe duke gjurmuar veprimet dhe afatet kohore të miratuara, duke identifikuar boshllëqet e zbatimit dhe duke koordinuar ndjekjen me institucionet përgjegjëse, me qëllim përmbushjen efektive dhe konsistente të angazhimeve të bashkëpunimit </w:t>
      </w:r>
      <w:r w:rsidR="00160F2C" w:rsidRPr="002128A6">
        <w:rPr>
          <w:rFonts w:ascii="Garamond" w:hAnsi="Garamond" w:cs="Times New Roman"/>
        </w:rPr>
        <w:t xml:space="preserve">ndërkombëtar, si </w:t>
      </w:r>
      <w:r w:rsidR="0085175A" w:rsidRPr="002128A6">
        <w:rPr>
          <w:rFonts w:ascii="Garamond" w:hAnsi="Garamond" w:cs="Times New Roman"/>
        </w:rPr>
        <w:t>“</w:t>
      </w:r>
      <w:r w:rsidR="00160F2C" w:rsidRPr="002128A6">
        <w:rPr>
          <w:rFonts w:ascii="Garamond" w:hAnsi="Garamond" w:cs="Times New Roman"/>
        </w:rPr>
        <w:t>Pompidou Group</w:t>
      </w:r>
      <w:r w:rsidR="0085175A" w:rsidRPr="002128A6">
        <w:rPr>
          <w:rFonts w:ascii="Garamond" w:hAnsi="Garamond" w:cs="Times New Roman"/>
        </w:rPr>
        <w:t>”</w:t>
      </w:r>
      <w:r w:rsidR="00160F2C" w:rsidRPr="002128A6">
        <w:rPr>
          <w:rFonts w:ascii="Garamond" w:hAnsi="Garamond" w:cs="Times New Roman"/>
        </w:rPr>
        <w:t xml:space="preserve"> etj.</w:t>
      </w:r>
    </w:p>
    <w:p w14:paraId="1C468646" w14:textId="4A2A7D68" w:rsidR="00EF0DCC" w:rsidRPr="002128A6" w:rsidRDefault="002243EA" w:rsidP="0025426C">
      <w:pPr>
        <w:spacing w:after="0" w:line="240" w:lineRule="auto"/>
        <w:ind w:firstLine="284"/>
        <w:jc w:val="both"/>
        <w:rPr>
          <w:rFonts w:ascii="Garamond" w:eastAsia="Times New Roman" w:hAnsi="Garamond" w:cs="Times New Roman"/>
        </w:rPr>
      </w:pPr>
      <w:r w:rsidRPr="002128A6">
        <w:rPr>
          <w:rFonts w:ascii="Garamond" w:eastAsia="Times New Roman" w:hAnsi="Garamond" w:cs="Times New Roman"/>
          <w:b/>
          <w:bCs/>
        </w:rPr>
        <w:t>Masa 3.1.8:</w:t>
      </w:r>
      <w:r w:rsidRPr="002128A6">
        <w:rPr>
          <w:rFonts w:ascii="Garamond" w:eastAsia="Times New Roman" w:hAnsi="Garamond" w:cs="Times New Roman"/>
        </w:rPr>
        <w:t xml:space="preserve"> </w:t>
      </w:r>
      <w:r w:rsidR="00FD0926" w:rsidRPr="002128A6">
        <w:rPr>
          <w:rFonts w:ascii="Garamond" w:eastAsia="Times New Roman" w:hAnsi="Garamond" w:cs="Times New Roman"/>
        </w:rPr>
        <w:t>P</w:t>
      </w:r>
      <w:r w:rsidRPr="002128A6">
        <w:rPr>
          <w:rFonts w:ascii="Garamond" w:eastAsia="Times New Roman" w:hAnsi="Garamond" w:cs="Times New Roman"/>
        </w:rPr>
        <w:t>ërditësimi/rishikimi i marrëveshjet mes autoriteteve shqiptare dhe vendeve të BE ose vendeve të treta në luftën kundër krimit të organizuar dhe krimeve të rënda.</w:t>
      </w:r>
    </w:p>
    <w:p w14:paraId="7096FC66" w14:textId="77777777"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rPr>
        <w:t>Për të mbështetur arritjen e këtyre Masave, do të zbatohen Aktivitetet e mëposhtme:</w:t>
      </w:r>
    </w:p>
    <w:p w14:paraId="6B5DD8ED" w14:textId="7445C65D" w:rsidR="00BE490C" w:rsidRPr="002128A6" w:rsidRDefault="00EF05E1" w:rsidP="0025426C">
      <w:pPr>
        <w:spacing w:after="0" w:line="240" w:lineRule="auto"/>
        <w:ind w:firstLine="284"/>
        <w:jc w:val="both"/>
        <w:rPr>
          <w:rStyle w:val="Strong"/>
          <w:rFonts w:ascii="Garamond" w:hAnsi="Garamond" w:cstheme="majorBidi"/>
        </w:rPr>
      </w:pPr>
      <w:r w:rsidRPr="002128A6">
        <w:rPr>
          <w:rStyle w:val="Strong"/>
          <w:rFonts w:ascii="Garamond" w:hAnsi="Garamond" w:cstheme="majorBidi"/>
        </w:rPr>
        <w:t xml:space="preserve">Aktivitete për masën </w:t>
      </w:r>
      <w:r w:rsidR="00BE490C" w:rsidRPr="002128A6">
        <w:rPr>
          <w:rStyle w:val="Strong"/>
          <w:rFonts w:ascii="Garamond" w:hAnsi="Garamond" w:cstheme="majorBidi"/>
        </w:rPr>
        <w:t>3.1.1</w:t>
      </w:r>
    </w:p>
    <w:p w14:paraId="3125B611" w14:textId="68930BBA"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Krijimi i flukseve të strukturuara të shkëmbimit të informacionit me partnerët rajonalë dhe ndërkombëtarë, duke siguruar transmetim në kohë të inteligjencës, sinjalizimeve operacionale dhe informacionit të gjurmimit të aseteve përmes kanaleve të sigurta. </w:t>
      </w:r>
    </w:p>
    <w:p w14:paraId="0EC6764E" w14:textId="675A3E80"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Integrimi i Zyrës së Rikuperimit të Aseteve (ZRA) në proceset operacionale të shkëmbimit të informacionit, duke mundësuar identifikimin, gjurmimin, sekuestrimin e koordinuar të aseteve kriminale ndërmjet kufijve.</w:t>
      </w:r>
    </w:p>
    <w:p w14:paraId="6EB556CA" w14:textId="779D906C"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3.1.2</w:t>
      </w:r>
    </w:p>
    <w:p w14:paraId="3DCF7606" w14:textId="407BDB09"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Modernizimi i sistemeve të shkëmbimit të informacionit dhe platforma të sigurta të komunikimit në kohë reale për bashkëpunim operacional ndërkufitar, përfshirë përdorimin e pikave të kontaktit sektorial. </w:t>
      </w:r>
    </w:p>
    <w:p w14:paraId="5AEF9AB8" w14:textId="7EEADE2C"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Nisja e hetimeve të hershme financiare në çështjet ndërkufitare duke ndarë pista të inteligjencës financiare, tregues të transaksioneve të dyshimta dhe kërkesa të gjurmimit të aseteve me autoritetet partnere.</w:t>
      </w:r>
    </w:p>
    <w:p w14:paraId="350F7D2E" w14:textId="744B04F3"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3.1.3</w:t>
      </w:r>
    </w:p>
    <w:p w14:paraId="2E421C9D" w14:textId="56014641"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Pjesëmarrja e rregullt në takimet operacionale, projektet analitike dhe nismat e koordinimit të </w:t>
      </w:r>
      <w:r w:rsidR="00B76863" w:rsidRPr="002128A6">
        <w:rPr>
          <w:rFonts w:ascii="Garamond" w:hAnsi="Garamond"/>
        </w:rPr>
        <w:t>Europol</w:t>
      </w:r>
      <w:r w:rsidRPr="002128A6">
        <w:rPr>
          <w:rFonts w:ascii="Garamond" w:hAnsi="Garamond"/>
        </w:rPr>
        <w:t xml:space="preserve">it dhe </w:t>
      </w:r>
      <w:r w:rsidR="00A634DB" w:rsidRPr="002128A6">
        <w:rPr>
          <w:rFonts w:ascii="Garamond" w:hAnsi="Garamond"/>
        </w:rPr>
        <w:t>INTERPOL-</w:t>
      </w:r>
      <w:r w:rsidRPr="002128A6">
        <w:rPr>
          <w:rFonts w:ascii="Garamond" w:hAnsi="Garamond"/>
        </w:rPr>
        <w:t xml:space="preserve">it, duke siguruar ndjekje në kohë të të gjitha kërkesave dhe produkteve të inteligjencës. </w:t>
      </w:r>
    </w:p>
    <w:p w14:paraId="395070C7" w14:textId="1F834C36"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Forcimi i angazhimit në platformat e bashkëpunimit rajonal, duke kontribuar me inteligjencë, duke marrë pjesë në vlerësimet e përbashkëta të kërcënimit dhe duke mbështetur përgjigjet e koordinuara ndaj kërcënimeve të krimit të organizuar.</w:t>
      </w:r>
    </w:p>
    <w:p w14:paraId="5E034F8B" w14:textId="7F555EAB"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3.1.4</w:t>
      </w:r>
    </w:p>
    <w:p w14:paraId="400F6BC0" w14:textId="68DEB64B"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Formimi i skuadrave të përbashkëta hetimore (SPH), aty ku është e zbatueshme, me vendet partnere, për çështje komplekse ndërkufitare, duke siguruar shkëmbim të sigurt të informacionit dhe planifikim operacional të koordinuar. </w:t>
      </w:r>
    </w:p>
    <w:p w14:paraId="2AA57FF0" w14:textId="1FB21E2D"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lastRenderedPageBreak/>
        <w:t xml:space="preserve">- Pjesëmarrja në nismat operacionale të </w:t>
      </w:r>
      <w:r w:rsidR="00A634DB" w:rsidRPr="002128A6">
        <w:rPr>
          <w:rFonts w:ascii="Garamond" w:hAnsi="Garamond"/>
        </w:rPr>
        <w:t>INTERPOL-</w:t>
      </w:r>
      <w:r w:rsidRPr="002128A6">
        <w:rPr>
          <w:rFonts w:ascii="Garamond" w:hAnsi="Garamond"/>
        </w:rPr>
        <w:t xml:space="preserve">it dhe </w:t>
      </w:r>
      <w:r w:rsidR="00B76863" w:rsidRPr="002128A6">
        <w:rPr>
          <w:rFonts w:ascii="Garamond" w:hAnsi="Garamond"/>
        </w:rPr>
        <w:t>Europolit</w:t>
      </w:r>
      <w:r w:rsidRPr="002128A6">
        <w:rPr>
          <w:rFonts w:ascii="Garamond" w:hAnsi="Garamond"/>
        </w:rPr>
        <w:t>, duke u dhënë strukturave hetimore akses në platforma të sigurta për të mbështetur zhvillimin e çështjeve ndërkufitare dhe veprimet ligjzbatuese.</w:t>
      </w:r>
    </w:p>
    <w:p w14:paraId="2A29F633" w14:textId="54BBC201"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3.1.5</w:t>
      </w:r>
    </w:p>
    <w:p w14:paraId="26D6DE77" w14:textId="19D831E2"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Angazhimi aktiv në takimet, trajnimet dhe shkëmbimet operacionale të ENFAST-it, për të forcuar bashkëpunimin e pikave të kontaktit dhe për të përmirësuar kapacitetet për lokalizimin dhe arrestimin e personave në kërkim ndërkombëtar. </w:t>
      </w:r>
    </w:p>
    <w:p w14:paraId="1C215034" w14:textId="59964FE9"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Ndarja e përvojave operacionale dhe praktikave më të mira me partnerët e ENFAST-it, për të rritur koordinimin ndërkufitar dhe për të përshpejtuar kapjen e të kërkuarve.</w:t>
      </w:r>
    </w:p>
    <w:p w14:paraId="450E8D9E" w14:textId="41A680BA"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3.1.6</w:t>
      </w:r>
    </w:p>
    <w:p w14:paraId="5A5BBF1D" w14:textId="56DF5411"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Ngritja e mekanizmave të strukturuar bashkëpunimi midis institucioneve të mbrojtjes së mjedisit dhe agjencive ligjzbatuese, për të promovuar hetime të përbashkëta dhe shkëmbim të inteligjencës mbi prerjen e paligjshme, trafikimin e mbetjeve dhe krimin ndaj kafshëve të egra. </w:t>
      </w:r>
    </w:p>
    <w:p w14:paraId="0CBF97C6" w14:textId="7B8DE877"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Pjesëmarrja në rrjetet rajonale dhe ndërkombëtare kundër krimit mjedisor, për të mbështetur veprimet ndërkufitare të zbulimit, parandalimit dhe zbatimit.</w:t>
      </w:r>
    </w:p>
    <w:p w14:paraId="2D2E5169" w14:textId="79AFC44F"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3.1.7</w:t>
      </w:r>
    </w:p>
    <w:p w14:paraId="64F5F1C0" w14:textId="6854350D"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Kryerja e një analize gjithëpërfshirëse mbi përfitimet, detyrimet, kostot dhe implikimet institucionale, ligjore dhe financiare të anëtarësimit të Shqipërisë në </w:t>
      </w:r>
      <w:r w:rsidRPr="002128A6">
        <w:rPr>
          <w:rFonts w:ascii="Garamond" w:hAnsi="Garamond"/>
          <w:i/>
          <w:iCs/>
        </w:rPr>
        <w:t>Grupin Pompidou.</w:t>
      </w:r>
    </w:p>
    <w:p w14:paraId="4A482CF7" w14:textId="44F75D3B"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Zhvillimi i konsultimeve dhe takimeve teknike me institucionet kombëtare përgjegjëse, Sekretariatin e </w:t>
      </w:r>
      <w:r w:rsidRPr="002128A6">
        <w:rPr>
          <w:rFonts w:ascii="Garamond" w:hAnsi="Garamond"/>
          <w:i/>
          <w:iCs/>
        </w:rPr>
        <w:t>Grupit Pompidou</w:t>
      </w:r>
      <w:r w:rsidRPr="002128A6">
        <w:rPr>
          <w:rFonts w:ascii="Garamond" w:hAnsi="Garamond"/>
        </w:rPr>
        <w:t xml:space="preserve"> dhe partnerët ndërkombëtarë për vlerësimin e gatishmërisë dhe procedurave të anëtarësimit.</w:t>
      </w:r>
    </w:p>
    <w:p w14:paraId="4DF1CDE1" w14:textId="52D7CFCC"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Përgatitja e raportit vlerësues dhe e propozimit institucional për fillimin e procedurave të anëtarësimit, duke përfshirë një plan veprimi për përmbushjen e kërkesave përkatëse.</w:t>
      </w:r>
    </w:p>
    <w:p w14:paraId="50741BE3" w14:textId="2C973E49" w:rsidR="0025426C" w:rsidRPr="002128A6" w:rsidRDefault="00EF05E1" w:rsidP="0025426C">
      <w:pPr>
        <w:pStyle w:val="NormalWeb"/>
        <w:spacing w:before="0" w:beforeAutospacing="0" w:after="0" w:afterAutospacing="0"/>
        <w:ind w:firstLine="284"/>
        <w:jc w:val="both"/>
        <w:rPr>
          <w:rFonts w:ascii="Garamond" w:hAnsi="Garamond"/>
        </w:rPr>
      </w:pPr>
      <w:r w:rsidRPr="002128A6">
        <w:rPr>
          <w:rFonts w:ascii="Garamond" w:hAnsi="Garamond"/>
          <w:b/>
          <w:bCs/>
        </w:rPr>
        <w:t xml:space="preserve">Aktivitete për masën </w:t>
      </w:r>
      <w:r w:rsidR="0025426C" w:rsidRPr="002128A6">
        <w:rPr>
          <w:rFonts w:ascii="Garamond" w:hAnsi="Garamond"/>
          <w:b/>
          <w:bCs/>
        </w:rPr>
        <w:t>3.1.8</w:t>
      </w:r>
    </w:p>
    <w:p w14:paraId="115EA391" w14:textId="3EC9C32C" w:rsidR="0025426C" w:rsidRPr="002128A6" w:rsidRDefault="0025426C" w:rsidP="0025426C">
      <w:pPr>
        <w:pStyle w:val="NormalWeb"/>
        <w:tabs>
          <w:tab w:val="left" w:pos="720"/>
        </w:tabs>
        <w:spacing w:before="0" w:beforeAutospacing="0" w:after="0" w:afterAutospacing="0"/>
        <w:ind w:firstLine="284"/>
        <w:jc w:val="both"/>
        <w:rPr>
          <w:rFonts w:ascii="Garamond" w:hAnsi="Garamond"/>
        </w:rPr>
      </w:pPr>
      <w:r w:rsidRPr="002128A6">
        <w:rPr>
          <w:rFonts w:ascii="Garamond" w:hAnsi="Garamond"/>
        </w:rPr>
        <w:t>- Ndërmarrja e një procesi të plotë rishikimi dhe vlerësimi i marrëveshjeve ekzistuese të bashkëpunimit ndërkombëtar në fushën e luftës kundër krimit të organizuar dhe krimeve të rënda, me qëllim identifikimin e nevojave për përditësim, harmonizim dhe përshtatje me zhvillimet më të fundit ligjore, institucionale dhe operacionale në nivel evropian dhe ndërkombëtar.</w:t>
      </w:r>
    </w:p>
    <w:p w14:paraId="76B5ABD1" w14:textId="0F10BE9C" w:rsidR="0025426C" w:rsidRPr="002128A6" w:rsidRDefault="0025426C" w:rsidP="0025426C">
      <w:pPr>
        <w:pStyle w:val="NormalWeb"/>
        <w:tabs>
          <w:tab w:val="left" w:pos="720"/>
        </w:tabs>
        <w:spacing w:before="0" w:beforeAutospacing="0" w:after="0" w:afterAutospacing="0"/>
        <w:ind w:firstLine="284"/>
        <w:jc w:val="both"/>
        <w:rPr>
          <w:rFonts w:ascii="Garamond" w:hAnsi="Garamond"/>
        </w:rPr>
      </w:pPr>
      <w:r w:rsidRPr="002128A6">
        <w:rPr>
          <w:rFonts w:ascii="Garamond" w:hAnsi="Garamond"/>
        </w:rPr>
        <w:t>- Zhvillimi i konsultimeve teknike dhe institucionale me autoritetet kompetente të vendeve partnere, agjencitë e Bashkimit Evropian dhe organizatat ndërkombëtare për të identifikuar fushat prioritare ku kërkohet forcimi i instrumenteve të bashkëpunimit në luftën kundër krimit të organizuar ndërkufitar për të iniciuar marrëveshje të reja, ndryshuar formën e aktit të bashkëpunimit, rishikuar ato ekzistuese; </w:t>
      </w:r>
    </w:p>
    <w:p w14:paraId="328D6F55" w14:textId="4354C3B4" w:rsidR="0025426C" w:rsidRPr="002128A6" w:rsidRDefault="0025426C" w:rsidP="0025426C">
      <w:pPr>
        <w:pStyle w:val="NormalWeb"/>
        <w:tabs>
          <w:tab w:val="left" w:pos="720"/>
        </w:tabs>
        <w:spacing w:before="0" w:beforeAutospacing="0" w:after="0" w:afterAutospacing="0"/>
        <w:ind w:firstLine="284"/>
        <w:jc w:val="both"/>
        <w:rPr>
          <w:rFonts w:ascii="Garamond" w:hAnsi="Garamond"/>
        </w:rPr>
      </w:pPr>
      <w:r w:rsidRPr="002128A6">
        <w:rPr>
          <w:rFonts w:ascii="Garamond" w:hAnsi="Garamond"/>
        </w:rPr>
        <w:t>- Propozimi nga strukturat përkatëse (të bashkëpunimit dhe teknike) për përditësimin e marrëveshjeve ekzistuese dypalëshe dhe shumëpalëshe, duke përfshirë dispozita që mundësojnë shkëmbim më të shpejtë dhe më efektiv të informacionit, mbështetje të ndërsjellë operative, zhvillimin e hetimeve të përbashkëta dhe bashkëpunimin në luftën kundër formave të reja të kriminalitetit,</w:t>
      </w:r>
    </w:p>
    <w:p w14:paraId="76F4D3D6" w14:textId="4F43F80A" w:rsidR="0025426C" w:rsidRPr="002128A6" w:rsidRDefault="0025426C" w:rsidP="0025426C">
      <w:pPr>
        <w:pStyle w:val="NormalWeb"/>
        <w:tabs>
          <w:tab w:val="left" w:pos="720"/>
        </w:tabs>
        <w:spacing w:before="0" w:beforeAutospacing="0" w:after="0" w:afterAutospacing="0"/>
        <w:ind w:firstLine="284"/>
        <w:jc w:val="both"/>
        <w:rPr>
          <w:rFonts w:ascii="Garamond" w:hAnsi="Garamond"/>
        </w:rPr>
      </w:pPr>
      <w:r w:rsidRPr="002128A6">
        <w:rPr>
          <w:rFonts w:ascii="Garamond" w:hAnsi="Garamond"/>
        </w:rPr>
        <w:t>- Intensifikimi i përpjekjeve përmes komunikimit të vazhdueshëm për negocimin dhe nënshkrimin e marrëveshjeve të reja me vendet e Bashkimit Evropian dhe vendet e treta me interes strategjik, me fokus të veçantë në luftën kundër trafikimit të narkotikëve, pastrimit të parave, krimit ekonomik-financiar, krimit kibernetik dhe formave të tjera të krimit të organizuar ndërkombëtar.</w:t>
      </w:r>
    </w:p>
    <w:p w14:paraId="296FAF48" w14:textId="18645445" w:rsidR="0025426C" w:rsidRPr="002128A6" w:rsidRDefault="0025426C" w:rsidP="0025426C">
      <w:pPr>
        <w:pStyle w:val="NormalWeb"/>
        <w:tabs>
          <w:tab w:val="left" w:pos="720"/>
        </w:tabs>
        <w:spacing w:before="0" w:beforeAutospacing="0" w:after="0" w:afterAutospacing="0"/>
        <w:ind w:firstLine="284"/>
        <w:jc w:val="both"/>
        <w:rPr>
          <w:rFonts w:ascii="Garamond" w:hAnsi="Garamond"/>
        </w:rPr>
      </w:pPr>
      <w:r w:rsidRPr="002128A6">
        <w:rPr>
          <w:rFonts w:ascii="Garamond" w:hAnsi="Garamond"/>
        </w:rPr>
        <w:t>- Zhvillimi i takimeve periodike dypalëshe dhe shumëpalëshe me autoritetet homologe për të monitoruar zbatimin e marrëveshjeve ekzistuese</w:t>
      </w:r>
      <w:r w:rsidR="00F54824" w:rsidRPr="002128A6">
        <w:rPr>
          <w:rFonts w:ascii="Garamond" w:hAnsi="Garamond"/>
        </w:rPr>
        <w:t xml:space="preserve"> </w:t>
      </w:r>
      <w:r w:rsidRPr="002128A6">
        <w:rPr>
          <w:rFonts w:ascii="Garamond" w:hAnsi="Garamond"/>
        </w:rPr>
        <w:t>dhe për të identifikuar mundësi të reja bashkëpunimi.</w:t>
      </w:r>
    </w:p>
    <w:p w14:paraId="3CA41E6B" w14:textId="4638BEFC" w:rsidR="0025426C" w:rsidRPr="002128A6" w:rsidRDefault="0025426C" w:rsidP="0025426C">
      <w:pPr>
        <w:pStyle w:val="NormalWeb"/>
        <w:tabs>
          <w:tab w:val="left" w:pos="720"/>
        </w:tabs>
        <w:spacing w:before="0" w:beforeAutospacing="0" w:after="0" w:afterAutospacing="0"/>
        <w:ind w:firstLine="284"/>
        <w:jc w:val="both"/>
        <w:rPr>
          <w:rFonts w:ascii="Garamond" w:hAnsi="Garamond"/>
        </w:rPr>
      </w:pPr>
      <w:r w:rsidRPr="002128A6">
        <w:rPr>
          <w:rFonts w:ascii="Garamond" w:hAnsi="Garamond"/>
        </w:rPr>
        <w:t>- Sigurimi i përafrimit të vazhdueshëm të kuadrit të bashkëpunimit me atë të Bashkimit Evropian dhe me standardet ndërkombëtare në fushën e luftës kundër krimit të organizuar dhe krimeve të rënda.</w:t>
      </w:r>
    </w:p>
    <w:p w14:paraId="7F2FD0B9" w14:textId="5BC69FAF" w:rsidR="0025426C" w:rsidRPr="002128A6" w:rsidRDefault="0025426C" w:rsidP="0025426C">
      <w:pPr>
        <w:pStyle w:val="NormalWeb"/>
        <w:tabs>
          <w:tab w:val="left" w:pos="720"/>
        </w:tabs>
        <w:spacing w:before="0" w:beforeAutospacing="0" w:after="0" w:afterAutospacing="0"/>
        <w:ind w:firstLine="284"/>
        <w:jc w:val="both"/>
        <w:rPr>
          <w:rFonts w:ascii="Garamond" w:hAnsi="Garamond"/>
        </w:rPr>
      </w:pPr>
      <w:r w:rsidRPr="002128A6">
        <w:rPr>
          <w:rFonts w:ascii="Garamond" w:hAnsi="Garamond"/>
        </w:rPr>
        <w:t xml:space="preserve">- Zhvillimi i programeve të përbashkëta të trajnimit, shkëmbimit të eksperiencave dhe ngritjes së kapaciteteve për strukturat ligjzbatuese dhe ekspertët e përfshirë në negocimin, zbatimin dhe </w:t>
      </w:r>
      <w:r w:rsidRPr="002128A6">
        <w:rPr>
          <w:rFonts w:ascii="Garamond" w:hAnsi="Garamond"/>
        </w:rPr>
        <w:lastRenderedPageBreak/>
        <w:t>monitorimin e marrëveshjeve të bashkëpunimit ndërkombëtar, në fushën e parandalimit dhe luftës kundër krimit të organizuar dhe krimeve të rënda. </w:t>
      </w:r>
    </w:p>
    <w:p w14:paraId="686751F3"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rPr>
        <w:t>Produktet e pritshme që do të rezultojnë janë:</w:t>
      </w:r>
    </w:p>
    <w:p w14:paraId="5EBFC426" w14:textId="47C7F9C6"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Produkti 1: </w:t>
      </w:r>
      <w:r w:rsidRPr="002128A6">
        <w:rPr>
          <w:rFonts w:ascii="Garamond" w:hAnsi="Garamond"/>
        </w:rPr>
        <w:t>Numri i oficerëve të ndërlidhjes të caktuar në vendet prioritare, përfshirë caktimin e dy oficerëve ndërlidhës nga BKH</w:t>
      </w:r>
      <w:r w:rsidR="00453646" w:rsidRPr="002128A6">
        <w:rPr>
          <w:rFonts w:ascii="Garamond" w:hAnsi="Garamond"/>
        </w:rPr>
        <w:t>-ja</w:t>
      </w:r>
      <w:r w:rsidRPr="002128A6">
        <w:rPr>
          <w:rFonts w:ascii="Garamond" w:hAnsi="Garamond"/>
        </w:rPr>
        <w:t xml:space="preserve"> në </w:t>
      </w:r>
      <w:r w:rsidR="00956886" w:rsidRPr="002128A6">
        <w:rPr>
          <w:rFonts w:ascii="Garamond" w:hAnsi="Garamond"/>
        </w:rPr>
        <w:t xml:space="preserve">Europol </w:t>
      </w:r>
      <w:r w:rsidRPr="002128A6">
        <w:rPr>
          <w:rFonts w:ascii="Garamond" w:hAnsi="Garamond"/>
        </w:rPr>
        <w:t>dhe Qendrën e Zbatimit të Ligjit për Evropën Juglindore (SELEC).</w:t>
      </w:r>
    </w:p>
    <w:p w14:paraId="7DD4BCB8"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Produkti 2: </w:t>
      </w:r>
      <w:r w:rsidRPr="002128A6">
        <w:rPr>
          <w:rFonts w:ascii="Garamond" w:hAnsi="Garamond"/>
        </w:rPr>
        <w:t>Numri i rasteve të informacionit policor të shkëmbyer me partnerët ndërkombëtarë.</w:t>
      </w:r>
    </w:p>
    <w:p w14:paraId="6558D3A8"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Produkti 3: </w:t>
      </w:r>
      <w:r w:rsidRPr="002128A6">
        <w:rPr>
          <w:rFonts w:ascii="Garamond" w:hAnsi="Garamond"/>
        </w:rPr>
        <w:t>Numri i operacioneve të përbashkëta të kryera me partnerët ndërkombëtarë.</w:t>
      </w:r>
    </w:p>
    <w:p w14:paraId="1BBCB4C4"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Institucionet përgjegjëse: </w:t>
      </w:r>
      <w:r w:rsidRPr="002128A6">
        <w:rPr>
          <w:rFonts w:ascii="Garamond" w:hAnsi="Garamond"/>
        </w:rPr>
        <w:t>Policia e Shtetit, Ministria e Punëve të Brendshme, Inspektorati Kombëtar i Mbrojtjes së Territorit.</w:t>
      </w:r>
    </w:p>
    <w:p w14:paraId="316F89C9"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Institucionet mbështetëse: </w:t>
      </w:r>
      <w:r w:rsidRPr="002128A6">
        <w:rPr>
          <w:rFonts w:ascii="Garamond" w:hAnsi="Garamond"/>
        </w:rPr>
        <w:t>Shërbimi Informativ i Shtetit; Byroja Kombëtare e Hetimit; Struktura e Posaçme Kundër Korrupsionit dhe Krimit të Organizuar; Ministria e Punëve të Brendshme, Ministritë relevante të linjës</w:t>
      </w:r>
    </w:p>
    <w:p w14:paraId="1F05C1E8"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rPr>
        <w:t>Rezultatet do të maten përmes Treguesit të mëposhtëm:</w:t>
      </w:r>
    </w:p>
    <w:p w14:paraId="3AECAB9C" w14:textId="77777777" w:rsidR="0025426C" w:rsidRPr="002128A6" w:rsidRDefault="0025426C" w:rsidP="0025426C">
      <w:pPr>
        <w:spacing w:after="0" w:line="240" w:lineRule="auto"/>
        <w:ind w:firstLine="284"/>
        <w:jc w:val="both"/>
        <w:rPr>
          <w:rFonts w:ascii="Garamond" w:hAnsi="Garamond"/>
          <w:i/>
          <w:iCs/>
        </w:rPr>
      </w:pPr>
      <w:r w:rsidRPr="002128A6">
        <w:rPr>
          <w:rFonts w:ascii="Garamond" w:hAnsi="Garamond"/>
          <w:i/>
          <w:iCs/>
        </w:rPr>
        <w:t>Niveli i goditjes së rrjeteve kriminale në bashkëpunim me partnerët ndërkombëtar.</w:t>
      </w:r>
    </w:p>
    <w:p w14:paraId="248060B5" w14:textId="76BAE56B"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Vlera bazë: </w:t>
      </w:r>
      <w:r w:rsidRPr="002128A6">
        <w:rPr>
          <w:rFonts w:ascii="Garamond" w:hAnsi="Garamond"/>
        </w:rPr>
        <w:t>2025 – 130 operacione të përbashkëta</w:t>
      </w:r>
      <w:r w:rsidR="00386FF6" w:rsidRPr="002128A6">
        <w:rPr>
          <w:rFonts w:ascii="Garamond" w:hAnsi="Garamond"/>
        </w:rPr>
        <w:t>;</w:t>
      </w:r>
    </w:p>
    <w:p w14:paraId="6C0ABBD8" w14:textId="7338CD7B"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Synimi deri </w:t>
      </w:r>
      <w:r w:rsidR="00386FF6" w:rsidRPr="002128A6">
        <w:rPr>
          <w:rFonts w:ascii="Garamond" w:hAnsi="Garamond"/>
          <w:b/>
          <w:bCs/>
        </w:rPr>
        <w:t>m</w:t>
      </w:r>
      <w:r w:rsidRPr="002128A6">
        <w:rPr>
          <w:rFonts w:ascii="Garamond" w:hAnsi="Garamond"/>
          <w:b/>
          <w:bCs/>
        </w:rPr>
        <w:t>ë 2030: +</w:t>
      </w:r>
      <w:r w:rsidRPr="002128A6">
        <w:rPr>
          <w:rFonts w:ascii="Garamond" w:hAnsi="Garamond"/>
        </w:rPr>
        <w:t>10% e vlerës bazë</w:t>
      </w:r>
      <w:r w:rsidR="00386FF6" w:rsidRPr="002128A6">
        <w:rPr>
          <w:rFonts w:ascii="Garamond" w:hAnsi="Garamond"/>
        </w:rPr>
        <w:t>.</w:t>
      </w:r>
    </w:p>
    <w:p w14:paraId="7A3466B2" w14:textId="442D8C01" w:rsidR="0025426C" w:rsidRPr="002128A6" w:rsidRDefault="0025426C" w:rsidP="0025426C">
      <w:pPr>
        <w:pStyle w:val="Heading3"/>
        <w:spacing w:before="0" w:after="0" w:line="240" w:lineRule="auto"/>
        <w:ind w:firstLine="284"/>
        <w:jc w:val="both"/>
        <w:rPr>
          <w:rFonts w:ascii="Garamond" w:hAnsi="Garamond"/>
          <w:b/>
          <w:bCs/>
          <w:color w:val="auto"/>
          <w:sz w:val="24"/>
          <w:szCs w:val="24"/>
        </w:rPr>
      </w:pPr>
      <w:r w:rsidRPr="002128A6">
        <w:rPr>
          <w:rFonts w:ascii="Garamond" w:hAnsi="Garamond"/>
          <w:b/>
          <w:bCs/>
          <w:color w:val="auto"/>
          <w:sz w:val="24"/>
          <w:szCs w:val="24"/>
        </w:rPr>
        <w:t>Objektivi Specifik 3.2: Përmirësimi i efektivitetit të bashkëpunimit gjyqësor ndërkombëtar</w:t>
      </w:r>
      <w:r w:rsidR="00F54824" w:rsidRPr="002128A6">
        <w:rPr>
          <w:rFonts w:ascii="Garamond" w:hAnsi="Garamond"/>
          <w:b/>
          <w:bCs/>
          <w:color w:val="auto"/>
          <w:sz w:val="24"/>
          <w:szCs w:val="24"/>
        </w:rPr>
        <w:t xml:space="preserve"> </w:t>
      </w:r>
      <w:r w:rsidRPr="002128A6">
        <w:rPr>
          <w:rFonts w:ascii="Garamond" w:hAnsi="Garamond"/>
          <w:b/>
          <w:bCs/>
          <w:color w:val="auto"/>
          <w:sz w:val="24"/>
          <w:szCs w:val="24"/>
        </w:rPr>
        <w:t>përmes shpejtimit të shkëmbimit të informacionit, forcimit të ndjekjes së çështjeve dhe rritjes së ekzekutimit të vendimeve gjyqësore të huaja</w:t>
      </w:r>
    </w:p>
    <w:p w14:paraId="4754BB04"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rPr>
        <w:t xml:space="preserve">Bashkëpunimi gjyqësor me autoritetet e huaja në procedurat penale përbën një nga format më të rëndësishme të bashkëpunimit ndërkombëtar për adresimin e sfidave që lidhen me aktivitetet kriminale dhe individët e përfshirë në to. Globalizimi dhe lëvizja e lirë e njerëzve dhe qytetarëve, sjellin sfida të përbashkëta në fushën e sigurisë, të cilat nuk mund të zgjidhen brenda kufijve të një juridiksioni të vetëm, duke kërkuar kështu bashkëpunim të ngushtë ndërkufitar. Kjo strategji synon të forcojë bashkëpunimin gjyqësor me autoritetet e huaja, si një mjet për të ndëshkuar individët që përpiqen të shmangin përgjegjësinë ligjore, si dhe të rrisë besimin e ndërsjellë me vendet partnere. </w:t>
      </w:r>
    </w:p>
    <w:p w14:paraId="18976824"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rPr>
        <w:t xml:space="preserve">Për të arritur rezultate më të mira në drejtësinë penale kundër shkelësve dhe aktiviteteve të paligjshme që lidhen me krimin e organizuar dhe krimet e rënda, duhen shfrytëzuar maksimalisht instrumentet dhe mekanizmat ligjorë ndërkombëtarë, sigurisht duke zbatuar parimet e konfidencialitetit dhe mbrojtjes së të dhënave personale. </w:t>
      </w:r>
    </w:p>
    <w:p w14:paraId="0382DED6"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rPr>
        <w:t>Rezultatet e pritshme të këtij objektivi janë si vijon:</w:t>
      </w:r>
    </w:p>
    <w:p w14:paraId="4EAB5C3B"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Rezultati 1: </w:t>
      </w:r>
      <w:r w:rsidRPr="002128A6">
        <w:rPr>
          <w:rFonts w:ascii="Garamond" w:hAnsi="Garamond"/>
        </w:rPr>
        <w:t>Përpunimi i ndihmës së ndërsjellë juridike është ndjeshëm më i shpejtë me afate kohore të parashikueshme.</w:t>
      </w:r>
    </w:p>
    <w:p w14:paraId="1EFE2EE2"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Rezultati 2: </w:t>
      </w:r>
      <w:r w:rsidRPr="002128A6">
        <w:rPr>
          <w:rFonts w:ascii="Garamond" w:hAnsi="Garamond"/>
        </w:rPr>
        <w:t>Përqindja e kërkesave të bashkëpunimit ndërkombëtar të ekzekutuara me sukses rritet ndjeshëm.</w:t>
      </w:r>
    </w:p>
    <w:p w14:paraId="185959B6"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Rezultati 3: </w:t>
      </w:r>
      <w:r w:rsidRPr="002128A6">
        <w:rPr>
          <w:rFonts w:ascii="Garamond" w:hAnsi="Garamond"/>
        </w:rPr>
        <w:t>Çështjet gjyqësore kryesore të krimit të organizuar me dimensione ndërkombëtare, gjurmohen deri në finalizim në çdo shkallë.</w:t>
      </w:r>
    </w:p>
    <w:p w14:paraId="36D36B24"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rPr>
        <w:t>Ky Objektiv Specifik do të zbatohet përmes Masave të mëposhtme:</w:t>
      </w:r>
    </w:p>
    <w:p w14:paraId="67C21D9E" w14:textId="77777777" w:rsidR="0025426C" w:rsidRPr="002128A6" w:rsidRDefault="0025426C" w:rsidP="0025426C">
      <w:pPr>
        <w:spacing w:after="0" w:line="240" w:lineRule="auto"/>
        <w:ind w:firstLine="284"/>
        <w:jc w:val="both"/>
        <w:rPr>
          <w:rFonts w:ascii="Garamond" w:hAnsi="Garamond"/>
          <w:b/>
          <w:bCs/>
        </w:rPr>
      </w:pPr>
      <w:r w:rsidRPr="002128A6">
        <w:rPr>
          <w:rFonts w:ascii="Garamond" w:hAnsi="Garamond"/>
          <w:b/>
          <w:bCs/>
        </w:rPr>
        <w:t xml:space="preserve">Masa 3.2.1: </w:t>
      </w:r>
      <w:r w:rsidRPr="002128A6">
        <w:rPr>
          <w:rFonts w:ascii="Garamond" w:hAnsi="Garamond"/>
        </w:rPr>
        <w:t>Rritja efektivitetit, efikasitetit dhe shpejtësisë së bashkëpunimit gjyqësor ndërkombëtar për ekzekutimin e kërkesave që bëhen nga Shqipëria ose nga shtete të huaja, duke forcuar menaxhimin e çështjes dhe ndjekjen, duke zbatuar parimet e konfidencialitetit dhe mbrojtjes së të dhënave personale, si dhe duke garantuar transmetim dhe trajtim të sigurt të informacionit gjyqësor, me qëllim përmirësimin e normave të ekzekutimit dhe reduktimin e vonesave.</w:t>
      </w:r>
    </w:p>
    <w:p w14:paraId="1CF71290"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Masa 3.2.2: </w:t>
      </w:r>
      <w:r w:rsidRPr="002128A6">
        <w:rPr>
          <w:rFonts w:ascii="Garamond" w:hAnsi="Garamond"/>
        </w:rPr>
        <w:t xml:space="preserve">Përditësimi dhe sigurimi i aksesit të zgjeruar në regjistrin gjyqësor penal në lidhje me shtetasit shqiptarë të dënuar jashtë Shqipërisë, duke miratuar procedura për marrjen në kohë dhe verifikimin e informacionit nga autoritetet përgjegjëse të huaja, duke siguruar cilësi dhe gjurmueshmëri </w:t>
      </w:r>
      <w:r w:rsidRPr="002128A6">
        <w:rPr>
          <w:rFonts w:ascii="Garamond" w:hAnsi="Garamond"/>
        </w:rPr>
        <w:lastRenderedPageBreak/>
        <w:t>të të dhënave dhe duke mundësuar akses të autorizuar për institucionet përgjegjëse, në respektim të</w:t>
      </w:r>
      <w:r w:rsidRPr="002128A6">
        <w:rPr>
          <w:rFonts w:ascii="Garamond" w:hAnsi="Garamond"/>
          <w:b/>
          <w:bCs/>
        </w:rPr>
        <w:t xml:space="preserve"> </w:t>
      </w:r>
      <w:r w:rsidRPr="002128A6">
        <w:rPr>
          <w:rFonts w:ascii="Garamond" w:hAnsi="Garamond"/>
        </w:rPr>
        <w:t xml:space="preserve">plotë të konfidencialitetit dhe mbrojtjes së të dhënave personale. </w:t>
      </w:r>
    </w:p>
    <w:p w14:paraId="4D8FE1D3"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b/>
          <w:bCs/>
        </w:rPr>
        <w:t xml:space="preserve">Masa 3.2.3: </w:t>
      </w:r>
      <w:r w:rsidRPr="002128A6">
        <w:rPr>
          <w:rFonts w:ascii="Garamond" w:hAnsi="Garamond"/>
        </w:rPr>
        <w:t>Forcimi i mbështetjes për skuadrat e përbashkëta hetimore (përfshirë SPH-të dypalëshe dhe çështjet të mbështetura/koordinuara nga Eurojust), përfshirë përmes koordinimit ligjor dhe operacional në kohë, shkëmbimit të sigurt të informacionit, lehtësimit të takimeve të koordinimit dhe ndjekjes së vazhdueshme të çështjes, me qëllim përmirësimin e mbledhjes ndërkufitare të provave, efektivitetit hetimor dhe ekzekutimit të masave gjyqësore.</w:t>
      </w:r>
    </w:p>
    <w:p w14:paraId="23D72862" w14:textId="77777777" w:rsidR="0025426C" w:rsidRPr="002128A6" w:rsidRDefault="0025426C" w:rsidP="0025426C">
      <w:pPr>
        <w:spacing w:after="0" w:line="240" w:lineRule="auto"/>
        <w:ind w:firstLine="284"/>
        <w:jc w:val="both"/>
        <w:rPr>
          <w:rFonts w:ascii="Garamond" w:hAnsi="Garamond"/>
        </w:rPr>
      </w:pPr>
      <w:r w:rsidRPr="002128A6">
        <w:rPr>
          <w:rFonts w:ascii="Garamond" w:hAnsi="Garamond"/>
        </w:rPr>
        <w:t>Për të mbështetur arritjen e këtyre Masave, do të zbatohen Aktivitetet e mëposhtme:</w:t>
      </w:r>
    </w:p>
    <w:p w14:paraId="1034EB15" w14:textId="66F05A39"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3.2.1</w:t>
      </w:r>
    </w:p>
    <w:p w14:paraId="592B2FF0" w14:textId="0A618AF8"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Miratimi i procedurave të standardizuara të menaxhimit të çështjes për të gjitha kërkesat hyrëse dhe dalëse për ndihmë të ndërsjellë juridike, përfshirë regjistrimin, gjurmimin, afatet kohore dhe përgjegjësitë e ndjekjes, me qëllim që të reduktohen vonesat dhe të ketë parashikueshmëri të kohës që duhet për përpunimin e kërkesës.</w:t>
      </w:r>
    </w:p>
    <w:p w14:paraId="68DAE393" w14:textId="1FE7B5C6"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Përdorimi i kanaleve </w:t>
      </w:r>
      <w:r w:rsidR="00F54824" w:rsidRPr="002128A6">
        <w:rPr>
          <w:rFonts w:ascii="Garamond" w:hAnsi="Garamond"/>
        </w:rPr>
        <w:t>digjital</w:t>
      </w:r>
      <w:r w:rsidRPr="002128A6">
        <w:rPr>
          <w:rFonts w:ascii="Garamond" w:hAnsi="Garamond"/>
        </w:rPr>
        <w:t>e të sigurta për transmetimin dhe marrjen e informacionit gjyqësor, duke siguruar konfidencialitet, pajtueshmëri me mbrojtjen e të dhënave dhe qarkullim të shpejtë të kërkesave, sqarimeve dhe dokumenteve mbështetëse.</w:t>
      </w:r>
    </w:p>
    <w:p w14:paraId="305972FE" w14:textId="0D1B05AD"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3.2.2</w:t>
      </w:r>
    </w:p>
    <w:p w14:paraId="729D4606" w14:textId="72968F0D"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Miratimi i procedurave për marrjen, verifikimin dhe regjistrimin në kohë të informacionit nga autoritetet e huaja në lidhje me dënimet, duke siguruar saktësi, gjurmueshmëri dhe pajtueshmëri me standardet e mbrojtjes së të dhënave personale. </w:t>
      </w:r>
    </w:p>
    <w:p w14:paraId="16944686" w14:textId="7795CF60"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Mundësimi i aksesit të autorizuar për institucionet përgjegjëse, prokurorët, gjykatat, policinë, përmes mekanizmave të sigurt të autentifikimit, në mënyrë që regjistri të përdoret në mënyrë efektive për zhvillimin e çështjes, dënimin dhe vlerësimin e riskut.</w:t>
      </w:r>
    </w:p>
    <w:p w14:paraId="51623D59" w14:textId="2DEE5620" w:rsidR="0025426C" w:rsidRPr="002128A6" w:rsidRDefault="00EF05E1" w:rsidP="0025426C">
      <w:pPr>
        <w:spacing w:after="0" w:line="240" w:lineRule="auto"/>
        <w:ind w:firstLine="284"/>
        <w:jc w:val="both"/>
        <w:rPr>
          <w:rFonts w:ascii="Garamond" w:hAnsi="Garamond"/>
          <w:b/>
          <w:bCs/>
        </w:rPr>
      </w:pPr>
      <w:r w:rsidRPr="002128A6">
        <w:rPr>
          <w:rFonts w:ascii="Garamond" w:hAnsi="Garamond"/>
          <w:b/>
          <w:bCs/>
        </w:rPr>
        <w:t xml:space="preserve">Aktivitete për masën </w:t>
      </w:r>
      <w:r w:rsidR="0025426C" w:rsidRPr="002128A6">
        <w:rPr>
          <w:rFonts w:ascii="Garamond" w:hAnsi="Garamond"/>
          <w:b/>
          <w:bCs/>
        </w:rPr>
        <w:t>3.2.3</w:t>
      </w:r>
    </w:p>
    <w:p w14:paraId="40D861CA" w14:textId="75A59DBC"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xml:space="preserve">- Koordinimi ligjor dhe operacional në kohë për SPH-të, përfshirë shkëmbimin e sigurt të informacionit, lehtësimin e takimeve të koordinimit dhe përpunimin e shpejtë të masave gjyqësore të kërkuara për mbledhjen ndërkufitare të provave. </w:t>
      </w:r>
    </w:p>
    <w:p w14:paraId="482C4FC9" w14:textId="5AD6751B" w:rsidR="0025426C" w:rsidRPr="002128A6" w:rsidRDefault="0025426C" w:rsidP="0025426C">
      <w:pPr>
        <w:pStyle w:val="NormalWeb"/>
        <w:spacing w:before="0" w:beforeAutospacing="0" w:after="0" w:afterAutospacing="0"/>
        <w:ind w:firstLine="284"/>
        <w:jc w:val="both"/>
        <w:rPr>
          <w:rFonts w:ascii="Garamond" w:hAnsi="Garamond"/>
        </w:rPr>
      </w:pPr>
      <w:r w:rsidRPr="002128A6">
        <w:rPr>
          <w:rFonts w:ascii="Garamond" w:hAnsi="Garamond"/>
        </w:rPr>
        <w:t>- Miratimi i mekanizmave të strukturuar të ndjekjes për të gjitha veprimet e SPH-së, duke siguruar komunikim të vazhdueshëm me Eurojust, prokurorët partnerë dhe skuadrat hetimore, deri në përmbylljen e plotë të çdo çështjeje</w:t>
      </w:r>
    </w:p>
    <w:p w14:paraId="4C9A6B1E"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rPr>
        <w:t>Produktet e pritshme që do të rezultojnë janë:</w:t>
      </w:r>
    </w:p>
    <w:p w14:paraId="5B0C3843"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1: </w:t>
      </w:r>
      <w:r w:rsidRPr="002128A6">
        <w:rPr>
          <w:rFonts w:ascii="Garamond" w:eastAsia="Arial" w:hAnsi="Garamond" w:cstheme="majorBidi"/>
        </w:rPr>
        <w:t>Numri i kërkesave për ndihmë të ndërsjellë juridike të përpunuara dhe koha mesatare e përpunimit.</w:t>
      </w:r>
    </w:p>
    <w:p w14:paraId="7ED73E6C"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2: </w:t>
      </w:r>
      <w:r w:rsidRPr="002128A6">
        <w:rPr>
          <w:rFonts w:ascii="Garamond" w:eastAsia="Arial" w:hAnsi="Garamond" w:cstheme="majorBidi"/>
        </w:rPr>
        <w:t>Numri i kërkesave të bashkëpunimit ndërkombëtar të ekzekutuara me sukses.</w:t>
      </w:r>
    </w:p>
    <w:p w14:paraId="2282BE81" w14:textId="77777777"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Produkti 3: </w:t>
      </w:r>
      <w:r w:rsidRPr="002128A6">
        <w:rPr>
          <w:rFonts w:ascii="Garamond" w:eastAsia="Arial" w:hAnsi="Garamond" w:cstheme="majorBidi"/>
        </w:rPr>
        <w:t>Numri i urdhrave të huaj të ngrirjes dhe konfiskimit të njohur dhe zbatuar.</w:t>
      </w:r>
    </w:p>
    <w:p w14:paraId="0CD32BB7" w14:textId="171424F4"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Institucionet </w:t>
      </w:r>
      <w:r w:rsidR="006F6D0F" w:rsidRPr="002128A6">
        <w:rPr>
          <w:rFonts w:ascii="Garamond" w:eastAsia="Arial" w:hAnsi="Garamond" w:cstheme="majorBidi"/>
          <w:b/>
          <w:bCs/>
        </w:rPr>
        <w:t>përgjegjëse</w:t>
      </w:r>
      <w:r w:rsidRPr="002128A6">
        <w:rPr>
          <w:rFonts w:ascii="Garamond" w:eastAsia="Arial" w:hAnsi="Garamond" w:cstheme="majorBidi"/>
          <w:b/>
          <w:bCs/>
        </w:rPr>
        <w:t xml:space="preserve">: </w:t>
      </w:r>
      <w:r w:rsidRPr="002128A6">
        <w:rPr>
          <w:rFonts w:ascii="Garamond" w:eastAsia="Arial" w:hAnsi="Garamond" w:cstheme="majorBidi"/>
        </w:rPr>
        <w:t>Ministria e Drejtësisë</w:t>
      </w:r>
      <w:r w:rsidR="0053232E" w:rsidRPr="002128A6">
        <w:rPr>
          <w:rFonts w:ascii="Garamond" w:eastAsia="Arial" w:hAnsi="Garamond" w:cstheme="majorBidi"/>
        </w:rPr>
        <w:t>.</w:t>
      </w:r>
    </w:p>
    <w:p w14:paraId="2502ECAA" w14:textId="33809CE7" w:rsidR="0053232E"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b/>
          <w:bCs/>
        </w:rPr>
        <w:t xml:space="preserve">Institucionet </w:t>
      </w:r>
      <w:r w:rsidR="006F6D0F" w:rsidRPr="002128A6">
        <w:rPr>
          <w:rFonts w:ascii="Garamond" w:eastAsia="Arial" w:hAnsi="Garamond" w:cstheme="majorBidi"/>
          <w:b/>
          <w:bCs/>
        </w:rPr>
        <w:t>mbështetëse</w:t>
      </w:r>
      <w:r w:rsidRPr="002128A6">
        <w:rPr>
          <w:rFonts w:ascii="Garamond" w:eastAsia="Arial" w:hAnsi="Garamond" w:cstheme="majorBidi"/>
          <w:b/>
          <w:bCs/>
        </w:rPr>
        <w:t xml:space="preserve">: </w:t>
      </w:r>
      <w:r w:rsidR="0053232E" w:rsidRPr="002128A6">
        <w:rPr>
          <w:rFonts w:ascii="Garamond" w:eastAsia="Arial" w:hAnsi="Garamond" w:cstheme="majorBidi"/>
        </w:rPr>
        <w:t>Prokuroria e Përgjithshme, Struktura e Posaçme Kundër Korrupsionit dhe Krimit të Organizuar, Ministria për Evropën dhe Punët e Jashtme.</w:t>
      </w:r>
    </w:p>
    <w:p w14:paraId="7ADC2F52" w14:textId="0EBA8813"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rPr>
        <w:t xml:space="preserve">Rezultatet do të maten përmes </w:t>
      </w:r>
      <w:r w:rsidR="00625460" w:rsidRPr="002128A6">
        <w:rPr>
          <w:rFonts w:ascii="Garamond" w:eastAsia="Arial" w:hAnsi="Garamond" w:cstheme="majorBidi"/>
        </w:rPr>
        <w:t>Treguesit</w:t>
      </w:r>
      <w:r w:rsidRPr="002128A6">
        <w:rPr>
          <w:rFonts w:ascii="Garamond" w:eastAsia="Arial" w:hAnsi="Garamond" w:cstheme="majorBidi"/>
        </w:rPr>
        <w:t xml:space="preserve"> të mëposhtëm:</w:t>
      </w:r>
    </w:p>
    <w:p w14:paraId="6C104AC8" w14:textId="5D3EAD38" w:rsidR="00BE490C" w:rsidRPr="002128A6" w:rsidRDefault="00BB5CBB" w:rsidP="0025426C">
      <w:pPr>
        <w:spacing w:after="0" w:line="240" w:lineRule="auto"/>
        <w:ind w:firstLine="284"/>
        <w:jc w:val="both"/>
        <w:rPr>
          <w:rFonts w:ascii="Garamond" w:eastAsia="Arial" w:hAnsi="Garamond" w:cstheme="majorBidi"/>
          <w:i/>
          <w:iCs/>
        </w:rPr>
      </w:pPr>
      <w:r w:rsidRPr="002128A6">
        <w:rPr>
          <w:rFonts w:ascii="Garamond" w:eastAsia="Arial" w:hAnsi="Garamond" w:cstheme="majorBidi"/>
          <w:i/>
          <w:iCs/>
        </w:rPr>
        <w:t>Norma e e</w:t>
      </w:r>
      <w:r w:rsidR="00BE490C" w:rsidRPr="002128A6">
        <w:rPr>
          <w:rFonts w:ascii="Garamond" w:eastAsia="Arial" w:hAnsi="Garamond" w:cstheme="majorBidi"/>
          <w:i/>
          <w:iCs/>
        </w:rPr>
        <w:t>fektiviteti</w:t>
      </w:r>
      <w:r w:rsidRPr="002128A6">
        <w:rPr>
          <w:rFonts w:ascii="Garamond" w:eastAsia="Arial" w:hAnsi="Garamond" w:cstheme="majorBidi"/>
          <w:i/>
          <w:iCs/>
        </w:rPr>
        <w:t>t</w:t>
      </w:r>
      <w:r w:rsidR="00BE490C" w:rsidRPr="002128A6">
        <w:rPr>
          <w:rFonts w:ascii="Garamond" w:eastAsia="Arial" w:hAnsi="Garamond" w:cstheme="majorBidi"/>
          <w:i/>
          <w:iCs/>
        </w:rPr>
        <w:t xml:space="preserve"> </w:t>
      </w:r>
      <w:r w:rsidRPr="002128A6">
        <w:rPr>
          <w:rFonts w:ascii="Garamond" w:eastAsia="Arial" w:hAnsi="Garamond" w:cstheme="majorBidi"/>
          <w:i/>
          <w:iCs/>
        </w:rPr>
        <w:t>të</w:t>
      </w:r>
      <w:r w:rsidR="00BE490C" w:rsidRPr="002128A6">
        <w:rPr>
          <w:rFonts w:ascii="Garamond" w:eastAsia="Arial" w:hAnsi="Garamond" w:cstheme="majorBidi"/>
          <w:i/>
          <w:iCs/>
        </w:rPr>
        <w:t xml:space="preserve"> bashkëpunimit gjyqësor ndërkombëta</w:t>
      </w:r>
      <w:r w:rsidRPr="002128A6">
        <w:rPr>
          <w:rFonts w:ascii="Garamond" w:eastAsia="Arial" w:hAnsi="Garamond" w:cstheme="majorBidi"/>
          <w:i/>
          <w:iCs/>
        </w:rPr>
        <w:t>r.</w:t>
      </w:r>
    </w:p>
    <w:p w14:paraId="4811CD5F" w14:textId="7B004396" w:rsidR="00BE490C" w:rsidRPr="002128A6" w:rsidRDefault="00BE490C" w:rsidP="0025426C">
      <w:pPr>
        <w:spacing w:after="0" w:line="240" w:lineRule="auto"/>
        <w:ind w:firstLine="284"/>
        <w:jc w:val="both"/>
        <w:rPr>
          <w:rFonts w:ascii="Garamond" w:hAnsi="Garamond" w:cstheme="majorBidi"/>
        </w:rPr>
      </w:pPr>
      <w:r w:rsidRPr="002128A6">
        <w:rPr>
          <w:rFonts w:ascii="Garamond" w:eastAsia="Arial" w:hAnsi="Garamond" w:cstheme="majorBidi"/>
          <w:b/>
          <w:bCs/>
        </w:rPr>
        <w:t xml:space="preserve">Vlera bazë: </w:t>
      </w:r>
      <w:r w:rsidR="005B0287" w:rsidRPr="002128A6">
        <w:rPr>
          <w:rFonts w:ascii="Garamond" w:eastAsia="Arial" w:hAnsi="Garamond" w:cstheme="majorBidi"/>
        </w:rPr>
        <w:t>2025 – 95 kërkesa, prej të cilave janë përfunduar 63 brenda afatit vjetor (66.3%)</w:t>
      </w:r>
      <w:r w:rsidR="00386FF6" w:rsidRPr="002128A6">
        <w:rPr>
          <w:rFonts w:ascii="Garamond" w:eastAsia="Arial" w:hAnsi="Garamond" w:cstheme="majorBidi"/>
        </w:rPr>
        <w:t>.</w:t>
      </w:r>
    </w:p>
    <w:p w14:paraId="6E0092F2" w14:textId="7C0374B8" w:rsidR="00BE490C" w:rsidRPr="002128A6" w:rsidRDefault="00BE490C" w:rsidP="0025426C">
      <w:pPr>
        <w:spacing w:after="0" w:line="240" w:lineRule="auto"/>
        <w:ind w:firstLine="284"/>
        <w:jc w:val="both"/>
        <w:rPr>
          <w:rFonts w:ascii="Garamond" w:eastAsia="Arial" w:hAnsi="Garamond" w:cstheme="majorBidi"/>
        </w:rPr>
      </w:pPr>
      <w:r w:rsidRPr="002128A6">
        <w:rPr>
          <w:rFonts w:ascii="Garamond" w:eastAsia="Arial" w:hAnsi="Garamond" w:cstheme="majorBidi"/>
          <w:b/>
          <w:bCs/>
        </w:rPr>
        <w:t xml:space="preserve">Synimi deri </w:t>
      </w:r>
      <w:r w:rsidR="00386FF6" w:rsidRPr="002128A6">
        <w:rPr>
          <w:rFonts w:ascii="Garamond" w:eastAsia="Arial" w:hAnsi="Garamond" w:cstheme="majorBidi"/>
          <w:b/>
          <w:bCs/>
        </w:rPr>
        <w:t>m</w:t>
      </w:r>
      <w:r w:rsidRPr="002128A6">
        <w:rPr>
          <w:rFonts w:ascii="Garamond" w:eastAsia="Arial" w:hAnsi="Garamond" w:cstheme="majorBidi"/>
          <w:b/>
          <w:bCs/>
        </w:rPr>
        <w:t xml:space="preserve">ë 2030: </w:t>
      </w:r>
      <w:r w:rsidR="005B0287" w:rsidRPr="002128A6">
        <w:rPr>
          <w:rFonts w:ascii="Garamond" w:eastAsia="Arial" w:hAnsi="Garamond" w:cstheme="majorBidi"/>
        </w:rPr>
        <w:t>+15% e vlerës bazë</w:t>
      </w:r>
    </w:p>
    <w:p w14:paraId="7F9B0F25" w14:textId="77777777" w:rsidR="00FD657A" w:rsidRPr="002128A6" w:rsidRDefault="00FD657A" w:rsidP="00FD657A">
      <w:pPr>
        <w:pStyle w:val="Heading1"/>
        <w:spacing w:before="0" w:after="0" w:line="240" w:lineRule="auto"/>
        <w:jc w:val="center"/>
        <w:rPr>
          <w:rFonts w:ascii="Garamond" w:hAnsi="Garamond"/>
          <w:color w:val="auto"/>
          <w:sz w:val="24"/>
          <w:szCs w:val="24"/>
        </w:rPr>
      </w:pPr>
      <w:bookmarkStart w:id="57" w:name="_Toc60216534"/>
      <w:bookmarkStart w:id="58" w:name="_Toc227770716"/>
      <w:bookmarkStart w:id="59" w:name="_Toc233371602"/>
      <w:bookmarkEnd w:id="57"/>
    </w:p>
    <w:p w14:paraId="078881BD" w14:textId="1AE5DEA5" w:rsidR="00FD657A" w:rsidRPr="002128A6" w:rsidRDefault="00BE490C" w:rsidP="00FD657A">
      <w:pPr>
        <w:pStyle w:val="Heading1"/>
        <w:spacing w:before="0" w:after="0" w:line="240" w:lineRule="auto"/>
        <w:jc w:val="center"/>
        <w:rPr>
          <w:rFonts w:ascii="Garamond" w:hAnsi="Garamond"/>
          <w:color w:val="auto"/>
          <w:sz w:val="24"/>
          <w:szCs w:val="24"/>
        </w:rPr>
      </w:pPr>
      <w:r w:rsidRPr="002128A6">
        <w:rPr>
          <w:rFonts w:ascii="Garamond" w:hAnsi="Garamond"/>
          <w:color w:val="auto"/>
          <w:sz w:val="24"/>
          <w:szCs w:val="24"/>
        </w:rPr>
        <w:t>PJESA III</w:t>
      </w:r>
    </w:p>
    <w:p w14:paraId="01746772" w14:textId="1C947CE8" w:rsidR="00BE490C" w:rsidRPr="002128A6" w:rsidRDefault="00BE490C" w:rsidP="00FD657A">
      <w:pPr>
        <w:pStyle w:val="Heading1"/>
        <w:spacing w:before="0" w:after="0" w:line="240" w:lineRule="auto"/>
        <w:jc w:val="center"/>
        <w:rPr>
          <w:rFonts w:ascii="Garamond" w:hAnsi="Garamond"/>
          <w:color w:val="auto"/>
          <w:sz w:val="24"/>
          <w:szCs w:val="24"/>
        </w:rPr>
      </w:pPr>
      <w:r w:rsidRPr="002128A6">
        <w:rPr>
          <w:rFonts w:ascii="Garamond" w:hAnsi="Garamond"/>
          <w:color w:val="auto"/>
          <w:sz w:val="24"/>
          <w:szCs w:val="24"/>
        </w:rPr>
        <w:t>ZBATIMI, PËRGJEGJËSIA E INSTITUCIONEVE, RAPORTIMI DHE MONITORIMI</w:t>
      </w:r>
      <w:bookmarkEnd w:id="58"/>
      <w:bookmarkEnd w:id="59"/>
    </w:p>
    <w:p w14:paraId="0A143732" w14:textId="77777777" w:rsidR="00FD657A" w:rsidRPr="002128A6" w:rsidRDefault="00FD657A" w:rsidP="0025426C">
      <w:pPr>
        <w:pStyle w:val="Heading2"/>
        <w:spacing w:before="0" w:after="0" w:line="240" w:lineRule="auto"/>
        <w:ind w:firstLine="284"/>
        <w:jc w:val="both"/>
        <w:rPr>
          <w:rFonts w:ascii="Garamond" w:eastAsiaTheme="minorHAnsi" w:hAnsi="Garamond"/>
          <w:color w:val="auto"/>
          <w:sz w:val="24"/>
          <w:szCs w:val="24"/>
        </w:rPr>
      </w:pPr>
      <w:bookmarkStart w:id="60" w:name="_Toc227770717"/>
      <w:bookmarkStart w:id="61" w:name="_Toc233371603"/>
    </w:p>
    <w:p w14:paraId="4B6BC2AB" w14:textId="7AA0E8E9" w:rsidR="00BE490C" w:rsidRPr="002128A6" w:rsidRDefault="00BE490C" w:rsidP="0025426C">
      <w:pPr>
        <w:pStyle w:val="Heading2"/>
        <w:spacing w:before="0" w:after="0" w:line="240" w:lineRule="auto"/>
        <w:ind w:firstLine="284"/>
        <w:jc w:val="both"/>
        <w:rPr>
          <w:rFonts w:ascii="Garamond" w:eastAsiaTheme="minorHAnsi" w:hAnsi="Garamond"/>
          <w:color w:val="auto"/>
          <w:sz w:val="24"/>
          <w:szCs w:val="24"/>
        </w:rPr>
      </w:pPr>
      <w:r w:rsidRPr="002128A6">
        <w:rPr>
          <w:rFonts w:ascii="Garamond" w:eastAsiaTheme="minorHAnsi" w:hAnsi="Garamond"/>
          <w:color w:val="auto"/>
          <w:sz w:val="24"/>
          <w:szCs w:val="24"/>
        </w:rPr>
        <w:t>3.1 Përgjegjësia e institucioneve</w:t>
      </w:r>
      <w:bookmarkEnd w:id="60"/>
      <w:bookmarkEnd w:id="61"/>
    </w:p>
    <w:p w14:paraId="0017FAB5" w14:textId="7665C5A8"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rPr>
        <w:t>Zbatimi efektiv i Strategjisë Kombëtare për Parandalimin dhe Luftën kundër Krimit të Organizuar dhe Krimeve të Rënda 2026-2030 varet thelbësisht nga forca e sistemeve të saj të llogaridhënies, raportimit dhe monitorimit. Duke vendosur role institucionale të qarta, mekanizma rigorozë monitorimi, procese të forta të integrimit gjinor dhe koordinim transparent të asistencës së huaj, Strategjia ofron një bazë të fortë për progres të qëndrueshëm dhe përshtatje. Raportimi dhe vlerësimi gjithëpërfshirës, si i brendshëm ashtu edhe i jashtëm, krijojnë një cikël reagimi që nxit përmirësimin e vazhdueshëm dhe mbështet harmonizimin e Shqipërisë me standardet e BE-së.</w:t>
      </w:r>
      <w:r w:rsidR="00F54824" w:rsidRPr="002128A6">
        <w:rPr>
          <w:rFonts w:ascii="Garamond" w:hAnsi="Garamond" w:cstheme="majorBidi"/>
        </w:rPr>
        <w:t xml:space="preserve"> </w:t>
      </w:r>
      <w:r w:rsidRPr="002128A6">
        <w:rPr>
          <w:rFonts w:ascii="Garamond" w:hAnsi="Garamond" w:cstheme="majorBidi"/>
        </w:rPr>
        <w:t>Institucionet përgjegjëse të ngarkuara me zbatimin e Strategjisë kundër Krimit të Organizuar dhe Krimeve të Rënda dhe Planit të Veprimit janë:</w:t>
      </w:r>
      <w:r w:rsidR="00407F50" w:rsidRPr="002128A6">
        <w:rPr>
          <w:rFonts w:ascii="Garamond" w:hAnsi="Garamond" w:cstheme="majorBidi"/>
        </w:rPr>
        <w:t xml:space="preserve"> </w:t>
      </w:r>
    </w:p>
    <w:p w14:paraId="32F9AA67" w14:textId="77777777" w:rsidR="00BE490C" w:rsidRPr="002128A6" w:rsidRDefault="00BE490C" w:rsidP="0025426C">
      <w:pPr>
        <w:pStyle w:val="TEKSTI"/>
        <w:rPr>
          <w:rFonts w:cstheme="majorBidi"/>
        </w:rPr>
      </w:pPr>
      <w:r w:rsidRPr="002128A6">
        <w:rPr>
          <w:rFonts w:cstheme="majorBidi"/>
        </w:rPr>
        <w:t>1. Ministria e Punëve të Brendshme</w:t>
      </w:r>
    </w:p>
    <w:p w14:paraId="2F0AF12F" w14:textId="77777777" w:rsidR="00BE490C" w:rsidRPr="002128A6" w:rsidRDefault="00BE490C" w:rsidP="0025426C">
      <w:pPr>
        <w:pStyle w:val="TEKSTI"/>
        <w:rPr>
          <w:rFonts w:cstheme="majorBidi"/>
        </w:rPr>
      </w:pPr>
      <w:r w:rsidRPr="002128A6">
        <w:rPr>
          <w:rFonts w:cstheme="majorBidi"/>
        </w:rPr>
        <w:t xml:space="preserve">2. Ministria e Drejtësisë; </w:t>
      </w:r>
    </w:p>
    <w:p w14:paraId="51D36F4A" w14:textId="77777777" w:rsidR="00BE490C" w:rsidRPr="002128A6" w:rsidRDefault="00BE490C" w:rsidP="0025426C">
      <w:pPr>
        <w:pStyle w:val="TEKSTI"/>
        <w:rPr>
          <w:rFonts w:cstheme="majorBidi"/>
        </w:rPr>
      </w:pPr>
      <w:r w:rsidRPr="002128A6">
        <w:rPr>
          <w:rFonts w:cstheme="majorBidi"/>
        </w:rPr>
        <w:t>3. Ministria e Mbrojtjes;</w:t>
      </w:r>
    </w:p>
    <w:p w14:paraId="37615435" w14:textId="77777777" w:rsidR="00BE490C" w:rsidRPr="002128A6" w:rsidRDefault="00BE490C" w:rsidP="0025426C">
      <w:pPr>
        <w:pStyle w:val="TEKSTI"/>
        <w:rPr>
          <w:rFonts w:cstheme="majorBidi"/>
        </w:rPr>
      </w:pPr>
      <w:r w:rsidRPr="002128A6">
        <w:rPr>
          <w:rFonts w:cstheme="majorBidi"/>
        </w:rPr>
        <w:t>4. Ministria e Infrastrukturës dhe Energjisë;</w:t>
      </w:r>
    </w:p>
    <w:p w14:paraId="2BE8456E" w14:textId="77777777" w:rsidR="00BE490C" w:rsidRPr="002128A6" w:rsidRDefault="00BE490C" w:rsidP="0025426C">
      <w:pPr>
        <w:pStyle w:val="TEKSTI"/>
        <w:rPr>
          <w:rFonts w:cstheme="majorBidi"/>
        </w:rPr>
      </w:pPr>
      <w:r w:rsidRPr="002128A6">
        <w:rPr>
          <w:rFonts w:cstheme="majorBidi"/>
        </w:rPr>
        <w:t>5. Ministria e Ekonomisë dhe Inovacionit;</w:t>
      </w:r>
    </w:p>
    <w:p w14:paraId="08BC4E14" w14:textId="77777777" w:rsidR="00BE490C" w:rsidRPr="002128A6" w:rsidRDefault="00BE490C" w:rsidP="0025426C">
      <w:pPr>
        <w:pStyle w:val="TEKSTI"/>
        <w:rPr>
          <w:rFonts w:cstheme="majorBidi"/>
        </w:rPr>
      </w:pPr>
      <w:r w:rsidRPr="002128A6">
        <w:rPr>
          <w:rFonts w:cstheme="majorBidi"/>
        </w:rPr>
        <w:t>6. Ministria e Financave;</w:t>
      </w:r>
    </w:p>
    <w:p w14:paraId="3B0C02D3" w14:textId="77777777" w:rsidR="00BE490C" w:rsidRPr="002128A6" w:rsidRDefault="00BE490C" w:rsidP="0025426C">
      <w:pPr>
        <w:pStyle w:val="TEKSTI"/>
        <w:rPr>
          <w:rFonts w:cstheme="majorBidi"/>
        </w:rPr>
      </w:pPr>
      <w:r w:rsidRPr="002128A6">
        <w:rPr>
          <w:rFonts w:cstheme="majorBidi"/>
        </w:rPr>
        <w:t>7. Ministria e Arsimit;</w:t>
      </w:r>
    </w:p>
    <w:p w14:paraId="56D51CE9" w14:textId="77777777" w:rsidR="00BE490C" w:rsidRPr="002128A6" w:rsidRDefault="00BE490C" w:rsidP="0025426C">
      <w:pPr>
        <w:pStyle w:val="TEKSTI"/>
        <w:rPr>
          <w:rFonts w:cstheme="majorBidi"/>
        </w:rPr>
      </w:pPr>
      <w:r w:rsidRPr="002128A6">
        <w:rPr>
          <w:rFonts w:cstheme="majorBidi"/>
        </w:rPr>
        <w:t>8. Ministria e Shëndetësisë dhe Mirëqenies Sociale;</w:t>
      </w:r>
    </w:p>
    <w:p w14:paraId="48C302B1" w14:textId="77777777" w:rsidR="00BE490C" w:rsidRPr="002128A6" w:rsidRDefault="00BE490C" w:rsidP="0025426C">
      <w:pPr>
        <w:pStyle w:val="TEKSTI"/>
        <w:rPr>
          <w:rFonts w:cstheme="majorBidi"/>
        </w:rPr>
      </w:pPr>
      <w:r w:rsidRPr="002128A6">
        <w:rPr>
          <w:rFonts w:cstheme="majorBidi"/>
        </w:rPr>
        <w:t>9. Ministria e Turizmit, Kulturës dhe Sporteve;</w:t>
      </w:r>
    </w:p>
    <w:p w14:paraId="7C4B174A" w14:textId="77777777" w:rsidR="00BE490C" w:rsidRPr="002128A6" w:rsidRDefault="00BE490C" w:rsidP="0025426C">
      <w:pPr>
        <w:pStyle w:val="TEKSTI"/>
        <w:rPr>
          <w:rFonts w:cstheme="majorBidi"/>
        </w:rPr>
      </w:pPr>
      <w:r w:rsidRPr="002128A6">
        <w:rPr>
          <w:rFonts w:cstheme="majorBidi"/>
        </w:rPr>
        <w:t>10. Ministria e Bujqësisë dhe Zhvillimit Rural;</w:t>
      </w:r>
    </w:p>
    <w:p w14:paraId="67C96DAA" w14:textId="77777777" w:rsidR="00BE490C" w:rsidRPr="002128A6" w:rsidRDefault="00BE490C" w:rsidP="0025426C">
      <w:pPr>
        <w:pStyle w:val="TEKSTI"/>
        <w:rPr>
          <w:rFonts w:cstheme="majorBidi"/>
        </w:rPr>
      </w:pPr>
      <w:r w:rsidRPr="002128A6">
        <w:rPr>
          <w:rFonts w:cstheme="majorBidi"/>
        </w:rPr>
        <w:t>11. Ministria e Mjedisit;</w:t>
      </w:r>
    </w:p>
    <w:p w14:paraId="3580EF4C" w14:textId="77777777" w:rsidR="00BE490C" w:rsidRPr="002128A6" w:rsidRDefault="00BE490C" w:rsidP="0025426C">
      <w:pPr>
        <w:pStyle w:val="TEKSTI"/>
        <w:rPr>
          <w:rFonts w:cstheme="majorBidi"/>
        </w:rPr>
      </w:pPr>
      <w:r w:rsidRPr="002128A6">
        <w:rPr>
          <w:rFonts w:cstheme="majorBidi"/>
        </w:rPr>
        <w:t xml:space="preserve">12. Struktura e Posaçme kundër Korrupsionit dhe Krimit të Organizuar (Prokuroria e Posaçme dhe Byroja Kombëtare e Hetimit); </w:t>
      </w:r>
    </w:p>
    <w:p w14:paraId="2E68F699" w14:textId="77777777" w:rsidR="00BE490C" w:rsidRPr="002128A6" w:rsidRDefault="00BE490C" w:rsidP="0025426C">
      <w:pPr>
        <w:pStyle w:val="TEKSTI"/>
        <w:rPr>
          <w:rFonts w:cstheme="majorBidi"/>
        </w:rPr>
      </w:pPr>
      <w:r w:rsidRPr="002128A6">
        <w:rPr>
          <w:rFonts w:cstheme="majorBidi"/>
        </w:rPr>
        <w:t>13. Drejtoria e Përgjithshme e Policisë së Shtetit;</w:t>
      </w:r>
    </w:p>
    <w:p w14:paraId="0BC92A12" w14:textId="77777777" w:rsidR="00BE490C" w:rsidRPr="002128A6" w:rsidRDefault="00BE490C" w:rsidP="0025426C">
      <w:pPr>
        <w:pStyle w:val="TEKSTI"/>
        <w:rPr>
          <w:rFonts w:cstheme="majorBidi"/>
        </w:rPr>
      </w:pPr>
      <w:r w:rsidRPr="002128A6">
        <w:rPr>
          <w:rFonts w:cstheme="majorBidi"/>
        </w:rPr>
        <w:t>14. Drejtoria e Përgjithshme e Tatimeve;</w:t>
      </w:r>
    </w:p>
    <w:p w14:paraId="3F5FA9E3" w14:textId="77777777" w:rsidR="00BE490C" w:rsidRPr="002128A6" w:rsidRDefault="00BE490C" w:rsidP="0025426C">
      <w:pPr>
        <w:pStyle w:val="TEKSTI"/>
        <w:rPr>
          <w:rFonts w:cstheme="majorBidi"/>
        </w:rPr>
      </w:pPr>
      <w:r w:rsidRPr="002128A6">
        <w:rPr>
          <w:rFonts w:cstheme="majorBidi"/>
        </w:rPr>
        <w:t>15. Drejtoria e Përgjithshme e Doganave;</w:t>
      </w:r>
    </w:p>
    <w:p w14:paraId="54054FE4" w14:textId="77777777" w:rsidR="00BE490C" w:rsidRPr="002128A6" w:rsidRDefault="00BE490C" w:rsidP="0025426C">
      <w:pPr>
        <w:pStyle w:val="TEKSTI"/>
        <w:rPr>
          <w:rFonts w:cstheme="majorBidi"/>
        </w:rPr>
      </w:pPr>
      <w:r w:rsidRPr="002128A6">
        <w:rPr>
          <w:rFonts w:cstheme="majorBidi"/>
        </w:rPr>
        <w:t>16. Këshilli i Lartë Gjyqësor;</w:t>
      </w:r>
    </w:p>
    <w:p w14:paraId="6AD6C347" w14:textId="77777777" w:rsidR="00BE490C" w:rsidRPr="002128A6" w:rsidRDefault="00BE490C" w:rsidP="0025426C">
      <w:pPr>
        <w:pStyle w:val="TEKSTI"/>
        <w:rPr>
          <w:rFonts w:cstheme="majorBidi"/>
        </w:rPr>
      </w:pPr>
      <w:r w:rsidRPr="002128A6">
        <w:rPr>
          <w:rFonts w:cstheme="majorBidi"/>
        </w:rPr>
        <w:t>17. Prokuroria e Përgjithshme;</w:t>
      </w:r>
    </w:p>
    <w:p w14:paraId="4C0E78BF" w14:textId="463B8B1F" w:rsidR="00BE490C" w:rsidRPr="002128A6" w:rsidRDefault="00BE490C" w:rsidP="0025426C">
      <w:pPr>
        <w:pStyle w:val="TEKSTI"/>
        <w:rPr>
          <w:rFonts w:cstheme="majorBidi"/>
        </w:rPr>
      </w:pPr>
      <w:r w:rsidRPr="002128A6">
        <w:rPr>
          <w:rFonts w:cstheme="majorBidi"/>
        </w:rPr>
        <w:t xml:space="preserve">18. Shërbimi Informativ </w:t>
      </w:r>
      <w:r w:rsidR="00C50F66" w:rsidRPr="002128A6">
        <w:rPr>
          <w:rFonts w:cstheme="majorBidi"/>
        </w:rPr>
        <w:t>i Shtetit</w:t>
      </w:r>
      <w:r w:rsidRPr="002128A6">
        <w:rPr>
          <w:rFonts w:cstheme="majorBidi"/>
        </w:rPr>
        <w:t>;</w:t>
      </w:r>
    </w:p>
    <w:p w14:paraId="623B1E43" w14:textId="77777777" w:rsidR="00BE490C" w:rsidRPr="002128A6" w:rsidRDefault="00BE490C" w:rsidP="0025426C">
      <w:pPr>
        <w:pStyle w:val="TEKSTI"/>
        <w:rPr>
          <w:rFonts w:cstheme="majorBidi"/>
        </w:rPr>
      </w:pPr>
      <w:r w:rsidRPr="002128A6">
        <w:rPr>
          <w:rFonts w:cstheme="majorBidi"/>
        </w:rPr>
        <w:t>19. Autoriteti Kombëtar për Certifikimin Elektronik dhe Sigurinë Kombëtare;</w:t>
      </w:r>
    </w:p>
    <w:p w14:paraId="1104D93E" w14:textId="77777777" w:rsidR="00BE490C" w:rsidRPr="002128A6" w:rsidRDefault="00BE490C" w:rsidP="0025426C">
      <w:pPr>
        <w:pStyle w:val="TEKSTI"/>
        <w:rPr>
          <w:rFonts w:cstheme="majorBidi"/>
        </w:rPr>
      </w:pPr>
      <w:r w:rsidRPr="002128A6">
        <w:rPr>
          <w:rFonts w:cstheme="majorBidi"/>
        </w:rPr>
        <w:t xml:space="preserve">20. Agjencia e Inteligjencës Financiare; </w:t>
      </w:r>
    </w:p>
    <w:p w14:paraId="020EDE64" w14:textId="77777777" w:rsidR="00BE490C" w:rsidRPr="002128A6" w:rsidRDefault="00BE490C" w:rsidP="0025426C">
      <w:pPr>
        <w:pStyle w:val="TEKSTI"/>
        <w:rPr>
          <w:rFonts w:cstheme="majorBidi"/>
        </w:rPr>
      </w:pPr>
      <w:r w:rsidRPr="002128A6">
        <w:rPr>
          <w:rFonts w:cstheme="majorBidi"/>
        </w:rPr>
        <w:t>21. Autoriteti i Mbikëqyrjes Financiare;</w:t>
      </w:r>
    </w:p>
    <w:p w14:paraId="0F766505" w14:textId="77777777" w:rsidR="00BE490C" w:rsidRPr="002128A6" w:rsidRDefault="00BE490C" w:rsidP="0025426C">
      <w:pPr>
        <w:pStyle w:val="TEKSTI"/>
        <w:rPr>
          <w:rFonts w:cstheme="majorBidi"/>
        </w:rPr>
      </w:pPr>
      <w:r w:rsidRPr="002128A6">
        <w:rPr>
          <w:rFonts w:cstheme="majorBidi"/>
        </w:rPr>
        <w:t>22. Banka e Shqipërisë;</w:t>
      </w:r>
    </w:p>
    <w:p w14:paraId="4C0E1742" w14:textId="77777777" w:rsidR="00BE490C" w:rsidRPr="002128A6" w:rsidRDefault="00BE490C" w:rsidP="0025426C">
      <w:pPr>
        <w:pStyle w:val="TEKSTI"/>
        <w:rPr>
          <w:rFonts w:cstheme="majorBidi"/>
        </w:rPr>
      </w:pPr>
      <w:r w:rsidRPr="002128A6">
        <w:rPr>
          <w:rFonts w:cstheme="majorBidi"/>
        </w:rPr>
        <w:t>23. Agjencia për Administrimin e Pasurive të Sekuestruara dhe të Konfiskuara;</w:t>
      </w:r>
    </w:p>
    <w:p w14:paraId="539F106C" w14:textId="36E3AAFF" w:rsidR="00BE490C" w:rsidRPr="002128A6" w:rsidRDefault="00BE490C" w:rsidP="0025426C">
      <w:pPr>
        <w:pStyle w:val="TEKSTI"/>
        <w:rPr>
          <w:rFonts w:cstheme="majorBidi"/>
        </w:rPr>
      </w:pPr>
      <w:r w:rsidRPr="002128A6">
        <w:rPr>
          <w:rFonts w:cstheme="majorBidi"/>
        </w:rPr>
        <w:t>24. Agjencia Shtetërore për Programimin Strategjik dhe Koordinimin e Ndihmës</w:t>
      </w:r>
      <w:r w:rsidR="00F54824" w:rsidRPr="002128A6">
        <w:rPr>
          <w:rFonts w:cstheme="majorBidi"/>
        </w:rPr>
        <w:t xml:space="preserve"> </w:t>
      </w:r>
    </w:p>
    <w:p w14:paraId="1845EA16" w14:textId="10709B0F"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Duke pasqyruar rolet, nivelin e maturimit dhe rëndësinë strategjike të çdo institucioni brenda përgjigjes kombëtare, korniza institucionale është organizuar përmes një </w:t>
      </w:r>
      <w:r w:rsidRPr="002128A6">
        <w:rPr>
          <w:rFonts w:ascii="Garamond" w:eastAsia="Aptos" w:hAnsi="Garamond" w:cstheme="majorBidi"/>
          <w:b/>
          <w:bCs/>
        </w:rPr>
        <w:t xml:space="preserve">qasjeje me </w:t>
      </w:r>
      <w:r w:rsidR="00625460" w:rsidRPr="002128A6">
        <w:rPr>
          <w:rFonts w:ascii="Garamond" w:eastAsia="Aptos" w:hAnsi="Garamond" w:cstheme="majorBidi"/>
          <w:b/>
          <w:bCs/>
        </w:rPr>
        <w:t>tr</w:t>
      </w:r>
      <w:r w:rsidR="00781F56" w:rsidRPr="002128A6">
        <w:rPr>
          <w:rFonts w:ascii="Garamond" w:eastAsia="Aptos" w:hAnsi="Garamond" w:cstheme="majorBidi"/>
          <w:b/>
          <w:bCs/>
        </w:rPr>
        <w:t>i</w:t>
      </w:r>
      <w:r w:rsidR="00625460" w:rsidRPr="002128A6">
        <w:rPr>
          <w:rFonts w:ascii="Garamond" w:eastAsia="Aptos" w:hAnsi="Garamond" w:cstheme="majorBidi"/>
          <w:b/>
          <w:bCs/>
        </w:rPr>
        <w:t xml:space="preserve"> </w:t>
      </w:r>
      <w:r w:rsidRPr="002128A6">
        <w:rPr>
          <w:rFonts w:ascii="Garamond" w:eastAsia="Aptos" w:hAnsi="Garamond" w:cstheme="majorBidi"/>
          <w:b/>
          <w:bCs/>
        </w:rPr>
        <w:t>nivele</w:t>
      </w:r>
      <w:r w:rsidRPr="002128A6">
        <w:rPr>
          <w:rFonts w:ascii="Garamond" w:eastAsia="Aptos" w:hAnsi="Garamond" w:cstheme="majorBidi"/>
        </w:rPr>
        <w:t>.</w:t>
      </w:r>
    </w:p>
    <w:p w14:paraId="4D320237" w14:textId="1EA43C77"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NIVELI 1 </w:t>
      </w:r>
      <w:r w:rsidR="00FD657A" w:rsidRPr="002128A6">
        <w:rPr>
          <w:rFonts w:ascii="Garamond" w:eastAsia="Aptos" w:hAnsi="Garamond" w:cstheme="majorBidi"/>
        </w:rPr>
        <w:t>–</w:t>
      </w:r>
      <w:r w:rsidRPr="002128A6">
        <w:rPr>
          <w:rFonts w:ascii="Garamond" w:eastAsia="Aptos" w:hAnsi="Garamond" w:cstheme="majorBidi"/>
        </w:rPr>
        <w:t xml:space="preserve"> INSTITUCIONET KRYESORE</w:t>
      </w:r>
    </w:p>
    <w:p w14:paraId="128BE8FA" w14:textId="77777777" w:rsidR="00BE490C" w:rsidRPr="002128A6" w:rsidRDefault="00BE490C" w:rsidP="0025426C">
      <w:pPr>
        <w:spacing w:after="0" w:line="240" w:lineRule="auto"/>
        <w:ind w:firstLine="284"/>
        <w:jc w:val="both"/>
        <w:rPr>
          <w:rFonts w:ascii="Garamond" w:eastAsia="Aptos" w:hAnsi="Garamond" w:cstheme="majorBidi"/>
          <w:b/>
          <w:bCs/>
        </w:rPr>
      </w:pPr>
      <w:r w:rsidRPr="002128A6">
        <w:rPr>
          <w:rFonts w:ascii="Garamond" w:eastAsia="Aptos" w:hAnsi="Garamond" w:cstheme="majorBidi"/>
          <w:b/>
          <w:bCs/>
        </w:rPr>
        <w:t xml:space="preserve">Ministria e Punëve të Brendshme. </w:t>
      </w:r>
      <w:r w:rsidRPr="002128A6">
        <w:rPr>
          <w:rFonts w:ascii="Garamond" w:eastAsia="Aptos" w:hAnsi="Garamond" w:cstheme="majorBidi"/>
        </w:rPr>
        <w:t xml:space="preserve">Ministria e Punëve të Brendshme luan rol qendror në zbatimin e kësaj strategjie. Në përputhje me përgjegjësitë e saj ligjore, Ministria harton, koordinon dhe monitoron politikat e lidhura me parandalimin dhe luftën kundër krimit të organizuar dhe krimeve të rënda. Ministria mbikëqyr strukturat kryesore operacionale të përfshira në këtë fushë, përfshirë Policinë e Shtetit, Agjencinë për Administrimin e Pasurive të Sekuestruara dhe të Konfiskuara dhe </w:t>
      </w:r>
      <w:r w:rsidRPr="002128A6">
        <w:rPr>
          <w:rFonts w:ascii="Garamond" w:eastAsia="Aptos" w:hAnsi="Garamond" w:cstheme="majorBidi"/>
        </w:rPr>
        <w:lastRenderedPageBreak/>
        <w:t>Inspektoratin Kombëtar për Mbrojtjen e Territorit. Përmes rolit të saj koordinues, Ministria siguron harmonizimin e politikave kombëtare me detyrimet ndërkombëtare dhe prioritetet e integrimit në BE.</w:t>
      </w:r>
    </w:p>
    <w:p w14:paraId="1C756F00" w14:textId="3161CF7D" w:rsidR="00BE490C" w:rsidRPr="002128A6" w:rsidRDefault="00BE490C" w:rsidP="0025426C">
      <w:pPr>
        <w:spacing w:after="0" w:line="240" w:lineRule="auto"/>
        <w:ind w:firstLine="284"/>
        <w:jc w:val="both"/>
        <w:rPr>
          <w:rFonts w:ascii="Garamond" w:eastAsia="Aptos" w:hAnsi="Garamond" w:cstheme="majorBidi"/>
          <w:b/>
          <w:bCs/>
        </w:rPr>
      </w:pPr>
      <w:r w:rsidRPr="002128A6">
        <w:rPr>
          <w:rFonts w:ascii="Garamond" w:eastAsia="Aptos" w:hAnsi="Garamond" w:cstheme="majorBidi"/>
          <w:b/>
          <w:bCs/>
        </w:rPr>
        <w:t xml:space="preserve">Policia e Shtetit. </w:t>
      </w:r>
      <w:r w:rsidRPr="002128A6">
        <w:rPr>
          <w:rFonts w:ascii="Garamond" w:eastAsia="Aptos" w:hAnsi="Garamond" w:cstheme="majorBidi"/>
        </w:rPr>
        <w:t xml:space="preserve">Policia e Shtetit është autoriteti ligjzbatues kryesor, përgjegjës për parandalimin, identifikimin, zbulimin, hetimin dhe referimin për ndjekje penale të veprave penale të lidhura me krimin e organizuar dhe krimet e rënda. Brenda strukturës së saj organizative, Departamenti për Policinë Kriminale ka drejtori të specializuara përgjegjëse për hetimin e krimit të organizuar, krimeve të rënda, narkotikëve dhe trafikimit, krimeve ekonomike dhe financiare, krimit kibernetik dhe mashtrimit kompjuterik dhe krimeve mjedisore. Departamenti për Marrëdhëniet Ndërkombëtare siguron bashkëpunim dhe shkëmbim informacioni me partnerët ndërkombëtarë, përfshirë Europolin, </w:t>
      </w:r>
      <w:r w:rsidR="00A634DB" w:rsidRPr="002128A6">
        <w:rPr>
          <w:rFonts w:ascii="Garamond" w:eastAsia="Aptos" w:hAnsi="Garamond" w:cstheme="majorBidi"/>
        </w:rPr>
        <w:t>INTERPOL-</w:t>
      </w:r>
      <w:r w:rsidRPr="002128A6">
        <w:rPr>
          <w:rFonts w:ascii="Garamond" w:eastAsia="Aptos" w:hAnsi="Garamond" w:cstheme="majorBidi"/>
        </w:rPr>
        <w:t xml:space="preserve">in dhe agjenci të tjera ligjzbatuese. Policia e Shtetit luan rol themelor në zbatimin operacional të kësaj Strategjie, duke kontribuar në mbledhjen e inteligjencës, paralajmërimin e hershëm dhe veprimet e koordinuara hetimore. </w:t>
      </w:r>
      <w:r w:rsidRPr="002128A6">
        <w:rPr>
          <w:rFonts w:ascii="Garamond" w:eastAsia="Times New Roman" w:hAnsi="Garamond" w:cstheme="majorBidi"/>
        </w:rPr>
        <w:t>Pavarësisht aftësisë së lartë operacionale, Policia e Shtetit përballet dhe me burime të kufizuara dhe nevojën për mbështetje teknologjike të avancuar.</w:t>
      </w:r>
    </w:p>
    <w:p w14:paraId="603024F8" w14:textId="77777777"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b/>
          <w:bCs/>
        </w:rPr>
        <w:t xml:space="preserve">Prokuroria e Posaçme dhe Byroja Kombëtare e Hetimit. </w:t>
      </w:r>
      <w:r w:rsidRPr="002128A6">
        <w:rPr>
          <w:rFonts w:ascii="Garamond" w:eastAsia="Aptos" w:hAnsi="Garamond" w:cstheme="majorBidi"/>
        </w:rPr>
        <w:t>Prokuroria e Posaçme Kundër Korrupsionit dhe Krimit të Organizuar dhe Njësisë së Pavarur Hetimore, të cilat së bashku përbëjnë Strukturën e Posaçme Kundër Korrupsionit dhe Krimit të Organizuar (SPAK),</w:t>
      </w:r>
      <w:r w:rsidRPr="002128A6">
        <w:rPr>
          <w:rFonts w:ascii="Garamond" w:eastAsia="Aptos" w:hAnsi="Garamond" w:cstheme="majorBidi"/>
          <w:b/>
          <w:bCs/>
        </w:rPr>
        <w:t xml:space="preserve"> </w:t>
      </w:r>
      <w:r w:rsidRPr="002128A6">
        <w:rPr>
          <w:rFonts w:ascii="Garamond" w:eastAsia="Aptos" w:hAnsi="Garamond" w:cstheme="majorBidi"/>
        </w:rPr>
        <w:t xml:space="preserve">përcaktohen si organe kushtetuese në pikën 4, të nenit 148 të Kushtetutës së Republikës së Shqipërisë. Në përputhje me ligjin nr. 95/2016, </w:t>
      </w:r>
      <w:r w:rsidRPr="002128A6">
        <w:rPr>
          <w:rFonts w:ascii="Garamond" w:eastAsia="Aptos" w:hAnsi="Garamond" w:cstheme="majorBidi"/>
          <w:i/>
          <w:iCs/>
        </w:rPr>
        <w:t>i ndryshuar</w:t>
      </w:r>
      <w:r w:rsidRPr="002128A6">
        <w:rPr>
          <w:rFonts w:ascii="Garamond" w:eastAsia="Aptos" w:hAnsi="Garamond" w:cstheme="majorBidi"/>
        </w:rPr>
        <w:t>, neni 4 i tij, Prokuroria e Posaçme ushtron ndjekjen penale dhe përfaqëson akuzën në emër të shtetit para Gjykatës së Shkallës së Parë kundër korrupsionit dhe krimit të organizuar, Gjykatës së Apelit kundër korrupsionit dhe krimit të organizuar, dhe Gjykatës së Lartë, merr masa dhe mbikëqyr ekzekutimin e vendimeve penale, si dhe kryen detyra të tjera të ngarkuara me ligj. Ndërkohë në përputhje me nenin 5 të ligjit 95/2016</w:t>
      </w:r>
      <w:r w:rsidRPr="002128A6">
        <w:rPr>
          <w:rFonts w:ascii="Garamond" w:eastAsia="Aptos" w:hAnsi="Garamond" w:cstheme="majorBidi"/>
          <w:i/>
          <w:iCs/>
        </w:rPr>
        <w:t>, i ndryshuar</w:t>
      </w:r>
      <w:r w:rsidRPr="002128A6">
        <w:rPr>
          <w:rFonts w:ascii="Garamond" w:eastAsia="Aptos" w:hAnsi="Garamond" w:cstheme="majorBidi"/>
        </w:rPr>
        <w:t>, Byroja Kombëtare e Hetimit është strukturë e specializuar e Policisë Gjyqësore, që heton veprat penale në juridiksionin penal të Prokurorisë së Posaçme, veprimtaria hetimore e së cilës drejtohet dhe kontrollohet nga Prokuroria e Posaçme sipas parashikimeve të Kodit të Procedurës Penale.</w:t>
      </w:r>
    </w:p>
    <w:p w14:paraId="3207335C" w14:textId="77777777"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Referuar nenit 30 të Kodit të Procedurës Penale, nenit 28/1 dhe nenit 29/1 të ligjit nr. 95/2016, hetuesit dhe oficerët e Shërbimeve të Policisë Gjyqësore të BKH-së, kanë të drejtë të kërkojnë burimet e provës dhe me cilësinë e oficerit të policisë gjyqësore kur vihen në dijeni për rrethana dhe të dhëna për kryerjen e një vepre penale me iniciativën e vet ose nga burime të tjera duhet të kryejnë hetime dhe të grumbullojnë gjithçka që i shërben zbatimit të ligjit penal, duke referuar më tej veprën penale të kryer ose që tentohet të kryhet në Prokurorinë e Posaçme. Në zbatim të këtyre dispozitave, hetuesit e BKH-së nuk kryejnë vetëm veprimtari procedurale hetimore por edhe veprimtari parandaluese. </w:t>
      </w:r>
    </w:p>
    <w:p w14:paraId="594A0E29" w14:textId="77777777"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Megjithatë, ato përballen me presion të rëndësishëm për shkak të rritjes së ngarkesave të çështjeve dhe kompleksitetit të çështjeve, duke shtrirë shpesh burimet teknologjike dhe analitike deri në kufijtë e tyre.</w:t>
      </w:r>
    </w:p>
    <w:p w14:paraId="090E2E83" w14:textId="77777777" w:rsidR="00BE490C" w:rsidRPr="002128A6" w:rsidRDefault="00BE490C" w:rsidP="0025426C">
      <w:pPr>
        <w:spacing w:after="0" w:line="240" w:lineRule="auto"/>
        <w:ind w:firstLine="284"/>
        <w:jc w:val="both"/>
        <w:rPr>
          <w:rFonts w:ascii="Garamond" w:eastAsia="Aptos" w:hAnsi="Garamond" w:cstheme="majorBidi"/>
          <w:b/>
          <w:bCs/>
        </w:rPr>
      </w:pPr>
      <w:r w:rsidRPr="002128A6">
        <w:rPr>
          <w:rFonts w:ascii="Garamond" w:eastAsia="Aptos" w:hAnsi="Garamond" w:cstheme="majorBidi"/>
          <w:b/>
          <w:bCs/>
        </w:rPr>
        <w:t xml:space="preserve">Prokuroria e Përgjithshme. </w:t>
      </w:r>
      <w:r w:rsidRPr="002128A6">
        <w:rPr>
          <w:rFonts w:ascii="Garamond" w:eastAsia="Aptos" w:hAnsi="Garamond" w:cstheme="majorBidi"/>
        </w:rPr>
        <w:t>Prokuroria e Përgjithshme mbikëqyr punën e prokurorive të rrethit dhe siguron zbatimin konsistent të ligjit në procedimet penale. Ajo bashkëpunon me SPAK-un, Policinë e Shtetit dhe institucione të tjera në hetimin dhe ndjekjen penale të krimeve të rënda.</w:t>
      </w:r>
    </w:p>
    <w:p w14:paraId="001B157C" w14:textId="136B3DE7"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b/>
          <w:bCs/>
        </w:rPr>
        <w:t xml:space="preserve">Agjencia e Inteligjencës Financiare. </w:t>
      </w:r>
      <w:r w:rsidRPr="002128A6">
        <w:rPr>
          <w:rFonts w:ascii="Garamond" w:eastAsia="Aptos" w:hAnsi="Garamond" w:cstheme="majorBidi"/>
        </w:rPr>
        <w:t>Agjencia e Inteligjencës Financiare (AIF), që vepron nën Ministrinë e Financave, është autoriteti kombëtar përgjegjës për parandalimin dhe zbulimin e pastrimit të parave dhe financimit të terrorizmit. AIF mbledh, analizon dhe shpërndan inteligjencë financiare tek agjencitë e zbatimit të ligjit dhe mbikëqyr zbatimin e programeve kundër pastrimit të parave/financimit të terrorizmit nga subjektet raportuese. Përmes funksioneve të saj analitike dhe mbikëqyrëse, AIF</w:t>
      </w:r>
      <w:r w:rsidR="00FD657A" w:rsidRPr="002128A6">
        <w:rPr>
          <w:rFonts w:ascii="Garamond" w:eastAsia="Aptos" w:hAnsi="Garamond" w:cstheme="majorBidi"/>
        </w:rPr>
        <w:t>-ja</w:t>
      </w:r>
      <w:r w:rsidRPr="002128A6">
        <w:rPr>
          <w:rFonts w:ascii="Garamond" w:eastAsia="Times New Roman" w:hAnsi="Garamond" w:cs="Segoe UI"/>
          <w:kern w:val="0"/>
          <w:lang w:eastAsia="sq-AL"/>
          <w14:ligatures w14:val="none"/>
        </w:rPr>
        <w:t xml:space="preserve"> </w:t>
      </w:r>
      <w:r w:rsidRPr="002128A6">
        <w:rPr>
          <w:rFonts w:ascii="Garamond" w:eastAsia="Aptos" w:hAnsi="Garamond" w:cstheme="majorBidi"/>
        </w:rPr>
        <w:t>kontribuon në forcimin e integritetit të sistemit financiar dhe në parandalimin e pastrimit të parave apo financimit të terrorizmit.</w:t>
      </w:r>
    </w:p>
    <w:p w14:paraId="2A13EADF" w14:textId="714365BF"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b/>
          <w:bCs/>
        </w:rPr>
        <w:t xml:space="preserve">Shërbimi Informativ </w:t>
      </w:r>
      <w:r w:rsidR="00C50F66" w:rsidRPr="002128A6">
        <w:rPr>
          <w:rFonts w:ascii="Garamond" w:eastAsia="Aptos" w:hAnsi="Garamond" w:cstheme="majorBidi"/>
          <w:b/>
          <w:bCs/>
        </w:rPr>
        <w:t>i Shtetit</w:t>
      </w:r>
      <w:r w:rsidRPr="002128A6">
        <w:rPr>
          <w:rFonts w:ascii="Garamond" w:eastAsia="Aptos" w:hAnsi="Garamond" w:cstheme="majorBidi"/>
          <w:b/>
          <w:bCs/>
        </w:rPr>
        <w:t xml:space="preserve">. </w:t>
      </w:r>
      <w:r w:rsidRPr="002128A6">
        <w:rPr>
          <w:rFonts w:ascii="Garamond" w:eastAsia="Aptos" w:hAnsi="Garamond" w:cstheme="majorBidi"/>
        </w:rPr>
        <w:t xml:space="preserve">Shërbimi Informativ </w:t>
      </w:r>
      <w:r w:rsidR="00C50F66" w:rsidRPr="002128A6">
        <w:rPr>
          <w:rFonts w:ascii="Garamond" w:eastAsia="Aptos" w:hAnsi="Garamond" w:cstheme="majorBidi"/>
        </w:rPr>
        <w:t xml:space="preserve">i Shtetit </w:t>
      </w:r>
      <w:r w:rsidRPr="002128A6">
        <w:rPr>
          <w:rFonts w:ascii="Garamond" w:eastAsia="Aptos" w:hAnsi="Garamond" w:cstheme="majorBidi"/>
        </w:rPr>
        <w:t xml:space="preserve">(SHISH), i themeluar me Ligjin nr. 8391, datë 28.10.1998, mbledh dhe analizon inteligjencën e lidhur me kërcënimet ndaj sigurisë kombëtare. SHISH kryen aktivitete kundër-inteligjente dhe mbledh informacion mbi prodhimin dhe </w:t>
      </w:r>
      <w:r w:rsidRPr="002128A6">
        <w:rPr>
          <w:rFonts w:ascii="Garamond" w:eastAsia="Aptos" w:hAnsi="Garamond" w:cstheme="majorBidi"/>
        </w:rPr>
        <w:lastRenderedPageBreak/>
        <w:t>trafikimin e narkotikëve, krimet mjedisore, armët e shkatërrimit në masë dhe forma të tjera të krimit të organizuar që kërcënojnë integritetin, pavarësinë dhe rendin kushtetues të Republikës së Shqipërisë. SHISH kontribuon me inteligjencë strategjike në sistemin kombëtar dhe mbështet koordinimin ndërinstitucional.</w:t>
      </w:r>
    </w:p>
    <w:p w14:paraId="59264906" w14:textId="0B9300CC"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NIVELI 2 </w:t>
      </w:r>
      <w:r w:rsidR="00E32A1B" w:rsidRPr="002128A6">
        <w:rPr>
          <w:rFonts w:ascii="Garamond" w:eastAsia="Aptos" w:hAnsi="Garamond" w:cstheme="majorBidi"/>
        </w:rPr>
        <w:t>–</w:t>
      </w:r>
      <w:r w:rsidRPr="002128A6">
        <w:rPr>
          <w:rFonts w:ascii="Garamond" w:eastAsia="Aptos" w:hAnsi="Garamond" w:cstheme="majorBidi"/>
        </w:rPr>
        <w:t xml:space="preserve"> MUNDËSUESIT KRITIKË</w:t>
      </w:r>
    </w:p>
    <w:p w14:paraId="0A7A11F4" w14:textId="7B3CF21E" w:rsidR="0025426C" w:rsidRPr="002128A6" w:rsidRDefault="0025426C" w:rsidP="0025426C">
      <w:pPr>
        <w:autoSpaceDE w:val="0"/>
        <w:autoSpaceDN w:val="0"/>
        <w:adjustRightInd w:val="0"/>
        <w:spacing w:after="0" w:line="240" w:lineRule="auto"/>
        <w:ind w:firstLine="284"/>
        <w:jc w:val="both"/>
        <w:rPr>
          <w:rFonts w:ascii="Garamond" w:hAnsi="Garamond" w:cs="Times New Roman"/>
          <w:b/>
          <w:bCs/>
          <w:kern w:val="0"/>
        </w:rPr>
      </w:pPr>
      <w:r w:rsidRPr="002128A6">
        <w:rPr>
          <w:rFonts w:ascii="Garamond" w:hAnsi="Garamond" w:cs="Garamond"/>
          <w:b/>
          <w:bCs/>
          <w:kern w:val="0"/>
        </w:rPr>
        <w:t xml:space="preserve">1. Agjencia për Administrimin e Pasurive të Sekuestruara dhe të Konfiskuara. </w:t>
      </w:r>
      <w:r w:rsidRPr="002128A6">
        <w:rPr>
          <w:rFonts w:ascii="Garamond" w:hAnsi="Garamond" w:cs="Garamond"/>
          <w:kern w:val="0"/>
        </w:rPr>
        <w:t>Agjencia është përgjegjëse për administrimin, ruajtjen dhe asgjësimin e aseteve të sekuestruara ose të konfiskuara si rezultat i procedimeve penale. Agjencia siguron menaxhimin e ligjshëm të aseteve të tilla dhe mbështet zbatimin e vendimeve gjyqësore të lidhura me konfiskimin.</w:t>
      </w:r>
    </w:p>
    <w:p w14:paraId="080F7E4F" w14:textId="5856E15D" w:rsidR="0025426C" w:rsidRPr="002128A6" w:rsidRDefault="0025426C" w:rsidP="0025426C">
      <w:pPr>
        <w:autoSpaceDE w:val="0"/>
        <w:autoSpaceDN w:val="0"/>
        <w:adjustRightInd w:val="0"/>
        <w:spacing w:after="0" w:line="240" w:lineRule="auto"/>
        <w:ind w:firstLine="284"/>
        <w:jc w:val="both"/>
        <w:rPr>
          <w:rFonts w:ascii="Garamond" w:hAnsi="Garamond" w:cs="Times New Roman"/>
          <w:b/>
          <w:bCs/>
          <w:kern w:val="0"/>
        </w:rPr>
      </w:pPr>
      <w:r w:rsidRPr="002128A6">
        <w:rPr>
          <w:rFonts w:ascii="Garamond" w:hAnsi="Garamond" w:cs="Garamond"/>
          <w:b/>
          <w:bCs/>
          <w:kern w:val="0"/>
        </w:rPr>
        <w:t xml:space="preserve">2. Zyra e Rikuperimit të Aseteve. </w:t>
      </w:r>
      <w:r w:rsidRPr="002128A6">
        <w:rPr>
          <w:rFonts w:ascii="Garamond" w:hAnsi="Garamond" w:cs="Garamond"/>
          <w:kern w:val="0"/>
        </w:rPr>
        <w:t>ARO luan rol kyç në gjurmimin, identifikimin dhe lokalizimin e aseteve kriminale, si brenda vendit ashtu edhe ndërkombëtarisht. ARO bashkëpunon me zyrat e huaja të rikuperimit të aseteve, Europolin dhe mekanizma të tjerë ndërkombëtarë për të mbështetur hetimet financiare dhe procedurat e konfiskimit. Funksionet e saj janë thelbësore për forcimin e ndërprerjes financiare të krimit të organizuar.</w:t>
      </w:r>
    </w:p>
    <w:p w14:paraId="556D46CF" w14:textId="10353333" w:rsidR="0025426C" w:rsidRPr="002128A6" w:rsidRDefault="0025426C" w:rsidP="0025426C">
      <w:pPr>
        <w:autoSpaceDE w:val="0"/>
        <w:autoSpaceDN w:val="0"/>
        <w:adjustRightInd w:val="0"/>
        <w:spacing w:after="0" w:line="240" w:lineRule="auto"/>
        <w:ind w:firstLine="284"/>
        <w:jc w:val="both"/>
        <w:rPr>
          <w:rFonts w:ascii="Garamond" w:hAnsi="Garamond" w:cs="Times New Roman"/>
          <w:b/>
          <w:bCs/>
          <w:kern w:val="0"/>
        </w:rPr>
      </w:pPr>
      <w:r w:rsidRPr="002128A6">
        <w:rPr>
          <w:rFonts w:ascii="Garamond" w:hAnsi="Garamond" w:cs="Garamond"/>
          <w:b/>
          <w:bCs/>
          <w:kern w:val="0"/>
        </w:rPr>
        <w:t xml:space="preserve">3. Drejtoria e Përgjithshme e Doganave. </w:t>
      </w:r>
      <w:r w:rsidRPr="002128A6">
        <w:rPr>
          <w:rFonts w:ascii="Garamond" w:hAnsi="Garamond" w:cs="Garamond"/>
          <w:kern w:val="0"/>
        </w:rPr>
        <w:t>Drejtoria e Përgjithshme e Doganave kontribuon në parandalimin dhe zbulimin e krimit të organizuar përmes kontrollit kufitar, analizës së riskut dhe inspektimit të mallrave që hyjnë ose dalin nga territori i Republikës së Shqipërisë. Doganat bashkëpunojnë me agjencitë e tjera ligjzbatuese për të parandaluar trafikimin e narkotikëve, armëve dhe mallrave të tjera të paligjshme, si dhe luan rol të rëndësishëm në identifikimin e skemave</w:t>
      </w:r>
      <w:r w:rsidR="00F54824" w:rsidRPr="002128A6">
        <w:rPr>
          <w:rFonts w:ascii="Garamond" w:hAnsi="Garamond" w:cs="Garamond"/>
          <w:kern w:val="0"/>
        </w:rPr>
        <w:t xml:space="preserve"> </w:t>
      </w:r>
      <w:r w:rsidRPr="002128A6">
        <w:rPr>
          <w:rFonts w:ascii="Garamond" w:hAnsi="Garamond" w:cs="Garamond"/>
          <w:kern w:val="0"/>
        </w:rPr>
        <w:t>të pastrimit të parave të bazuar në tregti.</w:t>
      </w:r>
    </w:p>
    <w:p w14:paraId="5C42502F" w14:textId="45180D64"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Garamond"/>
          <w:b/>
          <w:bCs/>
          <w:kern w:val="0"/>
        </w:rPr>
        <w:t xml:space="preserve">4. Drejtoria e Përgjithshme e Tatimeve. </w:t>
      </w:r>
      <w:r w:rsidRPr="002128A6">
        <w:rPr>
          <w:rFonts w:ascii="Garamond" w:hAnsi="Garamond" w:cs="Garamond"/>
          <w:kern w:val="0"/>
        </w:rPr>
        <w:t>Drejtoria e Përgjithshme e Tatimeve kontribuon në luftën kundër krimit të organizuar duke identifikuar evazionin tatimor, strukturat e dyshimta të biznesit dhe parregullsitë financiare që mund të tregojnë aktivitet kriminal. Përmes inspektimeve të bazuara në rrezik dhe shkëmbimit të informacionit me agjencitë ligjzbatuese, DPT-ja mbështet hetimet financiare dhe qasjen administrative ndaj krimit të organizuar.</w:t>
      </w:r>
    </w:p>
    <w:p w14:paraId="770B04DF" w14:textId="643C66E1" w:rsidR="0025426C" w:rsidRPr="002128A6" w:rsidRDefault="0025426C" w:rsidP="0025426C">
      <w:pPr>
        <w:autoSpaceDE w:val="0"/>
        <w:autoSpaceDN w:val="0"/>
        <w:adjustRightInd w:val="0"/>
        <w:spacing w:after="0" w:line="240" w:lineRule="auto"/>
        <w:ind w:firstLine="284"/>
        <w:jc w:val="both"/>
        <w:rPr>
          <w:rFonts w:ascii="Garamond" w:hAnsi="Garamond" w:cs="Times New Roman"/>
          <w:b/>
          <w:bCs/>
          <w:kern w:val="0"/>
        </w:rPr>
      </w:pPr>
      <w:r w:rsidRPr="002128A6">
        <w:rPr>
          <w:rFonts w:ascii="Garamond" w:hAnsi="Garamond" w:cs="Garamond"/>
          <w:b/>
          <w:bCs/>
          <w:kern w:val="0"/>
        </w:rPr>
        <w:t xml:space="preserve">5. Agjencia e Mbikëqyrjes Policore. </w:t>
      </w:r>
      <w:r w:rsidRPr="002128A6">
        <w:rPr>
          <w:rFonts w:ascii="Garamond" w:hAnsi="Garamond" w:cs="Garamond"/>
          <w:kern w:val="0"/>
        </w:rPr>
        <w:t>Si institucioni përgjegjës që garanton në vetvete që shërbimet e policisë të jenë të besueshme, llogaridhënëse dhe strukturalisht të shëndosha mjaftueshëm për të qëndruar në lartësinë e kërkesave dhe përgjigjes ndaj krimit të organizuar 2026</w:t>
      </w:r>
      <w:r w:rsidR="00335397" w:rsidRPr="002128A6">
        <w:rPr>
          <w:rFonts w:ascii="Garamond" w:hAnsi="Garamond" w:cs="Garamond"/>
          <w:kern w:val="0"/>
        </w:rPr>
        <w:t>–</w:t>
      </w:r>
      <w:r w:rsidRPr="002128A6">
        <w:rPr>
          <w:rFonts w:ascii="Garamond" w:hAnsi="Garamond" w:cs="Garamond"/>
          <w:kern w:val="0"/>
        </w:rPr>
        <w:t>2030. Mandati i saj është thelbësisht për integritetin e Policisë së Shtetit.</w:t>
      </w:r>
    </w:p>
    <w:p w14:paraId="7CC6CB21" w14:textId="2D2CE32C" w:rsidR="0025426C" w:rsidRPr="002128A6" w:rsidRDefault="0025426C" w:rsidP="0025426C">
      <w:pPr>
        <w:autoSpaceDE w:val="0"/>
        <w:autoSpaceDN w:val="0"/>
        <w:adjustRightInd w:val="0"/>
        <w:spacing w:after="0" w:line="240" w:lineRule="auto"/>
        <w:ind w:firstLine="284"/>
        <w:jc w:val="both"/>
        <w:rPr>
          <w:rFonts w:ascii="Garamond" w:hAnsi="Garamond" w:cs="Times New Roman"/>
          <w:b/>
          <w:bCs/>
          <w:kern w:val="0"/>
        </w:rPr>
      </w:pPr>
      <w:r w:rsidRPr="002128A6">
        <w:rPr>
          <w:rFonts w:ascii="Garamond" w:hAnsi="Garamond" w:cs="Garamond"/>
          <w:b/>
          <w:bCs/>
          <w:kern w:val="0"/>
        </w:rPr>
        <w:t xml:space="preserve">6. Banka e Shqipërisë. </w:t>
      </w:r>
      <w:r w:rsidRPr="002128A6">
        <w:rPr>
          <w:rFonts w:ascii="Garamond" w:hAnsi="Garamond" w:cs="Garamond"/>
          <w:kern w:val="0"/>
        </w:rPr>
        <w:t>Në rolin e saj si autoritet mbikëqyrës, Banka e Shqipërisë monitoron zbatimin e programeve kundër pastrimit të parave nga institucionet financiare nën juridiksionin e saj. BSH-ja kontribuon në integritetin e sistemit financiar dhe mbështet zbulimin e aktivitetit të dyshimtë financiar të lidhur me krimin e organizuar.</w:t>
      </w:r>
    </w:p>
    <w:p w14:paraId="60F6FCE6" w14:textId="72B7C387"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rPr>
        <w:t xml:space="preserve">NIVELI 3 </w:t>
      </w:r>
      <w:r w:rsidR="00E32A1B" w:rsidRPr="002128A6">
        <w:rPr>
          <w:rFonts w:ascii="Garamond" w:eastAsia="Aptos" w:hAnsi="Garamond" w:cstheme="majorBidi"/>
        </w:rPr>
        <w:t>–</w:t>
      </w:r>
      <w:r w:rsidRPr="002128A6">
        <w:rPr>
          <w:rFonts w:ascii="Garamond" w:eastAsia="Aptos" w:hAnsi="Garamond" w:cstheme="majorBidi"/>
        </w:rPr>
        <w:t xml:space="preserve"> QEVERISJA, MBIKËQYRJA DHE INSTITUCIONET E ZBATIMIT SEKTORIAL</w:t>
      </w:r>
    </w:p>
    <w:p w14:paraId="7E50E016" w14:textId="6BFC18DD" w:rsidR="00BE490C" w:rsidRPr="002128A6" w:rsidRDefault="00BE490C" w:rsidP="0025426C">
      <w:pPr>
        <w:spacing w:after="0" w:line="240" w:lineRule="auto"/>
        <w:ind w:firstLine="284"/>
        <w:jc w:val="both"/>
        <w:rPr>
          <w:rFonts w:ascii="Garamond" w:eastAsia="Aptos" w:hAnsi="Garamond" w:cstheme="majorBidi"/>
          <w:b/>
          <w:bCs/>
        </w:rPr>
      </w:pPr>
      <w:r w:rsidRPr="002128A6">
        <w:rPr>
          <w:rFonts w:ascii="Garamond" w:eastAsia="Aptos" w:hAnsi="Garamond" w:cstheme="majorBidi"/>
          <w:b/>
          <w:bCs/>
        </w:rPr>
        <w:t>Ministria e Drejtësisë</w:t>
      </w:r>
      <w:r w:rsidRPr="002128A6">
        <w:rPr>
          <w:rFonts w:ascii="Garamond" w:eastAsia="Aptos" w:hAnsi="Garamond" w:cstheme="majorBidi"/>
        </w:rPr>
        <w:t xml:space="preserve"> siguron bashkëpunimin midis Prokurorisë, </w:t>
      </w:r>
      <w:r w:rsidR="00A634DB" w:rsidRPr="002128A6">
        <w:rPr>
          <w:rFonts w:ascii="Garamond" w:eastAsia="Aptos" w:hAnsi="Garamond" w:cstheme="majorBidi"/>
        </w:rPr>
        <w:t>INTERPOL-</w:t>
      </w:r>
      <w:r w:rsidRPr="002128A6">
        <w:rPr>
          <w:rFonts w:ascii="Garamond" w:eastAsia="Aptos" w:hAnsi="Garamond" w:cstheme="majorBidi"/>
        </w:rPr>
        <w:t>it dhe autoriteteve gjyqësore të huaja në përputhje me Ligjin Nr. 10193, datë 3.12.2009, “Për marrëdhëniet juridiksionale me autoritetet e huaja në çështjet penale”. Ministria është edhe autoriteti kombëtar përgjegjës për negocimin dhe nënshkrimin e marrëveshjeve për mbrojtjen e dëshmitarëve dhe bashkëpunëtorëve të drejtësisë. Përmes funksioneve të saj të politikës dhe koordinimit, Ministria e Drejtësisë kontribuon në harmonizimin e sistemit të drejtësisë me standardet e BE-së.</w:t>
      </w:r>
    </w:p>
    <w:p w14:paraId="7FB1B8B4" w14:textId="77777777" w:rsidR="00BE490C" w:rsidRPr="002128A6" w:rsidRDefault="00BE490C" w:rsidP="0025426C">
      <w:pPr>
        <w:spacing w:after="0" w:line="240" w:lineRule="auto"/>
        <w:ind w:firstLine="284"/>
        <w:jc w:val="both"/>
        <w:rPr>
          <w:rFonts w:ascii="Garamond" w:eastAsia="Aptos" w:hAnsi="Garamond" w:cstheme="majorBidi"/>
          <w:b/>
          <w:bCs/>
        </w:rPr>
      </w:pPr>
      <w:bookmarkStart w:id="62" w:name="_Hlk226131077"/>
      <w:r w:rsidRPr="002128A6">
        <w:rPr>
          <w:rFonts w:ascii="Garamond" w:eastAsia="Aptos" w:hAnsi="Garamond" w:cstheme="majorBidi"/>
          <w:b/>
          <w:bCs/>
        </w:rPr>
        <w:t>Inspektorati Kombëtar për Mbrojtjen e Territorit</w:t>
      </w:r>
      <w:bookmarkEnd w:id="62"/>
      <w:r w:rsidRPr="002128A6">
        <w:rPr>
          <w:rFonts w:ascii="Garamond" w:eastAsia="Aptos" w:hAnsi="Garamond" w:cstheme="majorBidi"/>
          <w:b/>
          <w:bCs/>
        </w:rPr>
        <w:t xml:space="preserve">. </w:t>
      </w:r>
      <w:r w:rsidRPr="002128A6">
        <w:rPr>
          <w:rFonts w:ascii="Garamond" w:eastAsia="Aptos" w:hAnsi="Garamond" w:cstheme="majorBidi"/>
        </w:rPr>
        <w:t>Inspektorati Kombëtar për Mbrojtjen e Territorit (IKMT) identifikon ndërtimet e paligjshme dhe shkeljet mjedisore. Në bashkëpunim me Policinë e Shtetit, IKMT-ja referon rastet e krimit mjedisor dhe ndërtimeve të paligjshme tek autoritetet e prokurorisë.</w:t>
      </w:r>
    </w:p>
    <w:p w14:paraId="6007D663" w14:textId="77777777" w:rsidR="00BE490C" w:rsidRPr="002128A6" w:rsidRDefault="00BE490C" w:rsidP="0025426C">
      <w:pPr>
        <w:spacing w:after="0" w:line="240" w:lineRule="auto"/>
        <w:ind w:firstLine="284"/>
        <w:jc w:val="both"/>
        <w:rPr>
          <w:rFonts w:ascii="Garamond" w:eastAsia="Aptos" w:hAnsi="Garamond" w:cstheme="majorBidi"/>
          <w:b/>
          <w:bCs/>
        </w:rPr>
      </w:pPr>
      <w:r w:rsidRPr="002128A6">
        <w:rPr>
          <w:rFonts w:ascii="Garamond" w:eastAsia="Aptos" w:hAnsi="Garamond" w:cstheme="majorBidi"/>
          <w:b/>
          <w:bCs/>
        </w:rPr>
        <w:t xml:space="preserve">Inspektorati Shtetëror i Mjedisit. </w:t>
      </w:r>
      <w:r w:rsidRPr="002128A6">
        <w:rPr>
          <w:rFonts w:ascii="Garamond" w:eastAsia="Aptos" w:hAnsi="Garamond" w:cstheme="majorBidi"/>
        </w:rPr>
        <w:t xml:space="preserve">Inspektorati Shtetëror i Mjedisit luan rol të rëndësishëm në zbulimin dhe adresimin e krimeve mjedisore, përfshirë prerjen e paligjshme, trafikimin e mbetjeve dhe </w:t>
      </w:r>
      <w:r w:rsidRPr="002128A6">
        <w:rPr>
          <w:rFonts w:ascii="Garamond" w:eastAsia="Aptos" w:hAnsi="Garamond" w:cstheme="majorBidi"/>
        </w:rPr>
        <w:lastRenderedPageBreak/>
        <w:t>nxjerrjen e paligjshme. Bashkëpunon me Policinë e Shtetit dhe institucione të tjera për të siguruar zbatimin e legjislacionit mjedisor.</w:t>
      </w:r>
    </w:p>
    <w:p w14:paraId="6BBAAE17" w14:textId="3BEC91AD" w:rsidR="00BE490C" w:rsidRPr="002128A6" w:rsidRDefault="00BE490C" w:rsidP="0025426C">
      <w:pPr>
        <w:spacing w:after="0" w:line="240" w:lineRule="auto"/>
        <w:ind w:firstLine="284"/>
        <w:jc w:val="both"/>
        <w:rPr>
          <w:rFonts w:ascii="Garamond" w:eastAsia="Aptos" w:hAnsi="Garamond" w:cstheme="majorBidi"/>
        </w:rPr>
      </w:pPr>
      <w:r w:rsidRPr="002128A6">
        <w:rPr>
          <w:rFonts w:ascii="Garamond" w:eastAsia="Aptos" w:hAnsi="Garamond" w:cstheme="majorBidi"/>
          <w:b/>
          <w:bCs/>
        </w:rPr>
        <w:t xml:space="preserve">Ministria e Shëndetësisë dhe Mirëqenies Sociale, Ministria e Arsimit dhe Njësitë e Qeverisjes Vendore </w:t>
      </w:r>
      <w:r w:rsidRPr="002128A6">
        <w:rPr>
          <w:rFonts w:ascii="Garamond" w:eastAsia="Aptos" w:hAnsi="Garamond" w:cstheme="majorBidi"/>
        </w:rPr>
        <w:t xml:space="preserve">luajnë rol kyç në luftimin e faktorëve themelorë që kontribuojnë në krimin e organizuar. Përpjekjet e tyre fokusohen në strategji proaktive dhe parandaluese që synojnë komunitetet e cenueshme dhe individët në </w:t>
      </w:r>
      <w:r w:rsidR="00625460" w:rsidRPr="002128A6">
        <w:rPr>
          <w:rFonts w:ascii="Garamond" w:eastAsia="Aptos" w:hAnsi="Garamond" w:cstheme="majorBidi"/>
        </w:rPr>
        <w:t>rrezik</w:t>
      </w:r>
      <w:r w:rsidRPr="002128A6">
        <w:rPr>
          <w:rFonts w:ascii="Garamond" w:eastAsia="Aptos" w:hAnsi="Garamond" w:cstheme="majorBidi"/>
        </w:rPr>
        <w:t xml:space="preserve">. Këto institucione janë instrumentale në parandalimin e përfshirjes së të rinjve në aktivitete kriminale duke promovuar mundësi arsimore dhe stile jetese të shëndetshme. Përmes zhvillimit dhe mbështetjes së programeve të riintegrimit, ato ndihmojnë individët që kalojnë nga sistemi i drejtësisë penale përsëri në shoqëri, duke nxitur përfshirjen e tyre të suksesshme sociale dhe duke reduktuar recidivizmin. Për më tepër, ato zbatojnë nisma parandaluese të bazuara në komunitet që adresojnë nevojat vendore dhe shfrytëzojnë kohezionin social për të dekurajuar pjesëmarrjen në krimin e organizuar. Duke forcuar shërbimet sociale për grupet e cenueshme (si familjet që përballen me vështirësi ekonomike, personat me aftësi të kufizuara dhe popullatat e margjinalizuara), këto organizata punojnë për të hequr nxitjet sociale dhe ekonomike që shpesh i shtyjnë individët drejt aktiviteteve të paligjshme. Njësitë e vetëqeverisjes vendore, në veçanti, janë vendimtare për identifikimin e hershëm të faktorëve të </w:t>
      </w:r>
      <w:r w:rsidR="00625460" w:rsidRPr="002128A6">
        <w:rPr>
          <w:rFonts w:ascii="Garamond" w:eastAsia="Aptos" w:hAnsi="Garamond" w:cstheme="majorBidi"/>
        </w:rPr>
        <w:t>rrezikut</w:t>
      </w:r>
      <w:r w:rsidRPr="002128A6">
        <w:rPr>
          <w:rFonts w:ascii="Garamond" w:eastAsia="Aptos" w:hAnsi="Garamond" w:cstheme="majorBidi"/>
        </w:rPr>
        <w:t xml:space="preserve"> brenda komuniteteve. Lidhja e tyre e ngushtë me qytetarët u mundëson të zbulojnë shenjat e cenueshmërisë ose kërcënimet në zhvillim dhe të koordinojnë përpjekjet e synuara të parandalimit në nivelin bazë. Së bashku, këto institucione krijojnë një rrjet sigurie gjithëpërfshirës, i cili adreson jo vetëm simptomat por edhe shkaqet rrënjësore të krimit të organizuar, duke kontribuar në rezistencën afatgjatë komunitare dhe stabilitetin social.</w:t>
      </w:r>
      <w:r w:rsidR="001C3920" w:rsidRPr="002128A6">
        <w:rPr>
          <w:rFonts w:ascii="Garamond" w:eastAsia="Aptos" w:hAnsi="Garamond" w:cstheme="majorBidi"/>
        </w:rPr>
        <w:t xml:space="preserve"> </w:t>
      </w:r>
    </w:p>
    <w:p w14:paraId="73B58A6F" w14:textId="77777777" w:rsidR="00BE490C" w:rsidRPr="002128A6" w:rsidRDefault="00BE490C" w:rsidP="0025426C">
      <w:pPr>
        <w:pStyle w:val="Heading2"/>
        <w:spacing w:before="0" w:after="0" w:line="240" w:lineRule="auto"/>
        <w:ind w:firstLine="284"/>
        <w:jc w:val="both"/>
        <w:rPr>
          <w:rFonts w:ascii="Garamond" w:hAnsi="Garamond"/>
          <w:color w:val="auto"/>
          <w:sz w:val="24"/>
          <w:szCs w:val="24"/>
        </w:rPr>
      </w:pPr>
      <w:bookmarkStart w:id="63" w:name="_Toc59712460"/>
      <w:bookmarkStart w:id="64" w:name="_Toc59712702"/>
      <w:bookmarkStart w:id="65" w:name="_Toc60216536"/>
      <w:bookmarkStart w:id="66" w:name="_Toc227770718"/>
      <w:bookmarkStart w:id="67" w:name="_Toc233371604"/>
      <w:bookmarkEnd w:id="63"/>
      <w:bookmarkEnd w:id="64"/>
      <w:bookmarkEnd w:id="65"/>
      <w:r w:rsidRPr="002128A6">
        <w:rPr>
          <w:rFonts w:ascii="Garamond" w:hAnsi="Garamond"/>
          <w:color w:val="auto"/>
          <w:sz w:val="24"/>
          <w:szCs w:val="24"/>
        </w:rPr>
        <w:t>3.2. Llogaridhënia, raportimi dhe monitorimi</w:t>
      </w:r>
      <w:bookmarkEnd w:id="66"/>
      <w:bookmarkEnd w:id="67"/>
    </w:p>
    <w:p w14:paraId="3009100D" w14:textId="77777777" w:rsidR="00BE490C" w:rsidRPr="002128A6" w:rsidRDefault="00BE490C" w:rsidP="0025426C">
      <w:pPr>
        <w:pStyle w:val="Heading3"/>
        <w:spacing w:before="0" w:after="0" w:line="240" w:lineRule="auto"/>
        <w:ind w:firstLine="284"/>
        <w:jc w:val="both"/>
        <w:rPr>
          <w:rFonts w:ascii="Garamond" w:eastAsia="Calibri" w:hAnsi="Garamond"/>
          <w:b/>
          <w:color w:val="auto"/>
          <w:sz w:val="24"/>
          <w:szCs w:val="24"/>
        </w:rPr>
      </w:pPr>
      <w:bookmarkStart w:id="68" w:name="_Toc227770719"/>
      <w:bookmarkStart w:id="69" w:name="_Toc233371605"/>
      <w:r w:rsidRPr="002128A6">
        <w:rPr>
          <w:rFonts w:ascii="Garamond" w:eastAsia="Calibri" w:hAnsi="Garamond"/>
          <w:b/>
          <w:color w:val="auto"/>
          <w:sz w:val="24"/>
          <w:szCs w:val="24"/>
        </w:rPr>
        <w:t>Llogaridhënia</w:t>
      </w:r>
      <w:bookmarkEnd w:id="68"/>
      <w:bookmarkEnd w:id="69"/>
      <w:r w:rsidRPr="002128A6">
        <w:rPr>
          <w:rFonts w:ascii="Garamond" w:eastAsia="Calibri" w:hAnsi="Garamond"/>
          <w:b/>
          <w:color w:val="auto"/>
          <w:sz w:val="24"/>
          <w:szCs w:val="24"/>
        </w:rPr>
        <w:t xml:space="preserve"> </w:t>
      </w:r>
    </w:p>
    <w:p w14:paraId="66B996A4" w14:textId="77777777" w:rsidR="00BE490C" w:rsidRPr="002128A6" w:rsidRDefault="00BE490C" w:rsidP="0025426C">
      <w:pPr>
        <w:spacing w:after="0" w:line="240" w:lineRule="auto"/>
        <w:ind w:firstLine="284"/>
        <w:jc w:val="both"/>
        <w:rPr>
          <w:rFonts w:ascii="Garamond" w:eastAsia="Calibri" w:hAnsi="Garamond" w:cstheme="majorBidi"/>
        </w:rPr>
      </w:pPr>
      <w:bookmarkStart w:id="70" w:name="_Toc503790113"/>
      <w:bookmarkStart w:id="71" w:name="_Toc503790189"/>
      <w:bookmarkStart w:id="72" w:name="_Toc514071368"/>
      <w:r w:rsidRPr="002128A6">
        <w:rPr>
          <w:rFonts w:ascii="Garamond" w:eastAsia="Calibri" w:hAnsi="Garamond" w:cstheme="majorBidi"/>
        </w:rPr>
        <w:t xml:space="preserve">Arritja e suksesshme e qëllimeve dhe objektivave të Strategjisë varet nga zbatimi i fortë dhe mekanizmat rigorozë të monitorimit. </w:t>
      </w:r>
    </w:p>
    <w:p w14:paraId="78D4FC33"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Procesi i zbatimit udhëhiqet nga Vendimi i Këshillit të Ministrave nr. 290 (11.4.2020) për Sistemin e Integruar të Planifikimit (IPSIS), duke siguruar harmonizim me prioritetet kombëtare dhe ato të BE-së.</w:t>
      </w:r>
    </w:p>
    <w:p w14:paraId="1DDC1C94" w14:textId="522C0DDA"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Ministria e Punëve të Brendshme shërben si institucioni kryesor për koordinimin e të gjitha proceseve të raportimit dhe monitorimit. Monitorimi është i vazhdueshëm dhe i strukturuar rreth cikleve gjashtëmujore dhe vjetore të raportimit, me </w:t>
      </w:r>
      <w:r w:rsidR="00625460" w:rsidRPr="002128A6">
        <w:rPr>
          <w:rFonts w:ascii="Garamond" w:eastAsia="Calibri" w:hAnsi="Garamond" w:cstheme="majorBidi"/>
        </w:rPr>
        <w:t>tregues</w:t>
      </w:r>
      <w:r w:rsidRPr="002128A6">
        <w:rPr>
          <w:rFonts w:ascii="Garamond" w:eastAsia="Calibri" w:hAnsi="Garamond" w:cstheme="majorBidi"/>
        </w:rPr>
        <w:t xml:space="preserve"> të qartë performance për matjen e progresit dhe informimin e përshtatjes së strategjisë.</w:t>
      </w:r>
    </w:p>
    <w:p w14:paraId="20410A8C"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b/>
          <w:bCs/>
        </w:rPr>
        <w:t>Grupi i Menaxhimit të Integruar të Politikave (GMIP) “Demokracia, Sundimi i Ligjit dhe Qeverisja e Mirë”</w:t>
      </w:r>
      <w:r w:rsidRPr="002128A6">
        <w:rPr>
          <w:rFonts w:ascii="Garamond" w:eastAsia="Calibri" w:hAnsi="Garamond" w:cstheme="majorBidi"/>
        </w:rPr>
        <w:t xml:space="preserve"> dhe </w:t>
      </w:r>
      <w:r w:rsidRPr="002128A6">
        <w:rPr>
          <w:rFonts w:ascii="Garamond" w:eastAsia="Calibri" w:hAnsi="Garamond" w:cstheme="majorBidi"/>
          <w:b/>
          <w:bCs/>
        </w:rPr>
        <w:t>Ekipi Tematik “Çështjet e Brendshme”</w:t>
      </w:r>
      <w:r w:rsidRPr="002128A6">
        <w:rPr>
          <w:rFonts w:ascii="Garamond" w:eastAsia="Calibri" w:hAnsi="Garamond" w:cstheme="majorBidi"/>
        </w:rPr>
        <w:t xml:space="preserve"> do të ngarkohen me rishikimin dhe miratimin e raporteve të zbatimit, sigurimin e koordinimit ndërinstitucional dhe ruajtjen e harmonizimit strategjik.</w:t>
      </w:r>
    </w:p>
    <w:p w14:paraId="4509D47D" w14:textId="186D4B5E"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Përgjegjësitë kryesore të këtyre organeve përfshijnë rishikimin dhe miratimin e raporteve periodike të zbatimit, verifikimin e konformitetit me prioritetet kombëtare dhe ato të BE-së dhe mbikëqyrjen e koordinimit ndërinstitucional.</w:t>
      </w:r>
    </w:p>
    <w:p w14:paraId="2529A697" w14:textId="77777777" w:rsidR="00BE490C" w:rsidRPr="002128A6" w:rsidRDefault="00BE490C" w:rsidP="0025426C">
      <w:pPr>
        <w:pStyle w:val="Heading3"/>
        <w:spacing w:before="0" w:after="0" w:line="240" w:lineRule="auto"/>
        <w:ind w:firstLine="284"/>
        <w:jc w:val="both"/>
        <w:rPr>
          <w:rFonts w:ascii="Garamond" w:eastAsia="Calibri" w:hAnsi="Garamond"/>
          <w:b/>
          <w:color w:val="auto"/>
          <w:sz w:val="24"/>
          <w:szCs w:val="24"/>
        </w:rPr>
      </w:pPr>
      <w:bookmarkStart w:id="73" w:name="_Toc227770720"/>
      <w:bookmarkStart w:id="74" w:name="_Toc233371606"/>
      <w:bookmarkEnd w:id="70"/>
      <w:bookmarkEnd w:id="71"/>
      <w:bookmarkEnd w:id="72"/>
      <w:r w:rsidRPr="002128A6">
        <w:rPr>
          <w:rFonts w:ascii="Garamond" w:eastAsia="Calibri" w:hAnsi="Garamond"/>
          <w:b/>
          <w:color w:val="auto"/>
          <w:sz w:val="24"/>
          <w:szCs w:val="24"/>
        </w:rPr>
        <w:t>Monitorimi</w:t>
      </w:r>
      <w:bookmarkEnd w:id="73"/>
      <w:bookmarkEnd w:id="74"/>
      <w:r w:rsidRPr="002128A6">
        <w:rPr>
          <w:rFonts w:ascii="Garamond" w:eastAsia="Calibri" w:hAnsi="Garamond"/>
          <w:b/>
          <w:color w:val="auto"/>
          <w:sz w:val="24"/>
          <w:szCs w:val="24"/>
        </w:rPr>
        <w:t xml:space="preserve"> </w:t>
      </w:r>
    </w:p>
    <w:p w14:paraId="49E8A6E7"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Krahas zbatimit të masave të përcaktuara në Strategji dhe planin e veprimit, monitorimi i vazhdueshëm i strukturave të angazhuara për të përmbushur detyrimet që rrjedhin nga këto dokumente konsiderohet i nevojshëm për të analizuar situatën reale gjatë zbatimit të tyre dhe për të mbikëqyrur zbatimin periodik, me qëllim përmbushjen e tyre sa më efektive të jetë e mundur. </w:t>
      </w:r>
    </w:p>
    <w:p w14:paraId="7D57C0A9"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Monitorimi dhe vlerësimi i punës së autoriteteve me detyrime për zbatimin e Strategjisë kundër Krimit të Organizuar dhe Krimeve të Rënda do të shërbejnë për gjurmimin e progresit të Strategjisë, vlerësimin e shkallës së arritjes së politikave dhe objektivave të saj dhe përmbushjen e masave dhe aktiviteteve. </w:t>
      </w:r>
    </w:p>
    <w:p w14:paraId="2A86FDF2" w14:textId="2722303A"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lastRenderedPageBreak/>
        <w:t xml:space="preserve">Monitorimi i Planit të Veprimit do të kryhet nga grupi i menaxhimit të integruar të politikave (GMIP) “Demokracia, Sundimi i Ligjit dhe Qeverisja e Mirë”, sipas dispozitave të </w:t>
      </w:r>
      <w:r w:rsidR="00E32A1B" w:rsidRPr="002128A6">
        <w:rPr>
          <w:rFonts w:ascii="Garamond" w:eastAsia="Calibri" w:hAnsi="Garamond" w:cstheme="majorBidi"/>
        </w:rPr>
        <w:t xml:space="preserve">urdhrit </w:t>
      </w:r>
      <w:r w:rsidRPr="002128A6">
        <w:rPr>
          <w:rFonts w:ascii="Garamond" w:eastAsia="Calibri" w:hAnsi="Garamond" w:cstheme="majorBidi"/>
        </w:rPr>
        <w:t xml:space="preserve">të Kryeministrit </w:t>
      </w:r>
      <w:r w:rsidR="00E32A1B" w:rsidRPr="002128A6">
        <w:rPr>
          <w:rFonts w:ascii="Garamond" w:eastAsia="Calibri" w:hAnsi="Garamond" w:cstheme="majorBidi"/>
        </w:rPr>
        <w:t>nr</w:t>
      </w:r>
      <w:r w:rsidRPr="002128A6">
        <w:rPr>
          <w:rFonts w:ascii="Garamond" w:eastAsia="Calibri" w:hAnsi="Garamond" w:cstheme="majorBidi"/>
        </w:rPr>
        <w:t>. 90</w:t>
      </w:r>
      <w:r w:rsidR="00E32A1B" w:rsidRPr="002128A6">
        <w:rPr>
          <w:rFonts w:ascii="Garamond" w:eastAsia="Calibri" w:hAnsi="Garamond" w:cstheme="majorBidi"/>
        </w:rPr>
        <w:t>,</w:t>
      </w:r>
      <w:r w:rsidRPr="002128A6">
        <w:rPr>
          <w:rFonts w:ascii="Garamond" w:eastAsia="Calibri" w:hAnsi="Garamond" w:cstheme="majorBidi"/>
        </w:rPr>
        <w:t xml:space="preserve"> datë 1.8.2023, “Për marrjen e masave për zbatimin e qasjes së gjerë sektoriale/ndërsektoriale, si dhe ngritjen dhe funksionimin e mekanizmit të integruar sektorial/ndërsektorial”. Koordinimi i procesit të monitorimit do të kryhet nga struktura përgjegjëse për politikat kundër krimit të organizuar në Ministrinë e Brendshme.</w:t>
      </w:r>
    </w:p>
    <w:p w14:paraId="17C8EBC8"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Brenda një muaji nga miratimi i Strategjisë dhe Planit të Veprimit, </w:t>
      </w:r>
      <w:r w:rsidRPr="002128A6">
        <w:rPr>
          <w:rFonts w:ascii="Garamond" w:hAnsi="Garamond" w:cstheme="majorBidi"/>
        </w:rPr>
        <w:t xml:space="preserve">Ministria e Punëve të Brendshme </w:t>
      </w:r>
      <w:r w:rsidRPr="002128A6">
        <w:rPr>
          <w:rFonts w:ascii="Garamond" w:eastAsia="Calibri" w:hAnsi="Garamond" w:cstheme="majorBidi"/>
        </w:rPr>
        <w:t>do të koordinojë organizimin e një seminari/takimi koordinimi me të gjitha palët përgjegjëse dhe mbështetëse të interesuara të përfshira në zbatimin e Strategjisë dhe Planit të Veprimit. Qëllimi i këtij takimi do të jetë paraqitja e kornizës së re strategjike, përgjegjësive institucionale, metodologjisë së monitorimit, afateve kohore dhe mënyrave të lidhura të zbatimit, me qëllim sigurimin e koordinimit efektiv ndërinstitucional që në fillim të zbatimit të kornizës së re strategjike.</w:t>
      </w:r>
    </w:p>
    <w:p w14:paraId="120A1A58"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Brenda kornizës së mekanizmit ekzistues të ekipeve tematike të vendosura me Urdhrin e Kryeministrit Nr. 90 datë 01.08.2023, i cili, sipas dispozitës së pikës 13, mblidhet nën udhëheqjen e Zëvendësministrit përgjegjës për fushën përkatëse, specifikisht sipas Aneksit 1 të Urdhrit, grupi tematik “Çështjet e Brendshme”, një nga fushat/sektorët dhe nënsektorët prioritarë të mbuluar nga ky grup tematik është “lufta kundër krimit të organizuar dhe krimeve të rënda.” Ky grup organizon takime çdo tre muaj, me të gjitha institucionet përkatëse dhe agjencitë ligjzbatuese dhe, në varësi të çështjeve që trajtohen, fton edhe përfaqësues nga institucione të pavarura, shoqëria civile dhe aktorë të tjerë përkatës. </w:t>
      </w:r>
    </w:p>
    <w:p w14:paraId="28A16EC6" w14:textId="4BD5353F"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Këto takime shërbejnë për të shkëmbyer informacion mbi panoramën e kërcënimeve që paraqet krimi i organizuar dhe krimet e rënda, për të prioritizuar raste specifike dhe për të planifikuar veprime të përbashkëta për t</w:t>
      </w:r>
      <w:r w:rsidR="006E35F8">
        <w:rPr>
          <w:rFonts w:ascii="Garamond" w:eastAsia="Calibri" w:hAnsi="Garamond" w:cstheme="majorBidi"/>
        </w:rPr>
        <w:t>’</w:t>
      </w:r>
      <w:r w:rsidRPr="002128A6">
        <w:rPr>
          <w:rFonts w:ascii="Garamond" w:eastAsia="Calibri" w:hAnsi="Garamond" w:cstheme="majorBidi"/>
        </w:rPr>
        <w:t>i adresuar ato në kohë, duke mbështetur zbatimin efektiv të Strategjisë dhe Planit të Veprimit të saj.</w:t>
      </w:r>
    </w:p>
    <w:p w14:paraId="54235C5F" w14:textId="4EE62B42" w:rsidR="00BE490C" w:rsidRPr="002128A6" w:rsidRDefault="00625460" w:rsidP="0025426C">
      <w:pPr>
        <w:spacing w:after="0" w:line="240" w:lineRule="auto"/>
        <w:ind w:firstLine="284"/>
        <w:jc w:val="both"/>
        <w:rPr>
          <w:rFonts w:ascii="Garamond" w:eastAsia="Calibri" w:hAnsi="Garamond" w:cstheme="majorBidi"/>
          <w:b/>
          <w:bCs/>
        </w:rPr>
      </w:pPr>
      <w:r w:rsidRPr="002128A6">
        <w:rPr>
          <w:rFonts w:ascii="Garamond" w:eastAsia="Calibri" w:hAnsi="Garamond" w:cstheme="majorBidi"/>
          <w:b/>
          <w:bCs/>
        </w:rPr>
        <w:t xml:space="preserve">Treguesi </w:t>
      </w:r>
      <w:r w:rsidR="00BE490C" w:rsidRPr="002128A6">
        <w:rPr>
          <w:rFonts w:ascii="Garamond" w:eastAsia="Calibri" w:hAnsi="Garamond" w:cstheme="majorBidi"/>
          <w:b/>
          <w:bCs/>
        </w:rPr>
        <w:t>për matjen e performancës së këtij mekanizmi është:</w:t>
      </w:r>
    </w:p>
    <w:p w14:paraId="5B1CA737" w14:textId="3B88B614" w:rsidR="00D3312D" w:rsidRPr="002128A6" w:rsidRDefault="0025426C" w:rsidP="0025426C">
      <w:pPr>
        <w:pStyle w:val="ListParagraph"/>
        <w:spacing w:after="0" w:line="240" w:lineRule="auto"/>
        <w:ind w:left="0" w:firstLine="284"/>
        <w:jc w:val="both"/>
        <w:rPr>
          <w:rFonts w:ascii="Garamond" w:eastAsia="Calibri" w:hAnsi="Garamond" w:cstheme="majorBidi"/>
        </w:rPr>
      </w:pPr>
      <w:r w:rsidRPr="002128A6">
        <w:rPr>
          <w:rFonts w:ascii="Garamond" w:eastAsia="Calibri" w:hAnsi="Garamond" w:cstheme="majorBidi"/>
        </w:rPr>
        <w:t xml:space="preserve">- </w:t>
      </w:r>
      <w:r w:rsidR="00BE490C" w:rsidRPr="002128A6">
        <w:rPr>
          <w:rFonts w:ascii="Garamond" w:eastAsia="Calibri" w:hAnsi="Garamond" w:cstheme="majorBidi"/>
        </w:rPr>
        <w:t xml:space="preserve">Për vitin 2026, takimi i parë do të mbahet tre muaj pas miratimit të Strategjisë dhe Planit të Veprimit nga Këshilli i Ministrave dhe takimet e mëvonshme do të mbahen çdo tre muaj pas takimit të parë deri në fund të vitit 2026; </w:t>
      </w:r>
    </w:p>
    <w:p w14:paraId="4BCCDB5D" w14:textId="3D0EC2E6" w:rsidR="00BE490C" w:rsidRPr="002128A6" w:rsidRDefault="0025426C" w:rsidP="0025426C">
      <w:pPr>
        <w:pStyle w:val="ListParagraph"/>
        <w:spacing w:after="0" w:line="240" w:lineRule="auto"/>
        <w:ind w:left="0" w:firstLine="284"/>
        <w:jc w:val="both"/>
        <w:rPr>
          <w:rFonts w:ascii="Garamond" w:eastAsia="Calibri" w:hAnsi="Garamond" w:cstheme="majorBidi"/>
        </w:rPr>
      </w:pPr>
      <w:r w:rsidRPr="002128A6">
        <w:rPr>
          <w:rFonts w:ascii="Garamond" w:eastAsia="Calibri" w:hAnsi="Garamond" w:cstheme="majorBidi"/>
        </w:rPr>
        <w:t xml:space="preserve">- </w:t>
      </w:r>
      <w:r w:rsidR="00BE490C" w:rsidRPr="002128A6">
        <w:rPr>
          <w:rFonts w:ascii="Garamond" w:eastAsia="Calibri" w:hAnsi="Garamond" w:cstheme="majorBidi"/>
        </w:rPr>
        <w:t>Për vitet pasuese të zbatimit të Strategjisë dhe Planit të Veprimit, do të mbahen katër takime në vit (në mars, qershor, shtator dhe dhjetor).</w:t>
      </w:r>
    </w:p>
    <w:p w14:paraId="0D0849A4" w14:textId="72B148AA"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Institucioni përgjegjës për arritjen e këtij </w:t>
      </w:r>
      <w:r w:rsidR="00625460" w:rsidRPr="002128A6">
        <w:rPr>
          <w:rFonts w:ascii="Garamond" w:eastAsia="Calibri" w:hAnsi="Garamond" w:cstheme="majorBidi"/>
        </w:rPr>
        <w:t xml:space="preserve">treguesi </w:t>
      </w:r>
      <w:r w:rsidRPr="002128A6">
        <w:rPr>
          <w:rFonts w:ascii="Garamond" w:eastAsia="Calibri" w:hAnsi="Garamond" w:cstheme="majorBidi"/>
        </w:rPr>
        <w:t xml:space="preserve">është ministria përgjegjëse për çështjet e brendshme. Të dhënat/evidencat për verifikimin e arritjes së </w:t>
      </w:r>
      <w:r w:rsidR="00625460" w:rsidRPr="002128A6">
        <w:rPr>
          <w:rFonts w:ascii="Garamond" w:eastAsia="Calibri" w:hAnsi="Garamond" w:cstheme="majorBidi"/>
        </w:rPr>
        <w:t>treguesit</w:t>
      </w:r>
      <w:r w:rsidRPr="002128A6">
        <w:rPr>
          <w:rFonts w:ascii="Garamond" w:eastAsia="Calibri" w:hAnsi="Garamond" w:cstheme="majorBidi"/>
        </w:rPr>
        <w:t xml:space="preserve"> do të jenë procesverbalet dhe konkluzionet e takimeve, si dhe lista e pjesëmarrësve, përfshirë përfaqësuesit e institucioneve/agjencive ligjzbatuese dhe aktorëve të tjerë të ftuar, në varësi të çështjeve specifike të trajtuara në çdo takim.</w:t>
      </w:r>
    </w:p>
    <w:p w14:paraId="11FDDDAA" w14:textId="65A0F990"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Procesi do të zhvillohet me pjesëmarrjen e përfaqësuesve nga institucionet kryesore përgjegjëse për çështjet e sigurisë (përfshirë M</w:t>
      </w:r>
      <w:r w:rsidR="001355C7" w:rsidRPr="002128A6">
        <w:rPr>
          <w:rFonts w:ascii="Garamond" w:eastAsia="Calibri" w:hAnsi="Garamond" w:cstheme="majorBidi"/>
        </w:rPr>
        <w:t>P</w:t>
      </w:r>
      <w:r w:rsidRPr="002128A6">
        <w:rPr>
          <w:rFonts w:ascii="Garamond" w:eastAsia="Calibri" w:hAnsi="Garamond" w:cstheme="majorBidi"/>
        </w:rPr>
        <w:t xml:space="preserve">B/PSH, MD, MM, MMSR etj.), donatorë dhe shoqëria civile (përfaqësues të organizatave joqeveritare). </w:t>
      </w:r>
      <w:r w:rsidRPr="002128A6">
        <w:rPr>
          <w:rFonts w:ascii="Garamond" w:hAnsi="Garamond" w:cstheme="majorBidi"/>
        </w:rPr>
        <w:t>Ministria e Punëve të Brendshme</w:t>
      </w:r>
      <w:r w:rsidRPr="002128A6">
        <w:rPr>
          <w:rFonts w:ascii="Garamond" w:eastAsia="Calibri" w:hAnsi="Garamond" w:cstheme="majorBidi"/>
        </w:rPr>
        <w:t xml:space="preserve"> do të vendosë një mekanizëm formal për përfshirjen e përfaqësuesve të shoqërisë civile, përfaqësuesve të institucioneve akademike, aktorëve të platformës së partneritetit, përfaqësuesve të organizatave kombëtare dhe ndërkombëtare që kontribuojnë, zbatojnë projekte ose kryejnë aktivitetet e tyre në fushën e parandalimit dhe luftës kundër krimit të organizuar dhe krimeve të rënda, për monitorimin dhe vlerësimin e zbatimit të strategjisë. </w:t>
      </w:r>
    </w:p>
    <w:p w14:paraId="532D885E" w14:textId="71E6C963" w:rsidR="00BE490C" w:rsidRPr="002128A6" w:rsidRDefault="00625460"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Treguesi</w:t>
      </w:r>
      <w:r w:rsidR="00BE490C" w:rsidRPr="002128A6">
        <w:rPr>
          <w:rFonts w:ascii="Garamond" w:eastAsia="Calibri" w:hAnsi="Garamond" w:cstheme="majorBidi"/>
        </w:rPr>
        <w:t xml:space="preserve"> për matjen e performancës së këtij mekanizmi do të jetë organizimi i një takimi në vit, në muajin dhjetor, duke filluar nga viti i parë pas miratimit të Strategjisë dhe Planit të Veprimit të saj dhe duke vazhduar gjatë gjithë kohëzgjatjes së Strategjisë.</w:t>
      </w:r>
    </w:p>
    <w:p w14:paraId="14D54E2D" w14:textId="08F2576C"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Institucioni përgjegjës për arritjen e këtij </w:t>
      </w:r>
      <w:r w:rsidR="00625460" w:rsidRPr="002128A6">
        <w:rPr>
          <w:rFonts w:ascii="Garamond" w:eastAsia="Calibri" w:hAnsi="Garamond" w:cstheme="majorBidi"/>
        </w:rPr>
        <w:t>treguesi</w:t>
      </w:r>
      <w:r w:rsidRPr="002128A6">
        <w:rPr>
          <w:rFonts w:ascii="Garamond" w:eastAsia="Calibri" w:hAnsi="Garamond" w:cstheme="majorBidi"/>
        </w:rPr>
        <w:t xml:space="preserve"> është ministria përgjegjëse për çështjet e brendshme. Të dhënat/evidencat për verifikimin e arritjes së </w:t>
      </w:r>
      <w:r w:rsidR="00625460" w:rsidRPr="002128A6">
        <w:rPr>
          <w:rFonts w:ascii="Garamond" w:eastAsia="Calibri" w:hAnsi="Garamond" w:cstheme="majorBidi"/>
        </w:rPr>
        <w:t>treguesit</w:t>
      </w:r>
      <w:r w:rsidRPr="002128A6">
        <w:rPr>
          <w:rFonts w:ascii="Garamond" w:eastAsia="Calibri" w:hAnsi="Garamond" w:cstheme="majorBidi"/>
        </w:rPr>
        <w:t xml:space="preserve"> janë përbëjnë procesverbalet </w:t>
      </w:r>
      <w:r w:rsidRPr="002128A6">
        <w:rPr>
          <w:rFonts w:ascii="Garamond" w:eastAsia="Calibri" w:hAnsi="Garamond" w:cstheme="majorBidi"/>
        </w:rPr>
        <w:lastRenderedPageBreak/>
        <w:t>dhe konkluzionet e takimeve, si dhe lista e pjesëmarrësve, përfshirë përfaqësuesit e shoqërisë civile, institucioneve akademike, partnerëve brenda platformës së partneritetit dhe përfaqësuesve të organizatave kombëtare dhe ndërkombëtare që kontribuojnë dhe/ose zbatojnë projekte ose kryejnë aktivitete në fushën e parandalimit dhe luftës kundër krimit të organizuar dhe krimeve të rënda.</w:t>
      </w:r>
    </w:p>
    <w:p w14:paraId="5624C786" w14:textId="77777777" w:rsidR="00BE490C" w:rsidRPr="002128A6" w:rsidRDefault="00BE490C" w:rsidP="0025426C">
      <w:pPr>
        <w:pStyle w:val="Heading3"/>
        <w:spacing w:before="0" w:after="0" w:line="240" w:lineRule="auto"/>
        <w:ind w:firstLine="284"/>
        <w:jc w:val="both"/>
        <w:rPr>
          <w:rFonts w:ascii="Garamond" w:eastAsia="Calibri" w:hAnsi="Garamond"/>
          <w:b/>
          <w:bCs/>
          <w:color w:val="auto"/>
          <w:sz w:val="24"/>
          <w:szCs w:val="24"/>
        </w:rPr>
      </w:pPr>
      <w:bookmarkStart w:id="75" w:name="_Toc227770721"/>
      <w:bookmarkStart w:id="76" w:name="_Toc233371607"/>
      <w:r w:rsidRPr="002128A6">
        <w:rPr>
          <w:rFonts w:ascii="Garamond" w:eastAsia="Calibri" w:hAnsi="Garamond"/>
          <w:b/>
          <w:bCs/>
          <w:color w:val="auto"/>
          <w:sz w:val="24"/>
          <w:szCs w:val="24"/>
        </w:rPr>
        <w:t>Zbatimi i përgjegjshëm ndaj gjinisë</w:t>
      </w:r>
      <w:bookmarkEnd w:id="75"/>
      <w:bookmarkEnd w:id="76"/>
    </w:p>
    <w:p w14:paraId="5C073BD7" w14:textId="3AA7CC8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Brenda mekanizmave të zbatimit të Strategjisë, integrimi gjinor do të operacionalizohet në bashkëpunim me UN Women, duke ndërtuar mbi projektet e saj në vazhdim dhe të kompletuara të zbatuara me institucionet shqiptare të përfshira në parandalimin dhe luftimin e krimit të organizuar. Qasjet dhe standardet e UN Women të përgjegjshme ndaj gjinisë do të informojnë ngritjen institucionale të kapaciteteve, zbatimin e politikave dhe proceset e monitorimit, përfshirë zbatimin e analizës ndërsektoriale gjinore, planifikimit të përgjegjshëm ndaj gjinisë dhe mbledhjes dhe përdorimit sistematik të të dhënave të ndara sipas seksit dhe gjinisë. Ky bashkëpunim do të garantojë që masat kundër krimit të organizuar të jenë gjithëpërfshirëse, efektive dhe të harmonizuara me standardet ndërkombëtare të barazisë gjinore, përfshirë CEDAW, </w:t>
      </w:r>
      <w:r w:rsidR="00E32A1B" w:rsidRPr="002128A6">
        <w:rPr>
          <w:rFonts w:ascii="Garamond" w:eastAsia="Calibri" w:hAnsi="Garamond" w:cstheme="majorBidi"/>
        </w:rPr>
        <w:t>agjend</w:t>
      </w:r>
      <w:r w:rsidRPr="002128A6">
        <w:rPr>
          <w:rFonts w:ascii="Garamond" w:eastAsia="Calibri" w:hAnsi="Garamond" w:cstheme="majorBidi"/>
        </w:rPr>
        <w:t xml:space="preserve">ën </w:t>
      </w:r>
      <w:r w:rsidR="001355C7" w:rsidRPr="002128A6">
        <w:rPr>
          <w:rFonts w:ascii="Garamond" w:eastAsia="Calibri" w:hAnsi="Garamond" w:cstheme="majorBidi"/>
        </w:rPr>
        <w:t>“</w:t>
      </w:r>
      <w:r w:rsidRPr="002128A6">
        <w:rPr>
          <w:rFonts w:ascii="Garamond" w:eastAsia="Calibri" w:hAnsi="Garamond" w:cstheme="majorBidi"/>
        </w:rPr>
        <w:t xml:space="preserve">Gratë, </w:t>
      </w:r>
      <w:r w:rsidR="007C65D6" w:rsidRPr="002128A6">
        <w:rPr>
          <w:rFonts w:ascii="Garamond" w:eastAsia="Calibri" w:hAnsi="Garamond" w:cstheme="majorBidi"/>
        </w:rPr>
        <w:t>paqja dhe siguria</w:t>
      </w:r>
      <w:r w:rsidR="001355C7" w:rsidRPr="002128A6">
        <w:rPr>
          <w:rFonts w:ascii="Garamond" w:eastAsia="Calibri" w:hAnsi="Garamond" w:cstheme="majorBidi"/>
        </w:rPr>
        <w:t>”</w:t>
      </w:r>
      <w:r w:rsidRPr="002128A6">
        <w:rPr>
          <w:rFonts w:ascii="Garamond" w:eastAsia="Calibri" w:hAnsi="Garamond" w:cstheme="majorBidi"/>
        </w:rPr>
        <w:t xml:space="preserve"> dhe kornizat përkatëse të BE-së për barazinë gjinore.</w:t>
      </w:r>
    </w:p>
    <w:p w14:paraId="4AB9B9E9" w14:textId="3BC60EBB" w:rsidR="00BE490C" w:rsidRPr="002128A6" w:rsidRDefault="00BE490C" w:rsidP="0025426C">
      <w:pPr>
        <w:pStyle w:val="Heading3"/>
        <w:spacing w:before="0" w:after="0" w:line="240" w:lineRule="auto"/>
        <w:ind w:firstLine="284"/>
        <w:jc w:val="both"/>
        <w:rPr>
          <w:rFonts w:ascii="Garamond" w:eastAsia="Calibri" w:hAnsi="Garamond"/>
          <w:b/>
          <w:bCs/>
          <w:color w:val="auto"/>
          <w:sz w:val="24"/>
          <w:szCs w:val="24"/>
        </w:rPr>
      </w:pPr>
      <w:bookmarkStart w:id="77" w:name="_Toc227770722"/>
      <w:bookmarkStart w:id="78" w:name="_Toc233371608"/>
      <w:r w:rsidRPr="002128A6">
        <w:rPr>
          <w:rFonts w:ascii="Garamond" w:eastAsia="Calibri" w:hAnsi="Garamond"/>
          <w:b/>
          <w:bCs/>
          <w:color w:val="auto"/>
          <w:sz w:val="24"/>
          <w:szCs w:val="24"/>
        </w:rPr>
        <w:t>Angazhimi dhe Koordinimi i Asistencës së Huaj</w:t>
      </w:r>
      <w:bookmarkEnd w:id="77"/>
      <w:bookmarkEnd w:id="78"/>
    </w:p>
    <w:p w14:paraId="521DF97C"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Agjencia Shtetërore për Programimin Strategjik dhe Koordinimin e Asistencës së Huaj (ASPSKKH) shërben si autoriteti qendror për koordinimin e asistencës së huaj në Shqipëri, duke siguruar që mbështetja e donatorëve të harmonizohet me prioritetet kombëtare dhe objektivat e Strategjisë Kombëtare për Zhvillim dhe Integrim Evropian 2022-2030. Roli i ASPSKKH është të integrojë projektet e financuara nga donatorët në fushën e parandalimit dhe luftimit të krimit të organizuar dhe krimeve të rënda, duke siguruar koherencë midis institucioneve zbatuese ndërsa shmang dyfishimin e mbështetjes së huaj.</w:t>
      </w:r>
    </w:p>
    <w:p w14:paraId="62F8DBB8"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Më konkretisht, ASPSKKH-ja garanton që nismat e mbështetura nga donatorët të kontribuojnë në zbatimin efektiv të strategjive kombëtare, në pajtim si me kornizat ligjore shqiptare, ashtu edhe me standardet e BE-së. Gjithashtu, monitoron zbatimin e projekteve të financuara nga donatorët, në mënyrë që kontributet e donatorëve të përdoren në mënyrë efikase, të arrijnë rezultate të matshme dhe të forcojnë strukturat institucionale përgjegjëse për parandalimin dhe luftimin e krimit të organizuar dhe aktiviteteve kriminale të rënda.</w:t>
      </w:r>
    </w:p>
    <w:p w14:paraId="0011FB3D"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hAnsi="Garamond" w:cstheme="majorBidi"/>
        </w:rPr>
        <w:t xml:space="preserve">Ministria e Punëve të Brendshme </w:t>
      </w:r>
      <w:r w:rsidRPr="002128A6">
        <w:rPr>
          <w:rFonts w:ascii="Garamond" w:eastAsia="Calibri" w:hAnsi="Garamond" w:cstheme="majorBidi"/>
        </w:rPr>
        <w:t>lehtëson të paktën një takim ose konferencë vjetore të donatorëve, duke shërbyer si platformë për të paraqitur shfrytëzimin e asistencës së huaj, rishikuar prioritetet ekzistuese dhe ato në zhvillim dhe nevojat dhe për të udhëhequr mbështetjen e donatorëve në zbatimin e kornizës strategjike dhe arritjen e objektivave në parandalimin dhe luftimin e krimit të organizuar dhe krimeve të rënda.</w:t>
      </w:r>
    </w:p>
    <w:p w14:paraId="4CDFFB06"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hAnsi="Garamond" w:cstheme="majorBidi"/>
        </w:rPr>
        <w:t xml:space="preserve">Ministria e Punëve të Brendshme </w:t>
      </w:r>
      <w:r w:rsidRPr="002128A6">
        <w:rPr>
          <w:rFonts w:ascii="Garamond" w:eastAsia="Calibri" w:hAnsi="Garamond" w:cstheme="majorBidi"/>
        </w:rPr>
        <w:t>shfrytëzon në mënyrë efektive edhe mekanizmat e tjerë ekzistues kombëtarë, si GMIP/Ekipet Tematike, dhe kornizat rajonale, përfshirë Qeverisjen e Integruar të Sigurisë së Brendshme (IISG) nën Këshillin e Bashkëpunimit Rajonal (RCC), për hartëzimin, koordinimin dhe angazhimin e ndihmës së huaj.</w:t>
      </w:r>
    </w:p>
    <w:p w14:paraId="47ADE0EF"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Për më tepër, </w:t>
      </w:r>
      <w:r w:rsidRPr="002128A6">
        <w:rPr>
          <w:rFonts w:ascii="Garamond" w:hAnsi="Garamond" w:cstheme="majorBidi"/>
        </w:rPr>
        <w:t xml:space="preserve">Ministria e Punëve të Brendshme </w:t>
      </w:r>
      <w:r w:rsidRPr="002128A6">
        <w:rPr>
          <w:rFonts w:ascii="Garamond" w:eastAsia="Calibri" w:hAnsi="Garamond" w:cstheme="majorBidi"/>
        </w:rPr>
        <w:t>mbledh të dhëna periodike nga projektet e hartuara në fushën e parandalimit dhe luftimit të krimit të organizuar dhe krimeve të rënda, me qëllim që të ofrojë një pamje gjithëpërfshirëse të angazhimit dhe kontributeve të donatorëve drejt zbatimit të kornizës strategjike në këtë sektor</w:t>
      </w:r>
    </w:p>
    <w:p w14:paraId="749B0A70"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Për përmbushjen e politikave në luftën kundër krimit të organizuar, bazuar në këtë dokument strategjik, do të ndërmerren masat e mëposhtme:</w:t>
      </w:r>
    </w:p>
    <w:p w14:paraId="7AEC4DD0" w14:textId="166A649F" w:rsidR="00BE490C" w:rsidRPr="002128A6" w:rsidRDefault="0025426C" w:rsidP="0025426C">
      <w:pPr>
        <w:pStyle w:val="TEKSTI"/>
        <w:rPr>
          <w:rFonts w:eastAsia="Calibri" w:cstheme="majorBidi"/>
        </w:rPr>
      </w:pPr>
      <w:r w:rsidRPr="002128A6">
        <w:rPr>
          <w:rFonts w:eastAsia="Calibri" w:cstheme="majorBidi"/>
        </w:rPr>
        <w:t xml:space="preserve">- </w:t>
      </w:r>
      <w:r w:rsidR="00BE490C" w:rsidRPr="002128A6">
        <w:rPr>
          <w:rFonts w:eastAsia="Calibri" w:cstheme="majorBidi"/>
        </w:rPr>
        <w:t xml:space="preserve">do të monitorohen </w:t>
      </w:r>
      <w:r w:rsidR="00625460" w:rsidRPr="002128A6">
        <w:rPr>
          <w:rFonts w:eastAsia="Calibri" w:cstheme="majorBidi"/>
        </w:rPr>
        <w:t>treguesit</w:t>
      </w:r>
      <w:r w:rsidR="00BE490C" w:rsidRPr="002128A6">
        <w:rPr>
          <w:rFonts w:eastAsia="Calibri" w:cstheme="majorBidi"/>
        </w:rPr>
        <w:t xml:space="preserve"> e përcaktuar në strategji (përfshirë të dhënat sipas gjinisë dhe moshës); </w:t>
      </w:r>
    </w:p>
    <w:p w14:paraId="567230C1" w14:textId="2905D3B1" w:rsidR="00BE490C" w:rsidRPr="002128A6" w:rsidRDefault="0025426C" w:rsidP="0025426C">
      <w:pPr>
        <w:pStyle w:val="TEKSTI"/>
        <w:rPr>
          <w:rFonts w:eastAsia="Calibri" w:cstheme="majorBidi"/>
        </w:rPr>
      </w:pPr>
      <w:r w:rsidRPr="002128A6">
        <w:rPr>
          <w:rFonts w:eastAsia="Calibri" w:cstheme="majorBidi"/>
        </w:rPr>
        <w:lastRenderedPageBreak/>
        <w:t xml:space="preserve">- </w:t>
      </w:r>
      <w:r w:rsidR="00BE490C" w:rsidRPr="002128A6">
        <w:rPr>
          <w:rFonts w:eastAsia="Calibri" w:cstheme="majorBidi"/>
        </w:rPr>
        <w:t xml:space="preserve">do të bëhen rekomandime për ndryshime në programet sektoriale, duke pasur parasysh arritjet, rrethanat, risqet dhe rreziqet, si dhe përvojat e mëparshme, në përputhje me rekomandimet e raporteve të progresit të Bashkimit Evropian; </w:t>
      </w:r>
    </w:p>
    <w:p w14:paraId="75C53041" w14:textId="1EBD7BF9" w:rsidR="00BE490C" w:rsidRPr="002128A6" w:rsidRDefault="0025426C" w:rsidP="0025426C">
      <w:pPr>
        <w:pStyle w:val="TEKSTI"/>
        <w:rPr>
          <w:rFonts w:eastAsia="Calibri" w:cstheme="majorBidi"/>
        </w:rPr>
      </w:pPr>
      <w:r w:rsidRPr="002128A6">
        <w:rPr>
          <w:rFonts w:eastAsia="Calibri" w:cstheme="majorBidi"/>
        </w:rPr>
        <w:t xml:space="preserve">- </w:t>
      </w:r>
      <w:r w:rsidR="00BE490C" w:rsidRPr="002128A6">
        <w:rPr>
          <w:rFonts w:eastAsia="Calibri" w:cstheme="majorBidi"/>
        </w:rPr>
        <w:t xml:space="preserve">do të bëhen konsultime me palët e interesuara dhe shoqërinë civile (OJF-të, aktorët e platformës së partneritetit etj.), partnerët ndërkombëtarë ose organizatat partnere që veprojnë në këtë fushë, që do të shërbejnë si burim shtesë i të dhënave për të finalizuar dhe për të përmirësuar monitorimin, veçanërisht në lidhje me aspekte si dimensioni social (gjinia, grupet e cenueshme etj.), si dhe për të siguruar transparencë në ndarjen e informacionit; </w:t>
      </w:r>
    </w:p>
    <w:p w14:paraId="28D92D25" w14:textId="476308ED" w:rsidR="00BE490C" w:rsidRPr="002128A6" w:rsidRDefault="0025426C" w:rsidP="0025426C">
      <w:pPr>
        <w:pStyle w:val="TEKSTI"/>
        <w:rPr>
          <w:rFonts w:eastAsia="Calibri" w:cstheme="majorBidi"/>
        </w:rPr>
      </w:pPr>
      <w:r w:rsidRPr="002128A6">
        <w:rPr>
          <w:rFonts w:eastAsia="Calibri" w:cstheme="majorBidi"/>
        </w:rPr>
        <w:t xml:space="preserve">- </w:t>
      </w:r>
      <w:r w:rsidR="00BE490C" w:rsidRPr="002128A6">
        <w:rPr>
          <w:rFonts w:eastAsia="Calibri" w:cstheme="majorBidi"/>
        </w:rPr>
        <w:t xml:space="preserve">do të përgatitet një raport për rritjen e konsistencës dhe integrimin e politikave e masave të sigurisë në të gjitha nivelet e administratës, si dhe për përdorimin më të mirë të burimeve. </w:t>
      </w:r>
    </w:p>
    <w:p w14:paraId="2EA59DEA" w14:textId="050F4DFA"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bCs/>
        </w:rPr>
        <w:t>Monitorimi do të kryhet bazuar në raporte gjashtëmujore dhe vjetore për</w:t>
      </w:r>
      <w:r w:rsidR="00F54824" w:rsidRPr="002128A6">
        <w:rPr>
          <w:rFonts w:ascii="Garamond" w:eastAsia="Calibri" w:hAnsi="Garamond" w:cstheme="majorBidi"/>
          <w:bCs/>
        </w:rPr>
        <w:t xml:space="preserve"> </w:t>
      </w:r>
      <w:r w:rsidRPr="002128A6">
        <w:rPr>
          <w:rFonts w:ascii="Garamond" w:eastAsia="Calibri" w:hAnsi="Garamond" w:cstheme="majorBidi"/>
        </w:rPr>
        <w:t xml:space="preserve">monitorimin dhe koordinimin e zbatimit të objektivave dhe masave të planit të veprimit. Përmirësimet në sistemin e monitorimit dhe vlerësimit synojnë të lehtësojnë/mbështesin harmonizimin e kornizës strategjike dhe prioriteteve në fusha të ndryshme dhe të informojnë politikat e vendit lidhur me adresimin e sfidave kundër krimit të organizuar dhe krimeve të rënda. Forcimi dhe zgjerimi i kornizës statistikore në Ministrinë e </w:t>
      </w:r>
      <w:r w:rsidRPr="002128A6">
        <w:rPr>
          <w:rFonts w:ascii="Garamond" w:eastAsia="Times New Roman" w:hAnsi="Garamond" w:cstheme="majorBidi"/>
        </w:rPr>
        <w:t>Brendshme,</w:t>
      </w:r>
      <w:r w:rsidRPr="002128A6">
        <w:rPr>
          <w:rFonts w:ascii="Garamond" w:eastAsia="Calibri" w:hAnsi="Garamond" w:cstheme="majorBidi"/>
        </w:rPr>
        <w:t xml:space="preserve"> Drejtorinë e Përgjithshme të Policisë së Shtetit dhe institucione të tjera përgjegjëse do të lehtësojë hartimin e politikave të bazuara në evidenca/të dhëna, si dhe do të mundësojë vlerësimin objektiv të arritjes së objektivave. </w:t>
      </w:r>
    </w:p>
    <w:p w14:paraId="1C576AA4" w14:textId="77777777" w:rsidR="00BE490C" w:rsidRPr="002128A6" w:rsidRDefault="00BE490C" w:rsidP="0025426C">
      <w:pPr>
        <w:pStyle w:val="Heading3"/>
        <w:spacing w:before="0" w:after="0" w:line="240" w:lineRule="auto"/>
        <w:ind w:firstLine="284"/>
        <w:jc w:val="both"/>
        <w:rPr>
          <w:rFonts w:ascii="Garamond" w:eastAsia="Calibri" w:hAnsi="Garamond"/>
          <w:b/>
          <w:color w:val="auto"/>
          <w:sz w:val="24"/>
          <w:szCs w:val="24"/>
        </w:rPr>
      </w:pPr>
      <w:bookmarkStart w:id="79" w:name="_Toc227770723"/>
      <w:bookmarkStart w:id="80" w:name="_Toc233371609"/>
      <w:r w:rsidRPr="002128A6">
        <w:rPr>
          <w:rFonts w:ascii="Garamond" w:eastAsia="Calibri" w:hAnsi="Garamond"/>
          <w:b/>
          <w:color w:val="auto"/>
          <w:sz w:val="24"/>
          <w:szCs w:val="24"/>
        </w:rPr>
        <w:t>Raportimi</w:t>
      </w:r>
      <w:bookmarkEnd w:id="79"/>
      <w:bookmarkEnd w:id="80"/>
      <w:r w:rsidRPr="002128A6">
        <w:rPr>
          <w:rFonts w:ascii="Garamond" w:eastAsia="Calibri" w:hAnsi="Garamond"/>
          <w:b/>
          <w:color w:val="auto"/>
          <w:sz w:val="24"/>
          <w:szCs w:val="24"/>
        </w:rPr>
        <w:t xml:space="preserve"> </w:t>
      </w:r>
    </w:p>
    <w:p w14:paraId="60A2DB69" w14:textId="77777777" w:rsidR="00BE490C" w:rsidRPr="002128A6" w:rsidRDefault="00BE490C" w:rsidP="0025426C">
      <w:pPr>
        <w:spacing w:after="0" w:line="240" w:lineRule="auto"/>
        <w:ind w:firstLine="284"/>
        <w:jc w:val="both"/>
        <w:rPr>
          <w:rFonts w:ascii="Garamond" w:eastAsia="Calibri" w:hAnsi="Garamond" w:cstheme="majorBidi"/>
          <w:b/>
        </w:rPr>
      </w:pPr>
      <w:r w:rsidRPr="002128A6">
        <w:rPr>
          <w:rFonts w:ascii="Garamond" w:eastAsia="Calibri" w:hAnsi="Garamond" w:cstheme="majorBidi"/>
        </w:rPr>
        <w:t xml:space="preserve">Të gjitha institucionet e ngarkuara me zbatimin e Strategjisë Kombëtare për Parandalimin dhe Luftën kundër Krimit të Organizuar dhe Krimeve të Rënda dhe të planit të veprimit, do të hartojnë raporte gjashtëmujore dhe vjetore, në përputhje me detyrimet e përcaktuara në Planin e Veprimit për zbatimin e Strategjisë, si dhe do të hedhin të dhënat në sistemin IPSIS. </w:t>
      </w:r>
      <w:r w:rsidRPr="002128A6">
        <w:rPr>
          <w:rFonts w:ascii="Garamond" w:hAnsi="Garamond" w:cstheme="majorBidi"/>
        </w:rPr>
        <w:t xml:space="preserve">Ministria e Punëve të Brendshme </w:t>
      </w:r>
      <w:r w:rsidRPr="002128A6">
        <w:rPr>
          <w:rFonts w:ascii="Garamond" w:eastAsia="Calibri" w:hAnsi="Garamond" w:cstheme="majorBidi"/>
        </w:rPr>
        <w:t xml:space="preserve">do të jetë institucioni kryesor, që do të mbledhë, do të përpunojë dhe do të analizojë raportet periodike gjashtëmujore dhe vjetore që do të përcillen nga të gjitha institucionet e ngarkuara me përmbushjen e objektivave dhe masave përkatëse. </w:t>
      </w:r>
    </w:p>
    <w:p w14:paraId="62C83012" w14:textId="6AFB691D" w:rsidR="00BE490C" w:rsidRPr="002128A6" w:rsidRDefault="00BE490C" w:rsidP="0025426C">
      <w:pPr>
        <w:shd w:val="clear" w:color="auto" w:fill="FFFFFF"/>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Institucionet duhet të raportojnë periodikisht çdo 6 muaj mbi zbatimin e masave, përmes të dhënave të raportuara në Sistemin e Integruar të Informacionit të Planifikimit Strategjik (IPSIS) pranë Këshillit të Ministrave dhe te Sekretariati Teknik Ndërinstitucional. </w:t>
      </w:r>
    </w:p>
    <w:p w14:paraId="34E91614"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Përveç monitorimit të vazhdueshëm, progresi në arritjen e objektivave të Strategjisë Kombëtare për Parandalimin dhe Luftën kundër Krimit të Organizuar dhe Krimeve të Rënda do të matet përmes dy metodave të vlerësimit: </w:t>
      </w:r>
    </w:p>
    <w:p w14:paraId="6D00DA8D"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Vlerësimi afatmesëm kryhet në fund të periudhës dyvjeçare, në fund të vitit 2028 dhe do të analizojë rezultatet e arritura, menaxhimin e burimeve dhe cilësinë e zbatimit. Kjo analizë do të tregojë ndryshimet në kontekstin e përgjithshëm ekonomik dhe social, do të vlerësojë nëse objektivat mbeten relevantë duke bërë krahasimin me kontekstin fillestar dhe do të identifikojë veprimet e nevojshme. </w:t>
      </w:r>
    </w:p>
    <w:p w14:paraId="54CD3288" w14:textId="77777777"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Të gjitha raportet gjashtëmujore, vjetore dhe raporti përfundimtar i vlerësimit do të bëhen publike. Në rast se raportet përmbajnë të dhëna konfidenciale, do të përgatitet një version i përshtatshëm për publikim.</w:t>
      </w:r>
    </w:p>
    <w:p w14:paraId="5F18670B" w14:textId="0222E5FB"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Bazuar në këtë vlerësim, do të hartohet Plani i Veprimit për 2029</w:t>
      </w:r>
      <w:r w:rsidR="00E32A1B" w:rsidRPr="002128A6">
        <w:rPr>
          <w:rFonts w:ascii="Garamond" w:eastAsia="Calibri" w:hAnsi="Garamond" w:cstheme="majorBidi"/>
        </w:rPr>
        <w:t>–</w:t>
      </w:r>
      <w:r w:rsidRPr="002128A6">
        <w:rPr>
          <w:rFonts w:ascii="Garamond" w:eastAsia="Calibri" w:hAnsi="Garamond" w:cstheme="majorBidi"/>
        </w:rPr>
        <w:t>2030 për të arritur objektivat e përcaktuara në strategji.</w:t>
      </w:r>
      <w:r w:rsidR="00F54824" w:rsidRPr="002128A6">
        <w:rPr>
          <w:rFonts w:ascii="Garamond" w:eastAsia="Calibri" w:hAnsi="Garamond" w:cstheme="majorBidi"/>
        </w:rPr>
        <w:t xml:space="preserve"> </w:t>
      </w:r>
    </w:p>
    <w:p w14:paraId="4635F074" w14:textId="0563A1E3" w:rsidR="00BE490C" w:rsidRPr="002128A6" w:rsidRDefault="00BE490C" w:rsidP="0025426C">
      <w:pPr>
        <w:spacing w:after="0" w:line="240" w:lineRule="auto"/>
        <w:ind w:firstLine="284"/>
        <w:jc w:val="both"/>
        <w:rPr>
          <w:rFonts w:ascii="Garamond" w:eastAsia="Calibri" w:hAnsi="Garamond" w:cstheme="majorBidi"/>
        </w:rPr>
      </w:pPr>
      <w:r w:rsidRPr="002128A6">
        <w:rPr>
          <w:rFonts w:ascii="Garamond" w:eastAsia="Calibri" w:hAnsi="Garamond" w:cstheme="majorBidi"/>
        </w:rPr>
        <w:t xml:space="preserve">Vlerësimi përfundimtar, pas përfundimit të periudhës së zbatimit, do të analizojë të gjithë Strategjinë dhe ndikimin e saj të përgjithshëm, duke vlerësuar rezultatet e masave të ndërmarra, burimet e investuara dhe shkallën në të cilën janë arritur efektet e pritura. Vlerësimi përfundimtar do të kryhet duke analizuar të dhëna nga burime të ndryshme, përfshirë konstatimet e monitorimit të performancës dhe vlerësimit të ndikimit të programeve aktive në luftën kundër krimit të organizuar. Brenda kësaj kornize, si referencë do të shërbejnë edhe raportet e vlerësimit të ndikimit, si dhe raportet </w:t>
      </w:r>
      <w:r w:rsidRPr="002128A6">
        <w:rPr>
          <w:rFonts w:ascii="Garamond" w:eastAsia="Calibri" w:hAnsi="Garamond" w:cstheme="majorBidi"/>
        </w:rPr>
        <w:lastRenderedPageBreak/>
        <w:t xml:space="preserve">dhe studimet e kryera nga shoqëria civile dhe donatorët. Monitorimi i brendshëm do të vlerësojë progresin e bërë bazuar në performancën e </w:t>
      </w:r>
      <w:r w:rsidR="00625460" w:rsidRPr="002128A6">
        <w:rPr>
          <w:rFonts w:ascii="Garamond" w:eastAsia="Calibri" w:hAnsi="Garamond" w:cstheme="majorBidi"/>
        </w:rPr>
        <w:t>treguesve</w:t>
      </w:r>
      <w:r w:rsidRPr="002128A6">
        <w:rPr>
          <w:rFonts w:ascii="Garamond" w:eastAsia="Calibri" w:hAnsi="Garamond" w:cstheme="majorBidi"/>
        </w:rPr>
        <w:t>:</w:t>
      </w:r>
    </w:p>
    <w:p w14:paraId="1E567BB8" w14:textId="0FDD8E07" w:rsidR="00BE490C" w:rsidRPr="002128A6" w:rsidRDefault="00625460" w:rsidP="0025426C">
      <w:pPr>
        <w:spacing w:after="0" w:line="240" w:lineRule="auto"/>
        <w:ind w:firstLine="284"/>
        <w:jc w:val="both"/>
        <w:rPr>
          <w:rFonts w:ascii="Garamond" w:eastAsia="Calibri" w:hAnsi="Garamond" w:cstheme="majorBidi"/>
          <w:b/>
          <w:bCs/>
          <w:i/>
          <w:iCs/>
        </w:rPr>
      </w:pPr>
      <w:r w:rsidRPr="002128A6">
        <w:rPr>
          <w:rFonts w:ascii="Garamond" w:eastAsia="Calibri" w:hAnsi="Garamond" w:cstheme="majorBidi"/>
          <w:b/>
          <w:bCs/>
          <w:i/>
          <w:iCs/>
        </w:rPr>
        <w:t>Treguesit</w:t>
      </w:r>
      <w:r w:rsidR="00BE490C" w:rsidRPr="002128A6">
        <w:rPr>
          <w:rFonts w:ascii="Garamond" w:eastAsia="Calibri" w:hAnsi="Garamond" w:cstheme="majorBidi"/>
          <w:b/>
          <w:bCs/>
          <w:i/>
          <w:iCs/>
        </w:rPr>
        <w:t xml:space="preserve"> e brendshëm janë ato të parashikuar sipas objektivave specifikë</w:t>
      </w:r>
    </w:p>
    <w:p w14:paraId="76D4F2B2" w14:textId="70F27686" w:rsidR="00BE490C" w:rsidRPr="002128A6" w:rsidRDefault="00E32A1B" w:rsidP="0025426C">
      <w:pPr>
        <w:spacing w:after="0" w:line="240" w:lineRule="auto"/>
        <w:ind w:firstLine="284"/>
        <w:jc w:val="both"/>
        <w:rPr>
          <w:rFonts w:ascii="Garamond" w:eastAsia="Calibri" w:hAnsi="Garamond" w:cstheme="majorBidi"/>
          <w:b/>
          <w:bCs/>
          <w:i/>
          <w:iCs/>
        </w:rPr>
      </w:pPr>
      <w:r w:rsidRPr="002128A6">
        <w:rPr>
          <w:rFonts w:ascii="Garamond" w:eastAsia="Calibri" w:hAnsi="Garamond" w:cstheme="majorBidi"/>
          <w:b/>
          <w:bCs/>
          <w:i/>
          <w:iCs/>
        </w:rPr>
        <w:t>Treguesit</w:t>
      </w:r>
      <w:r w:rsidR="00BE490C" w:rsidRPr="002128A6">
        <w:rPr>
          <w:rFonts w:ascii="Garamond" w:eastAsia="Calibri" w:hAnsi="Garamond" w:cstheme="majorBidi"/>
          <w:b/>
          <w:bCs/>
          <w:i/>
          <w:iCs/>
        </w:rPr>
        <w:t xml:space="preserve"> e jashtëm do të jenë:</w:t>
      </w:r>
    </w:p>
    <w:p w14:paraId="113EAE87" w14:textId="485ECEF4"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bookmarkStart w:id="81" w:name="_Toc60216537"/>
      <w:r w:rsidRPr="002128A6">
        <w:rPr>
          <w:rFonts w:ascii="Garamond" w:hAnsi="Garamond" w:cs="Aptos"/>
          <w:kern w:val="0"/>
        </w:rPr>
        <w:t xml:space="preserve">- </w:t>
      </w:r>
      <w:r w:rsidRPr="002128A6">
        <w:rPr>
          <w:rFonts w:ascii="Garamond" w:hAnsi="Garamond" w:cs="Garamond"/>
          <w:kern w:val="0"/>
        </w:rPr>
        <w:t>vlerësime të publikut, qytetarëve dhe bizneseve të ndryshme, përmes matjes së perceptimit publik duke përdorur pyetësorë, intervista dhe organizimin e forumeve të hapura;</w:t>
      </w:r>
    </w:p>
    <w:p w14:paraId="2CBA2C2A" w14:textId="56EC827B"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Aptos"/>
          <w:kern w:val="0"/>
        </w:rPr>
        <w:t xml:space="preserve">- </w:t>
      </w:r>
      <w:r w:rsidRPr="002128A6">
        <w:rPr>
          <w:rFonts w:ascii="Garamond" w:hAnsi="Garamond" w:cs="Garamond"/>
          <w:kern w:val="0"/>
        </w:rPr>
        <w:t>vlerësime të institucioneve ndërkombëtare, në raporte ose buletine periodike;</w:t>
      </w:r>
    </w:p>
    <w:p w14:paraId="7D3D06CB" w14:textId="74DCD4B6" w:rsidR="0025426C" w:rsidRPr="002128A6" w:rsidRDefault="0025426C" w:rsidP="0025426C">
      <w:pPr>
        <w:autoSpaceDE w:val="0"/>
        <w:autoSpaceDN w:val="0"/>
        <w:adjustRightInd w:val="0"/>
        <w:spacing w:after="0" w:line="240" w:lineRule="auto"/>
        <w:ind w:firstLine="284"/>
        <w:jc w:val="both"/>
        <w:rPr>
          <w:rFonts w:ascii="Garamond" w:hAnsi="Garamond" w:cs="Garamond"/>
          <w:kern w:val="0"/>
        </w:rPr>
      </w:pPr>
      <w:r w:rsidRPr="002128A6">
        <w:rPr>
          <w:rFonts w:ascii="Garamond" w:hAnsi="Garamond" w:cs="Aptos"/>
          <w:kern w:val="0"/>
        </w:rPr>
        <w:t xml:space="preserve">- </w:t>
      </w:r>
      <w:r w:rsidRPr="002128A6">
        <w:rPr>
          <w:rFonts w:ascii="Garamond" w:hAnsi="Garamond" w:cs="Garamond"/>
          <w:kern w:val="0"/>
        </w:rPr>
        <w:t>vlerësime të vendeve të rajonit për indikatorët e minimizimit të krimit të organizuar dhe krimeve të rënda në Shqipëri.</w:t>
      </w:r>
    </w:p>
    <w:p w14:paraId="1B5BA7DC" w14:textId="77777777" w:rsidR="00E32A1B" w:rsidRPr="002128A6" w:rsidRDefault="00E32A1B" w:rsidP="00E32A1B">
      <w:pPr>
        <w:pStyle w:val="Heading1"/>
        <w:spacing w:before="0" w:after="0" w:line="240" w:lineRule="auto"/>
        <w:jc w:val="both"/>
        <w:rPr>
          <w:rFonts w:ascii="Garamond" w:hAnsi="Garamond"/>
          <w:b/>
          <w:bCs/>
          <w:color w:val="auto"/>
          <w:sz w:val="24"/>
          <w:szCs w:val="24"/>
        </w:rPr>
      </w:pPr>
      <w:bookmarkStart w:id="82" w:name="_Toc227770724"/>
      <w:bookmarkStart w:id="83" w:name="_Toc233371610"/>
      <w:bookmarkEnd w:id="81"/>
    </w:p>
    <w:p w14:paraId="60F06846" w14:textId="01DD2185" w:rsidR="00E32A1B" w:rsidRPr="002128A6" w:rsidRDefault="00BE490C" w:rsidP="00E32A1B">
      <w:pPr>
        <w:pStyle w:val="Heading1"/>
        <w:spacing w:before="0" w:after="0" w:line="240" w:lineRule="auto"/>
        <w:jc w:val="center"/>
        <w:rPr>
          <w:rFonts w:ascii="Garamond" w:hAnsi="Garamond"/>
          <w:color w:val="auto"/>
          <w:sz w:val="24"/>
          <w:szCs w:val="24"/>
        </w:rPr>
      </w:pPr>
      <w:r w:rsidRPr="002128A6">
        <w:rPr>
          <w:rFonts w:ascii="Garamond" w:hAnsi="Garamond"/>
          <w:color w:val="auto"/>
          <w:sz w:val="24"/>
          <w:szCs w:val="24"/>
        </w:rPr>
        <w:t>PJESA IV</w:t>
      </w:r>
    </w:p>
    <w:p w14:paraId="71B87465" w14:textId="1911F4FE" w:rsidR="00BE490C" w:rsidRPr="002128A6" w:rsidRDefault="00BE490C" w:rsidP="00E32A1B">
      <w:pPr>
        <w:pStyle w:val="Heading1"/>
        <w:spacing w:before="0" w:after="0" w:line="240" w:lineRule="auto"/>
        <w:jc w:val="center"/>
        <w:rPr>
          <w:rFonts w:ascii="Garamond" w:hAnsi="Garamond"/>
          <w:color w:val="auto"/>
          <w:sz w:val="24"/>
          <w:szCs w:val="24"/>
        </w:rPr>
      </w:pPr>
      <w:r w:rsidRPr="002128A6">
        <w:rPr>
          <w:rFonts w:ascii="Garamond" w:hAnsi="Garamond"/>
          <w:color w:val="auto"/>
          <w:sz w:val="24"/>
          <w:szCs w:val="24"/>
        </w:rPr>
        <w:t>ANALIZA BUXHETORE</w:t>
      </w:r>
      <w:bookmarkEnd w:id="82"/>
      <w:bookmarkEnd w:id="83"/>
    </w:p>
    <w:p w14:paraId="04BD3D0A" w14:textId="77777777" w:rsidR="00E32A1B" w:rsidRPr="002128A6" w:rsidRDefault="00E32A1B" w:rsidP="00E32A1B">
      <w:pPr>
        <w:spacing w:after="0" w:line="240" w:lineRule="auto"/>
        <w:ind w:firstLine="284"/>
        <w:jc w:val="center"/>
        <w:rPr>
          <w:rFonts w:ascii="Garamond" w:hAnsi="Garamond" w:cstheme="majorBidi"/>
        </w:rPr>
      </w:pPr>
    </w:p>
    <w:p w14:paraId="215E39CF" w14:textId="17D73CAC" w:rsidR="00BE490C" w:rsidRPr="002128A6" w:rsidRDefault="00BE490C" w:rsidP="0025426C">
      <w:pPr>
        <w:spacing w:after="0" w:line="240" w:lineRule="auto"/>
        <w:ind w:firstLine="284"/>
        <w:jc w:val="both"/>
        <w:rPr>
          <w:rFonts w:ascii="Garamond" w:hAnsi="Garamond" w:cstheme="majorBidi"/>
        </w:rPr>
      </w:pPr>
      <w:r w:rsidRPr="002128A6">
        <w:rPr>
          <w:rFonts w:ascii="Garamond" w:hAnsi="Garamond" w:cstheme="majorBidi"/>
        </w:rPr>
        <w:t>Ky kapitull paraqet shpërndarjen e kostove indikative dhe burimet financiare për financimin e aktiviteteve të Planit të Veprimit për zbatimin e Strategjisë Kombëtare për Parandalimin dhe Luftimin e Krimit të Organizuar dhe Krimeve të Rënda 2026</w:t>
      </w:r>
      <w:r w:rsidR="00FD2799" w:rsidRPr="002128A6">
        <w:rPr>
          <w:rFonts w:ascii="Garamond" w:hAnsi="Garamond" w:cstheme="majorBidi"/>
        </w:rPr>
        <w:t>–</w:t>
      </w:r>
      <w:r w:rsidRPr="002128A6">
        <w:rPr>
          <w:rFonts w:ascii="Garamond" w:hAnsi="Garamond" w:cstheme="majorBidi"/>
        </w:rPr>
        <w:t>2030. Llogaritja e kostos së Strategjisë është kryer bazuar në metodologjinë dhe praktikën e planifikimit të buxhetit, ndërsa vlerësimi i kostove indikative bazohet në objektivat e vendosur, si dhe masat dhe aktivitetet e identifikuara për çdo aktivitet. Llogaritjet buxhetore janë bërë duke përdorur instrumentin e rekomanduar nga IPSIS, të përshtatur sipas udhëzimeve përkatëse.</w:t>
      </w:r>
    </w:p>
    <w:p w14:paraId="36DC7219" w14:textId="4E652811" w:rsidR="00BE490C" w:rsidRPr="002128A6" w:rsidRDefault="00BE490C" w:rsidP="0025426C">
      <w:pPr>
        <w:pStyle w:val="xmsonormal"/>
        <w:shd w:val="clear" w:color="auto" w:fill="FFFFFF"/>
        <w:spacing w:before="0" w:beforeAutospacing="0" w:after="0" w:afterAutospacing="0"/>
        <w:ind w:firstLine="284"/>
        <w:jc w:val="both"/>
        <w:rPr>
          <w:rFonts w:ascii="Garamond" w:hAnsi="Garamond" w:cstheme="majorBidi"/>
        </w:rPr>
      </w:pPr>
      <w:bookmarkStart w:id="84" w:name="_Hlk210115687"/>
      <w:r w:rsidRPr="002128A6">
        <w:rPr>
          <w:rFonts w:ascii="Garamond" w:hAnsi="Garamond" w:cstheme="majorBidi"/>
        </w:rPr>
        <w:t xml:space="preserve">Kostoja totale e vlerësuar për zbatimin e </w:t>
      </w:r>
      <w:r w:rsidRPr="002128A6">
        <w:rPr>
          <w:rFonts w:ascii="Garamond" w:hAnsi="Garamond" w:cstheme="majorBidi"/>
          <w:b/>
        </w:rPr>
        <w:t>Planit të Veprimit 2026</w:t>
      </w:r>
      <w:r w:rsidR="00C05B3B" w:rsidRPr="002128A6">
        <w:rPr>
          <w:rFonts w:ascii="Garamond" w:hAnsi="Garamond" w:cstheme="majorBidi"/>
          <w:b/>
        </w:rPr>
        <w:t>–</w:t>
      </w:r>
      <w:r w:rsidRPr="002128A6">
        <w:rPr>
          <w:rFonts w:ascii="Garamond" w:hAnsi="Garamond" w:cstheme="majorBidi"/>
          <w:b/>
        </w:rPr>
        <w:t xml:space="preserve">2028 të Strategjisë Kombëtare për Parandalimin dhe Luftimin e Krimit të Organizuar dhe Krimeve të Rënda </w:t>
      </w:r>
      <w:r w:rsidRPr="002128A6">
        <w:rPr>
          <w:rFonts w:ascii="Garamond" w:hAnsi="Garamond"/>
          <w:b/>
        </w:rPr>
        <w:t>2026</w:t>
      </w:r>
      <w:r w:rsidR="002E2466" w:rsidRPr="002128A6">
        <w:rPr>
          <w:rFonts w:ascii="Garamond" w:hAnsi="Garamond"/>
          <w:b/>
        </w:rPr>
        <w:t>–</w:t>
      </w:r>
      <w:r w:rsidRPr="002128A6">
        <w:rPr>
          <w:rFonts w:ascii="Garamond" w:hAnsi="Garamond"/>
          <w:b/>
        </w:rPr>
        <w:t xml:space="preserve">2030 </w:t>
      </w:r>
      <w:r w:rsidRPr="002128A6">
        <w:rPr>
          <w:rFonts w:ascii="Garamond" w:hAnsi="Garamond"/>
        </w:rPr>
        <w:t>është</w:t>
      </w:r>
      <w:r w:rsidR="000704A0" w:rsidRPr="002128A6">
        <w:rPr>
          <w:rFonts w:ascii="Garamond" w:hAnsi="Garamond"/>
        </w:rPr>
        <w:t xml:space="preserve"> 37,530,821,822</w:t>
      </w:r>
      <w:r w:rsidR="00F54824" w:rsidRPr="002128A6">
        <w:rPr>
          <w:rFonts w:ascii="Garamond" w:hAnsi="Garamond"/>
        </w:rPr>
        <w:t xml:space="preserve"> </w:t>
      </w:r>
      <w:r w:rsidR="007D462A" w:rsidRPr="002128A6">
        <w:rPr>
          <w:rFonts w:ascii="Garamond" w:hAnsi="Garamond"/>
          <w:b/>
          <w:bCs/>
        </w:rPr>
        <w:t>lekë</w:t>
      </w:r>
      <w:r w:rsidRPr="002128A6">
        <w:rPr>
          <w:rFonts w:ascii="Garamond" w:hAnsi="Garamond"/>
          <w:b/>
          <w:bCs/>
        </w:rPr>
        <w:t>.</w:t>
      </w:r>
      <w:r w:rsidRPr="002128A6">
        <w:rPr>
          <w:rFonts w:ascii="Garamond" w:hAnsi="Garamond" w:cstheme="majorBidi"/>
        </w:rPr>
        <w:t xml:space="preserve"> </w:t>
      </w:r>
    </w:p>
    <w:p w14:paraId="4211EFE4" w14:textId="1BF2C31D"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 xml:space="preserve">Kursi mesatar referues i këmbimit është llogaritur në 93.1 </w:t>
      </w:r>
      <w:r w:rsidR="00FA5097" w:rsidRPr="002128A6">
        <w:rPr>
          <w:rFonts w:ascii="Garamond" w:eastAsia="Times New Roman" w:hAnsi="Garamond" w:cstheme="majorBidi"/>
        </w:rPr>
        <w:t xml:space="preserve">lekë </w:t>
      </w:r>
      <w:r w:rsidRPr="002128A6">
        <w:rPr>
          <w:rFonts w:ascii="Garamond" w:eastAsia="Times New Roman" w:hAnsi="Garamond" w:cstheme="majorBidi"/>
        </w:rPr>
        <w:t xml:space="preserve">për 1 </w:t>
      </w:r>
      <w:r w:rsidR="00FA5097" w:rsidRPr="002128A6">
        <w:rPr>
          <w:rFonts w:ascii="Garamond" w:eastAsia="Times New Roman" w:hAnsi="Garamond" w:cstheme="majorBidi"/>
        </w:rPr>
        <w:t>euro</w:t>
      </w:r>
      <w:r w:rsidRPr="002128A6">
        <w:rPr>
          <w:rFonts w:ascii="Garamond" w:eastAsia="Times New Roman" w:hAnsi="Garamond" w:cstheme="majorBidi"/>
        </w:rPr>
        <w:t xml:space="preserve">. </w:t>
      </w:r>
    </w:p>
    <w:p w14:paraId="44D5165F" w14:textId="6E8E1B24" w:rsidR="00BE490C" w:rsidRPr="002128A6" w:rsidRDefault="00BE490C" w:rsidP="0025426C">
      <w:pPr>
        <w:spacing w:after="0" w:line="240" w:lineRule="auto"/>
        <w:ind w:firstLine="284"/>
        <w:jc w:val="both"/>
        <w:rPr>
          <w:rFonts w:ascii="Garamond" w:eastAsia="Times New Roman" w:hAnsi="Garamond" w:cstheme="majorBidi"/>
          <w:i/>
          <w:iCs/>
          <w:kern w:val="0"/>
          <w14:ligatures w14:val="none"/>
        </w:rPr>
      </w:pPr>
      <w:bookmarkStart w:id="85" w:name="_Hlk204849148"/>
      <w:bookmarkEnd w:id="85"/>
      <w:r w:rsidRPr="002128A6">
        <w:rPr>
          <w:rFonts w:ascii="Garamond" w:eastAsia="Times New Roman" w:hAnsi="Garamond" w:cstheme="majorBidi"/>
          <w:b/>
          <w:bCs/>
          <w:kern w:val="0"/>
          <w14:ligatures w14:val="none"/>
        </w:rPr>
        <w:t xml:space="preserve">Tabela 1: </w:t>
      </w:r>
      <w:r w:rsidRPr="002128A6">
        <w:rPr>
          <w:rFonts w:ascii="Garamond" w:eastAsia="Times New Roman" w:hAnsi="Garamond" w:cstheme="majorBidi"/>
          <w:i/>
          <w:iCs/>
          <w:kern w:val="0"/>
          <w14:ligatures w14:val="none"/>
        </w:rPr>
        <w:t>Kostot totale, burimet e financimit dhe Boshllëku Financiar për periudhën 2026</w:t>
      </w:r>
      <w:r w:rsidR="00FA5097" w:rsidRPr="002128A6">
        <w:rPr>
          <w:rFonts w:ascii="Garamond" w:eastAsia="Times New Roman" w:hAnsi="Garamond" w:cstheme="majorBidi"/>
          <w:i/>
          <w:iCs/>
          <w:kern w:val="0"/>
          <w14:ligatures w14:val="none"/>
        </w:rPr>
        <w:t>–</w:t>
      </w:r>
      <w:r w:rsidRPr="002128A6">
        <w:rPr>
          <w:rFonts w:ascii="Garamond" w:eastAsia="Times New Roman" w:hAnsi="Garamond" w:cstheme="majorBidi"/>
          <w:i/>
          <w:iCs/>
          <w:kern w:val="0"/>
          <w14:ligatures w14:val="none"/>
        </w:rPr>
        <w:t xml:space="preserve">2030. </w:t>
      </w:r>
    </w:p>
    <w:p w14:paraId="5CB43913" w14:textId="08FE77A1" w:rsidR="00FA5097" w:rsidRPr="002128A6" w:rsidRDefault="00FA5097" w:rsidP="0025426C">
      <w:pPr>
        <w:spacing w:after="0" w:line="240" w:lineRule="auto"/>
        <w:ind w:firstLine="284"/>
        <w:jc w:val="both"/>
        <w:rPr>
          <w:rFonts w:ascii="Garamond" w:eastAsia="Times New Roman" w:hAnsi="Garamond" w:cstheme="majorBidi"/>
          <w:i/>
          <w:iCs/>
          <w:kern w:val="0"/>
          <w14:ligatures w14:val="none"/>
        </w:rPr>
      </w:pPr>
    </w:p>
    <w:tbl>
      <w:tblPr>
        <w:tblW w:w="9814" w:type="dxa"/>
        <w:tblLook w:val="04A0" w:firstRow="1" w:lastRow="0" w:firstColumn="1" w:lastColumn="0" w:noHBand="0" w:noVBand="1"/>
      </w:tblPr>
      <w:tblGrid>
        <w:gridCol w:w="1108"/>
        <w:gridCol w:w="1789"/>
        <w:gridCol w:w="1444"/>
        <w:gridCol w:w="1425"/>
        <w:gridCol w:w="1348"/>
        <w:gridCol w:w="1344"/>
        <w:gridCol w:w="1356"/>
      </w:tblGrid>
      <w:tr w:rsidR="00F54824" w:rsidRPr="002128A6" w14:paraId="2ED87AB8" w14:textId="77777777" w:rsidTr="007D462A">
        <w:trPr>
          <w:trHeight w:val="20"/>
        </w:trPr>
        <w:tc>
          <w:tcPr>
            <w:tcW w:w="8458" w:type="dxa"/>
            <w:gridSpan w:val="6"/>
            <w:tcBorders>
              <w:top w:val="nil"/>
              <w:left w:val="nil"/>
              <w:bottom w:val="nil"/>
              <w:right w:val="nil"/>
            </w:tcBorders>
            <w:noWrap/>
            <w:vAlign w:val="center"/>
            <w:hideMark/>
          </w:tcPr>
          <w:p w14:paraId="6FC78A39" w14:textId="72F9A725"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Nevojat </w:t>
            </w:r>
            <w:r w:rsidR="00FA5097" w:rsidRPr="002128A6">
              <w:rPr>
                <w:rFonts w:ascii="Garamond" w:eastAsia="Times New Roman" w:hAnsi="Garamond" w:cs="Arial"/>
                <w:b/>
                <w:bCs/>
                <w:kern w:val="0"/>
                <w:sz w:val="20"/>
                <w14:ligatures w14:val="none"/>
              </w:rPr>
              <w:t xml:space="preserve">kapitale </w:t>
            </w:r>
            <w:r w:rsidRPr="002128A6">
              <w:rPr>
                <w:rFonts w:ascii="Garamond" w:eastAsia="Times New Roman" w:hAnsi="Garamond" w:cs="Arial"/>
                <w:b/>
                <w:bCs/>
                <w:kern w:val="0"/>
                <w:sz w:val="20"/>
                <w14:ligatures w14:val="none"/>
              </w:rPr>
              <w:t xml:space="preserve">(në </w:t>
            </w:r>
            <w:r w:rsidR="00FA5097" w:rsidRPr="002128A6">
              <w:rPr>
                <w:rFonts w:ascii="Garamond" w:eastAsia="Times New Roman" w:hAnsi="Garamond" w:cs="Arial"/>
                <w:b/>
                <w:bCs/>
                <w:kern w:val="0"/>
                <w:sz w:val="20"/>
                <w14:ligatures w14:val="none"/>
              </w:rPr>
              <w:t>lekë</w:t>
            </w:r>
            <w:r w:rsidRPr="002128A6">
              <w:rPr>
                <w:rFonts w:ascii="Garamond" w:eastAsia="Times New Roman" w:hAnsi="Garamond" w:cs="Arial"/>
                <w:b/>
                <w:bCs/>
                <w:kern w:val="0"/>
                <w:sz w:val="20"/>
                <w14:ligatures w14:val="none"/>
              </w:rPr>
              <w:t>)</w:t>
            </w:r>
          </w:p>
        </w:tc>
        <w:tc>
          <w:tcPr>
            <w:tcW w:w="1356" w:type="dxa"/>
            <w:tcBorders>
              <w:top w:val="nil"/>
              <w:left w:val="nil"/>
              <w:bottom w:val="nil"/>
              <w:right w:val="nil"/>
            </w:tcBorders>
            <w:noWrap/>
            <w:vAlign w:val="bottom"/>
            <w:hideMark/>
          </w:tcPr>
          <w:p w14:paraId="550EAB8F" w14:textId="77777777" w:rsidR="006F72C1" w:rsidRPr="002128A6" w:rsidRDefault="006F72C1" w:rsidP="000E3629">
            <w:pPr>
              <w:spacing w:after="0" w:line="240" w:lineRule="auto"/>
              <w:jc w:val="center"/>
              <w:rPr>
                <w:rFonts w:ascii="Garamond" w:eastAsia="Times New Roman" w:hAnsi="Garamond" w:cs="Arial"/>
                <w:b/>
                <w:bCs/>
                <w:kern w:val="0"/>
                <w:sz w:val="20"/>
                <w14:ligatures w14:val="none"/>
              </w:rPr>
            </w:pPr>
          </w:p>
        </w:tc>
      </w:tr>
      <w:tr w:rsidR="00F54824" w:rsidRPr="002128A6" w14:paraId="045D0C2D" w14:textId="77777777" w:rsidTr="007D462A">
        <w:trPr>
          <w:trHeight w:val="20"/>
        </w:trPr>
        <w:tc>
          <w:tcPr>
            <w:tcW w:w="1108" w:type="dxa"/>
            <w:vMerge w:val="restart"/>
            <w:tcBorders>
              <w:top w:val="single" w:sz="8" w:space="0" w:color="auto"/>
              <w:left w:val="single" w:sz="8" w:space="0" w:color="auto"/>
              <w:bottom w:val="single" w:sz="8" w:space="0" w:color="4472C4"/>
              <w:right w:val="nil"/>
            </w:tcBorders>
            <w:shd w:val="clear" w:color="000000" w:fill="4472C4"/>
            <w:vAlign w:val="center"/>
            <w:hideMark/>
          </w:tcPr>
          <w:p w14:paraId="41E8C2A7" w14:textId="59CA492A"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Qëllimi i </w:t>
            </w:r>
            <w:r w:rsidR="003D47DF" w:rsidRPr="002128A6">
              <w:rPr>
                <w:rFonts w:ascii="Garamond" w:eastAsia="Times New Roman" w:hAnsi="Garamond" w:cs="Arial"/>
                <w:b/>
                <w:bCs/>
                <w:kern w:val="0"/>
                <w:sz w:val="20"/>
                <w14:ligatures w14:val="none"/>
              </w:rPr>
              <w:t>politikave</w:t>
            </w:r>
          </w:p>
        </w:tc>
        <w:tc>
          <w:tcPr>
            <w:tcW w:w="1789" w:type="dxa"/>
            <w:vMerge w:val="restart"/>
            <w:tcBorders>
              <w:top w:val="single" w:sz="8" w:space="0" w:color="auto"/>
              <w:left w:val="nil"/>
              <w:bottom w:val="single" w:sz="8" w:space="0" w:color="4472C4"/>
              <w:right w:val="nil"/>
            </w:tcBorders>
            <w:shd w:val="clear" w:color="000000" w:fill="4472C4"/>
            <w:vAlign w:val="center"/>
            <w:hideMark/>
          </w:tcPr>
          <w:p w14:paraId="19806A65" w14:textId="638033CD"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Natyra</w:t>
            </w:r>
            <w:r w:rsidR="005C084B" w:rsidRPr="002128A6">
              <w:rPr>
                <w:rFonts w:ascii="Garamond" w:eastAsia="Times New Roman" w:hAnsi="Garamond" w:cs="Arial"/>
                <w:b/>
                <w:bCs/>
                <w:kern w:val="0"/>
                <w:sz w:val="20"/>
                <w14:ligatures w14:val="none"/>
              </w:rPr>
              <w:t>/</w:t>
            </w:r>
            <w:r w:rsidR="00CD4D1C" w:rsidRPr="002128A6">
              <w:rPr>
                <w:rFonts w:ascii="Garamond" w:eastAsia="Times New Roman" w:hAnsi="Garamond" w:cs="Arial"/>
                <w:b/>
                <w:bCs/>
                <w:kern w:val="0"/>
                <w:sz w:val="20"/>
                <w14:ligatures w14:val="none"/>
              </w:rPr>
              <w:t>tipologjia e kosto</w:t>
            </w:r>
            <w:r w:rsidRPr="002128A6">
              <w:rPr>
                <w:rFonts w:ascii="Garamond" w:eastAsia="Times New Roman" w:hAnsi="Garamond" w:cs="Arial"/>
                <w:b/>
                <w:bCs/>
                <w:kern w:val="0"/>
                <w:sz w:val="20"/>
                <w14:ligatures w14:val="none"/>
              </w:rPr>
              <w:t>ve</w:t>
            </w:r>
          </w:p>
        </w:tc>
        <w:tc>
          <w:tcPr>
            <w:tcW w:w="1444" w:type="dxa"/>
            <w:tcBorders>
              <w:top w:val="single" w:sz="8" w:space="0" w:color="auto"/>
              <w:left w:val="nil"/>
              <w:bottom w:val="nil"/>
              <w:right w:val="nil"/>
            </w:tcBorders>
            <w:shd w:val="clear" w:color="000000" w:fill="4472C4"/>
            <w:vAlign w:val="center"/>
            <w:hideMark/>
          </w:tcPr>
          <w:p w14:paraId="6E7E637B" w14:textId="068A44C4"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Kostoja </w:t>
            </w:r>
            <w:r w:rsidR="003D47DF" w:rsidRPr="002128A6">
              <w:rPr>
                <w:rFonts w:ascii="Garamond" w:eastAsia="Times New Roman" w:hAnsi="Garamond" w:cs="Arial"/>
                <w:b/>
                <w:bCs/>
                <w:kern w:val="0"/>
                <w:sz w:val="20"/>
                <w14:ligatures w14:val="none"/>
              </w:rPr>
              <w:t>totale</w:t>
            </w:r>
          </w:p>
        </w:tc>
        <w:tc>
          <w:tcPr>
            <w:tcW w:w="1425" w:type="dxa"/>
            <w:tcBorders>
              <w:top w:val="single" w:sz="8" w:space="0" w:color="auto"/>
              <w:left w:val="nil"/>
              <w:bottom w:val="nil"/>
              <w:right w:val="nil"/>
            </w:tcBorders>
            <w:shd w:val="clear" w:color="000000" w:fill="4472C4"/>
            <w:vAlign w:val="center"/>
            <w:hideMark/>
          </w:tcPr>
          <w:p w14:paraId="01BB47C5" w14:textId="4A35E84C"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Kostot e </w:t>
            </w:r>
            <w:r w:rsidR="003D47DF" w:rsidRPr="002128A6">
              <w:rPr>
                <w:rFonts w:ascii="Garamond" w:eastAsia="Times New Roman" w:hAnsi="Garamond" w:cs="Arial"/>
                <w:b/>
                <w:bCs/>
                <w:kern w:val="0"/>
                <w:sz w:val="20"/>
                <w14:ligatures w14:val="none"/>
              </w:rPr>
              <w:t>planifikuara</w:t>
            </w:r>
          </w:p>
        </w:tc>
        <w:tc>
          <w:tcPr>
            <w:tcW w:w="1348" w:type="dxa"/>
            <w:tcBorders>
              <w:top w:val="single" w:sz="8" w:space="0" w:color="auto"/>
              <w:left w:val="nil"/>
              <w:bottom w:val="nil"/>
              <w:right w:val="nil"/>
            </w:tcBorders>
            <w:shd w:val="clear" w:color="000000" w:fill="4472C4"/>
            <w:vAlign w:val="center"/>
            <w:hideMark/>
          </w:tcPr>
          <w:p w14:paraId="08BCFB34" w14:textId="051E2D0E"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Kostot e </w:t>
            </w:r>
            <w:r w:rsidR="003D47DF" w:rsidRPr="002128A6">
              <w:rPr>
                <w:rFonts w:ascii="Garamond" w:eastAsia="Times New Roman" w:hAnsi="Garamond" w:cs="Arial"/>
                <w:b/>
                <w:bCs/>
                <w:kern w:val="0"/>
                <w:sz w:val="20"/>
                <w14:ligatures w14:val="none"/>
              </w:rPr>
              <w:t>planifikuara</w:t>
            </w:r>
          </w:p>
        </w:tc>
        <w:tc>
          <w:tcPr>
            <w:tcW w:w="1344" w:type="dxa"/>
            <w:tcBorders>
              <w:top w:val="single" w:sz="8" w:space="0" w:color="auto"/>
              <w:left w:val="nil"/>
              <w:bottom w:val="nil"/>
              <w:right w:val="nil"/>
            </w:tcBorders>
            <w:shd w:val="clear" w:color="000000" w:fill="4472C4"/>
            <w:vAlign w:val="center"/>
            <w:hideMark/>
          </w:tcPr>
          <w:p w14:paraId="54FDBAEE" w14:textId="559E471D"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Kostot e </w:t>
            </w:r>
            <w:r w:rsidR="003D47DF" w:rsidRPr="002128A6">
              <w:rPr>
                <w:rFonts w:ascii="Garamond" w:eastAsia="Times New Roman" w:hAnsi="Garamond" w:cs="Arial"/>
                <w:b/>
                <w:bCs/>
                <w:kern w:val="0"/>
                <w:sz w:val="20"/>
                <w14:ligatures w14:val="none"/>
              </w:rPr>
              <w:t>planifikuara</w:t>
            </w:r>
          </w:p>
        </w:tc>
        <w:tc>
          <w:tcPr>
            <w:tcW w:w="1356" w:type="dxa"/>
            <w:tcBorders>
              <w:top w:val="single" w:sz="8" w:space="0" w:color="auto"/>
              <w:left w:val="nil"/>
              <w:bottom w:val="nil"/>
              <w:right w:val="single" w:sz="8" w:space="0" w:color="auto"/>
            </w:tcBorders>
            <w:shd w:val="clear" w:color="000000" w:fill="4472C4"/>
            <w:vAlign w:val="center"/>
            <w:hideMark/>
          </w:tcPr>
          <w:p w14:paraId="24F92068" w14:textId="7BC2F7E6"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Hendeku </w:t>
            </w:r>
            <w:r w:rsidR="003D47DF" w:rsidRPr="002128A6">
              <w:rPr>
                <w:rFonts w:ascii="Garamond" w:eastAsia="Times New Roman" w:hAnsi="Garamond" w:cs="Arial"/>
                <w:b/>
                <w:bCs/>
                <w:kern w:val="0"/>
                <w:sz w:val="20"/>
                <w14:ligatures w14:val="none"/>
              </w:rPr>
              <w:t>financiar</w:t>
            </w:r>
          </w:p>
        </w:tc>
      </w:tr>
      <w:tr w:rsidR="00F54824" w:rsidRPr="002128A6" w14:paraId="76762C2C" w14:textId="77777777" w:rsidTr="007D462A">
        <w:trPr>
          <w:trHeight w:val="20"/>
        </w:trPr>
        <w:tc>
          <w:tcPr>
            <w:tcW w:w="1108" w:type="dxa"/>
            <w:vMerge/>
            <w:tcBorders>
              <w:top w:val="single" w:sz="8" w:space="0" w:color="auto"/>
              <w:left w:val="single" w:sz="8" w:space="0" w:color="auto"/>
              <w:bottom w:val="single" w:sz="8" w:space="0" w:color="4472C4"/>
              <w:right w:val="nil"/>
            </w:tcBorders>
            <w:vAlign w:val="center"/>
            <w:hideMark/>
          </w:tcPr>
          <w:p w14:paraId="00A8DE63"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789" w:type="dxa"/>
            <w:vMerge/>
            <w:tcBorders>
              <w:top w:val="single" w:sz="8" w:space="0" w:color="auto"/>
              <w:left w:val="nil"/>
              <w:bottom w:val="single" w:sz="8" w:space="0" w:color="4472C4"/>
              <w:right w:val="nil"/>
            </w:tcBorders>
            <w:vAlign w:val="center"/>
            <w:hideMark/>
          </w:tcPr>
          <w:p w14:paraId="69682CBE"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444" w:type="dxa"/>
            <w:tcBorders>
              <w:top w:val="nil"/>
              <w:left w:val="nil"/>
              <w:bottom w:val="nil"/>
              <w:right w:val="nil"/>
            </w:tcBorders>
            <w:shd w:val="clear" w:color="000000" w:fill="4472C4"/>
            <w:vAlign w:val="center"/>
            <w:hideMark/>
          </w:tcPr>
          <w:p w14:paraId="5C895861" w14:textId="6F8BBF20"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2026</w:t>
            </w:r>
            <w:r w:rsidR="00CD4D1C" w:rsidRPr="002128A6">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2030</w:t>
            </w:r>
          </w:p>
        </w:tc>
        <w:tc>
          <w:tcPr>
            <w:tcW w:w="1425" w:type="dxa"/>
            <w:tcBorders>
              <w:top w:val="nil"/>
              <w:left w:val="nil"/>
              <w:bottom w:val="nil"/>
              <w:right w:val="nil"/>
            </w:tcBorders>
            <w:shd w:val="clear" w:color="000000" w:fill="4472C4"/>
            <w:vAlign w:val="center"/>
            <w:hideMark/>
          </w:tcPr>
          <w:p w14:paraId="1C106100" w14:textId="162B183F"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PBA 2026</w:t>
            </w:r>
            <w:r w:rsidR="003D47DF" w:rsidRPr="002128A6">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2028</w:t>
            </w:r>
          </w:p>
        </w:tc>
        <w:tc>
          <w:tcPr>
            <w:tcW w:w="1348" w:type="dxa"/>
            <w:tcBorders>
              <w:top w:val="nil"/>
              <w:left w:val="nil"/>
              <w:bottom w:val="nil"/>
              <w:right w:val="nil"/>
            </w:tcBorders>
            <w:shd w:val="clear" w:color="000000" w:fill="4472C4"/>
            <w:vAlign w:val="center"/>
            <w:hideMark/>
          </w:tcPr>
          <w:p w14:paraId="3B65F5B9" w14:textId="10928A9A"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PBA 2026</w:t>
            </w:r>
            <w:r w:rsidR="003D47DF" w:rsidRPr="002128A6">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2030</w:t>
            </w:r>
          </w:p>
        </w:tc>
        <w:tc>
          <w:tcPr>
            <w:tcW w:w="1344" w:type="dxa"/>
            <w:tcBorders>
              <w:top w:val="nil"/>
              <w:left w:val="nil"/>
              <w:bottom w:val="nil"/>
              <w:right w:val="nil"/>
            </w:tcBorders>
            <w:shd w:val="clear" w:color="000000" w:fill="4472C4"/>
            <w:vAlign w:val="center"/>
            <w:hideMark/>
          </w:tcPr>
          <w:p w14:paraId="519080F0" w14:textId="6E20F6B7"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PBA 2026</w:t>
            </w:r>
            <w:r w:rsidR="003D47DF" w:rsidRPr="002128A6">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2030</w:t>
            </w:r>
          </w:p>
        </w:tc>
        <w:tc>
          <w:tcPr>
            <w:tcW w:w="1356" w:type="dxa"/>
            <w:tcBorders>
              <w:top w:val="nil"/>
              <w:left w:val="nil"/>
              <w:bottom w:val="nil"/>
              <w:right w:val="single" w:sz="8" w:space="0" w:color="auto"/>
            </w:tcBorders>
            <w:shd w:val="clear" w:color="000000" w:fill="4472C4"/>
            <w:vAlign w:val="center"/>
            <w:hideMark/>
          </w:tcPr>
          <w:p w14:paraId="2FAF6303" w14:textId="5018706D"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2026</w:t>
            </w:r>
            <w:r w:rsidR="003D47DF" w:rsidRPr="002128A6">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2030</w:t>
            </w:r>
          </w:p>
        </w:tc>
      </w:tr>
      <w:tr w:rsidR="00F54824" w:rsidRPr="002128A6" w14:paraId="77867F58" w14:textId="77777777" w:rsidTr="007D462A">
        <w:trPr>
          <w:trHeight w:val="20"/>
        </w:trPr>
        <w:tc>
          <w:tcPr>
            <w:tcW w:w="1108" w:type="dxa"/>
            <w:vMerge/>
            <w:tcBorders>
              <w:top w:val="single" w:sz="8" w:space="0" w:color="auto"/>
              <w:left w:val="single" w:sz="8" w:space="0" w:color="auto"/>
              <w:bottom w:val="single" w:sz="8" w:space="0" w:color="4472C4"/>
              <w:right w:val="nil"/>
            </w:tcBorders>
            <w:vAlign w:val="center"/>
            <w:hideMark/>
          </w:tcPr>
          <w:p w14:paraId="2E899C21"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789" w:type="dxa"/>
            <w:vMerge/>
            <w:tcBorders>
              <w:top w:val="single" w:sz="8" w:space="0" w:color="auto"/>
              <w:left w:val="nil"/>
              <w:bottom w:val="single" w:sz="8" w:space="0" w:color="4472C4"/>
              <w:right w:val="nil"/>
            </w:tcBorders>
            <w:vAlign w:val="center"/>
            <w:hideMark/>
          </w:tcPr>
          <w:p w14:paraId="70377979"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444" w:type="dxa"/>
            <w:tcBorders>
              <w:top w:val="nil"/>
              <w:left w:val="nil"/>
              <w:bottom w:val="single" w:sz="8" w:space="0" w:color="4472C4"/>
              <w:right w:val="nil"/>
            </w:tcBorders>
            <w:shd w:val="clear" w:color="000000" w:fill="4472C4"/>
            <w:vAlign w:val="center"/>
            <w:hideMark/>
          </w:tcPr>
          <w:p w14:paraId="1B3C0ED8" w14:textId="77777777" w:rsidR="006F72C1" w:rsidRPr="002128A6" w:rsidRDefault="006F72C1" w:rsidP="000E3629">
            <w:pPr>
              <w:spacing w:after="0" w:line="240" w:lineRule="auto"/>
              <w:rPr>
                <w:rFonts w:ascii="Garamond" w:eastAsia="Times New Roman" w:hAnsi="Garamond" w:cs="Calibri"/>
                <w:kern w:val="0"/>
                <w:sz w:val="20"/>
                <w14:ligatures w14:val="none"/>
              </w:rPr>
            </w:pPr>
            <w:r w:rsidRPr="002128A6">
              <w:rPr>
                <w:rFonts w:ascii="Garamond" w:eastAsia="Times New Roman" w:hAnsi="Garamond" w:cs="Calibri"/>
                <w:kern w:val="0"/>
                <w:sz w:val="20"/>
                <w14:ligatures w14:val="none"/>
              </w:rPr>
              <w:t> </w:t>
            </w:r>
          </w:p>
        </w:tc>
        <w:tc>
          <w:tcPr>
            <w:tcW w:w="1425" w:type="dxa"/>
            <w:tcBorders>
              <w:top w:val="nil"/>
              <w:left w:val="nil"/>
              <w:bottom w:val="single" w:sz="8" w:space="0" w:color="4472C4"/>
              <w:right w:val="nil"/>
            </w:tcBorders>
            <w:shd w:val="clear" w:color="000000" w:fill="4472C4"/>
            <w:vAlign w:val="center"/>
            <w:hideMark/>
          </w:tcPr>
          <w:p w14:paraId="6A123FEB" w14:textId="77777777"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Buxheti</w:t>
            </w:r>
          </w:p>
        </w:tc>
        <w:tc>
          <w:tcPr>
            <w:tcW w:w="1348" w:type="dxa"/>
            <w:tcBorders>
              <w:top w:val="nil"/>
              <w:left w:val="nil"/>
              <w:bottom w:val="single" w:sz="8" w:space="0" w:color="4472C4"/>
              <w:right w:val="nil"/>
            </w:tcBorders>
            <w:shd w:val="clear" w:color="000000" w:fill="4472C4"/>
            <w:vAlign w:val="center"/>
            <w:hideMark/>
          </w:tcPr>
          <w:p w14:paraId="592B1733" w14:textId="77777777"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Buxheti</w:t>
            </w:r>
          </w:p>
        </w:tc>
        <w:tc>
          <w:tcPr>
            <w:tcW w:w="1344" w:type="dxa"/>
            <w:tcBorders>
              <w:top w:val="nil"/>
              <w:left w:val="nil"/>
              <w:bottom w:val="single" w:sz="8" w:space="0" w:color="4472C4"/>
              <w:right w:val="nil"/>
            </w:tcBorders>
            <w:shd w:val="clear" w:color="000000" w:fill="4472C4"/>
            <w:vAlign w:val="center"/>
            <w:hideMark/>
          </w:tcPr>
          <w:p w14:paraId="6525F0E4" w14:textId="266C445B"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 Donator</w:t>
            </w:r>
            <w:r w:rsidR="003D47DF" w:rsidRPr="002128A6">
              <w:rPr>
                <w:rFonts w:ascii="Garamond" w:eastAsia="Times New Roman" w:hAnsi="Garamond" w:cs="Arial"/>
                <w:b/>
                <w:bCs/>
                <w:kern w:val="0"/>
                <w:sz w:val="20"/>
                <w14:ligatures w14:val="none"/>
              </w:rPr>
              <w:t>ë</w:t>
            </w:r>
            <w:r w:rsidRPr="002128A6">
              <w:rPr>
                <w:rFonts w:ascii="Garamond" w:eastAsia="Times New Roman" w:hAnsi="Garamond" w:cs="Arial"/>
                <w:b/>
                <w:bCs/>
                <w:kern w:val="0"/>
                <w:sz w:val="20"/>
                <w14:ligatures w14:val="none"/>
              </w:rPr>
              <w:t>t</w:t>
            </w:r>
          </w:p>
        </w:tc>
        <w:tc>
          <w:tcPr>
            <w:tcW w:w="1356" w:type="dxa"/>
            <w:tcBorders>
              <w:top w:val="nil"/>
              <w:left w:val="nil"/>
              <w:bottom w:val="single" w:sz="8" w:space="0" w:color="4472C4"/>
              <w:right w:val="single" w:sz="8" w:space="0" w:color="auto"/>
            </w:tcBorders>
            <w:shd w:val="clear" w:color="000000" w:fill="4472C4"/>
            <w:vAlign w:val="center"/>
            <w:hideMark/>
          </w:tcPr>
          <w:p w14:paraId="7B975435" w14:textId="77777777" w:rsidR="006F72C1" w:rsidRPr="002128A6" w:rsidRDefault="006F72C1" w:rsidP="000E3629">
            <w:pPr>
              <w:spacing w:after="0" w:line="240" w:lineRule="auto"/>
              <w:rPr>
                <w:rFonts w:ascii="Garamond" w:eastAsia="Times New Roman" w:hAnsi="Garamond" w:cs="Calibri"/>
                <w:kern w:val="0"/>
                <w:sz w:val="20"/>
                <w14:ligatures w14:val="none"/>
              </w:rPr>
            </w:pPr>
            <w:r w:rsidRPr="002128A6">
              <w:rPr>
                <w:rFonts w:ascii="Garamond" w:eastAsia="Times New Roman" w:hAnsi="Garamond" w:cs="Calibri"/>
                <w:kern w:val="0"/>
                <w:sz w:val="20"/>
                <w14:ligatures w14:val="none"/>
              </w:rPr>
              <w:t> </w:t>
            </w:r>
          </w:p>
        </w:tc>
      </w:tr>
      <w:tr w:rsidR="00F54824" w:rsidRPr="002128A6" w14:paraId="2BD3884E" w14:textId="77777777" w:rsidTr="007D462A">
        <w:trPr>
          <w:trHeight w:val="20"/>
        </w:trPr>
        <w:tc>
          <w:tcPr>
            <w:tcW w:w="1108"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7DD04A2D" w14:textId="0C8C56FE" w:rsidR="006F72C1" w:rsidRPr="002128A6" w:rsidRDefault="006F72C1" w:rsidP="00FA5097">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Qëllimi i </w:t>
            </w:r>
            <w:r w:rsidR="00FA5097" w:rsidRPr="002128A6">
              <w:rPr>
                <w:rFonts w:ascii="Garamond" w:eastAsia="Times New Roman" w:hAnsi="Garamond" w:cs="Arial"/>
                <w:b/>
                <w:bCs/>
                <w:kern w:val="0"/>
                <w:sz w:val="20"/>
                <w14:ligatures w14:val="none"/>
              </w:rPr>
              <w:t xml:space="preserve">politikës </w:t>
            </w:r>
            <w:r w:rsidRPr="002128A6">
              <w:rPr>
                <w:rFonts w:ascii="Garamond" w:eastAsia="Times New Roman" w:hAnsi="Garamond" w:cs="Arial"/>
                <w:b/>
                <w:bCs/>
                <w:kern w:val="0"/>
                <w:sz w:val="20"/>
                <w14:ligatures w14:val="none"/>
              </w:rPr>
              <w:t>I</w:t>
            </w:r>
          </w:p>
        </w:tc>
        <w:tc>
          <w:tcPr>
            <w:tcW w:w="1789" w:type="dxa"/>
            <w:tcBorders>
              <w:top w:val="nil"/>
              <w:left w:val="nil"/>
              <w:bottom w:val="single" w:sz="8" w:space="0" w:color="8EAADB"/>
              <w:right w:val="single" w:sz="8" w:space="0" w:color="8EAADB"/>
            </w:tcBorders>
            <w:shd w:val="clear" w:color="000000" w:fill="D9E2F3"/>
            <w:vAlign w:val="center"/>
            <w:hideMark/>
          </w:tcPr>
          <w:p w14:paraId="3ABAA040" w14:textId="6F6ECD06" w:rsidR="006F72C1" w:rsidRPr="002128A6" w:rsidRDefault="006F72C1" w:rsidP="000E3629">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Kor</w:t>
            </w:r>
            <w:r w:rsidR="00FA5097" w:rsidRPr="002128A6">
              <w:rPr>
                <w:rFonts w:ascii="Garamond" w:eastAsia="Times New Roman" w:hAnsi="Garamond" w:cs="Arial"/>
                <w:kern w:val="0"/>
                <w:sz w:val="20"/>
                <w14:ligatures w14:val="none"/>
              </w:rPr>
              <w:t>r</w:t>
            </w:r>
            <w:r w:rsidRPr="002128A6">
              <w:rPr>
                <w:rFonts w:ascii="Garamond" w:eastAsia="Times New Roman" w:hAnsi="Garamond" w:cs="Arial"/>
                <w:kern w:val="0"/>
                <w:sz w:val="20"/>
                <w14:ligatures w14:val="none"/>
              </w:rPr>
              <w:t>ente</w:t>
            </w:r>
          </w:p>
        </w:tc>
        <w:tc>
          <w:tcPr>
            <w:tcW w:w="1444" w:type="dxa"/>
            <w:tcBorders>
              <w:top w:val="nil"/>
              <w:left w:val="nil"/>
              <w:bottom w:val="single" w:sz="8" w:space="0" w:color="8EAADB"/>
              <w:right w:val="single" w:sz="8" w:space="0" w:color="8EAADB"/>
            </w:tcBorders>
            <w:shd w:val="clear" w:color="000000" w:fill="D9E2F3"/>
            <w:vAlign w:val="center"/>
            <w:hideMark/>
          </w:tcPr>
          <w:p w14:paraId="24A2937D"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12,866,771,779</w:t>
            </w:r>
          </w:p>
        </w:tc>
        <w:tc>
          <w:tcPr>
            <w:tcW w:w="1425" w:type="dxa"/>
            <w:tcBorders>
              <w:top w:val="nil"/>
              <w:left w:val="nil"/>
              <w:bottom w:val="single" w:sz="8" w:space="0" w:color="8EAADB"/>
              <w:right w:val="single" w:sz="8" w:space="0" w:color="8EAADB"/>
            </w:tcBorders>
            <w:shd w:val="clear" w:color="000000" w:fill="D9E2F3"/>
            <w:vAlign w:val="center"/>
            <w:hideMark/>
          </w:tcPr>
          <w:p w14:paraId="0C00ECE4"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12,149,928,017</w:t>
            </w:r>
          </w:p>
        </w:tc>
        <w:tc>
          <w:tcPr>
            <w:tcW w:w="1348" w:type="dxa"/>
            <w:tcBorders>
              <w:top w:val="nil"/>
              <w:left w:val="nil"/>
              <w:bottom w:val="single" w:sz="8" w:space="0" w:color="8EAADB"/>
              <w:right w:val="single" w:sz="8" w:space="0" w:color="8EAADB"/>
            </w:tcBorders>
            <w:shd w:val="clear" w:color="000000" w:fill="D9E2F3"/>
            <w:vAlign w:val="center"/>
            <w:hideMark/>
          </w:tcPr>
          <w:p w14:paraId="1A8CAF70"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716,843,762</w:t>
            </w:r>
          </w:p>
        </w:tc>
        <w:tc>
          <w:tcPr>
            <w:tcW w:w="1344" w:type="dxa"/>
            <w:tcBorders>
              <w:top w:val="nil"/>
              <w:left w:val="nil"/>
              <w:bottom w:val="single" w:sz="8" w:space="0" w:color="8EAADB"/>
              <w:right w:val="single" w:sz="8" w:space="0" w:color="8EAADB"/>
            </w:tcBorders>
            <w:shd w:val="clear" w:color="000000" w:fill="D9E2F3"/>
            <w:vAlign w:val="center"/>
            <w:hideMark/>
          </w:tcPr>
          <w:p w14:paraId="22330F8A"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56" w:type="dxa"/>
            <w:vMerge w:val="restart"/>
            <w:tcBorders>
              <w:top w:val="nil"/>
              <w:left w:val="single" w:sz="8" w:space="0" w:color="8EAADB"/>
              <w:bottom w:val="single" w:sz="8" w:space="0" w:color="8EAADB"/>
              <w:right w:val="single" w:sz="8" w:space="0" w:color="auto"/>
            </w:tcBorders>
            <w:shd w:val="clear" w:color="000000" w:fill="D9E2F3"/>
            <w:vAlign w:val="center"/>
            <w:hideMark/>
          </w:tcPr>
          <w:p w14:paraId="1BE7EF49" w14:textId="77777777" w:rsidR="006F72C1" w:rsidRPr="002128A6" w:rsidRDefault="006F72C1" w:rsidP="00FA5097">
            <w:pPr>
              <w:spacing w:after="0" w:line="240" w:lineRule="auto"/>
              <w:jc w:val="right"/>
              <w:rPr>
                <w:rFonts w:ascii="Garamond" w:eastAsia="Times New Roman" w:hAnsi="Garamond" w:cs="Arial"/>
                <w:b/>
                <w:bCs/>
                <w:i/>
                <w:iCs/>
                <w:kern w:val="0"/>
                <w:sz w:val="20"/>
                <w14:ligatures w14:val="none"/>
              </w:rPr>
            </w:pPr>
            <w:r w:rsidRPr="002128A6">
              <w:rPr>
                <w:rFonts w:ascii="Garamond" w:eastAsia="Times New Roman" w:hAnsi="Garamond" w:cs="Arial"/>
                <w:b/>
                <w:bCs/>
                <w:i/>
                <w:iCs/>
                <w:kern w:val="0"/>
                <w:sz w:val="20"/>
                <w14:ligatures w14:val="none"/>
              </w:rPr>
              <w:t>0</w:t>
            </w:r>
          </w:p>
        </w:tc>
      </w:tr>
      <w:tr w:rsidR="00F54824" w:rsidRPr="002128A6" w14:paraId="25EA1E19" w14:textId="77777777" w:rsidTr="007D462A">
        <w:trPr>
          <w:trHeight w:val="20"/>
        </w:trPr>
        <w:tc>
          <w:tcPr>
            <w:tcW w:w="1108" w:type="dxa"/>
            <w:vMerge/>
            <w:tcBorders>
              <w:top w:val="nil"/>
              <w:left w:val="single" w:sz="8" w:space="0" w:color="auto"/>
              <w:bottom w:val="single" w:sz="8" w:space="0" w:color="8EAADB"/>
              <w:right w:val="single" w:sz="8" w:space="0" w:color="8EAADB"/>
            </w:tcBorders>
            <w:vAlign w:val="center"/>
            <w:hideMark/>
          </w:tcPr>
          <w:p w14:paraId="6D20E86F" w14:textId="77777777" w:rsidR="006F72C1" w:rsidRPr="002128A6" w:rsidRDefault="006F72C1" w:rsidP="00FA5097">
            <w:pPr>
              <w:spacing w:after="0" w:line="240" w:lineRule="auto"/>
              <w:jc w:val="center"/>
              <w:rPr>
                <w:rFonts w:ascii="Garamond" w:eastAsia="Times New Roman" w:hAnsi="Garamond" w:cs="Arial"/>
                <w:b/>
                <w:bCs/>
                <w:kern w:val="0"/>
                <w:sz w:val="20"/>
                <w14:ligatures w14:val="none"/>
              </w:rPr>
            </w:pPr>
          </w:p>
        </w:tc>
        <w:tc>
          <w:tcPr>
            <w:tcW w:w="1789" w:type="dxa"/>
            <w:tcBorders>
              <w:top w:val="nil"/>
              <w:left w:val="nil"/>
              <w:bottom w:val="single" w:sz="8" w:space="0" w:color="8EAADB"/>
              <w:right w:val="single" w:sz="8" w:space="0" w:color="8EAADB"/>
            </w:tcBorders>
            <w:vAlign w:val="center"/>
            <w:hideMark/>
          </w:tcPr>
          <w:p w14:paraId="2281CAD5" w14:textId="77777777" w:rsidR="006F72C1" w:rsidRPr="002128A6" w:rsidRDefault="006F72C1" w:rsidP="000E3629">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Kapitale</w:t>
            </w:r>
          </w:p>
        </w:tc>
        <w:tc>
          <w:tcPr>
            <w:tcW w:w="1444" w:type="dxa"/>
            <w:tcBorders>
              <w:top w:val="nil"/>
              <w:left w:val="nil"/>
              <w:bottom w:val="single" w:sz="8" w:space="0" w:color="8EAADB"/>
              <w:right w:val="single" w:sz="8" w:space="0" w:color="8EAADB"/>
            </w:tcBorders>
            <w:vAlign w:val="center"/>
            <w:hideMark/>
          </w:tcPr>
          <w:p w14:paraId="684F256B"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1,844,487,408</w:t>
            </w:r>
          </w:p>
        </w:tc>
        <w:tc>
          <w:tcPr>
            <w:tcW w:w="1425" w:type="dxa"/>
            <w:tcBorders>
              <w:top w:val="nil"/>
              <w:left w:val="nil"/>
              <w:bottom w:val="single" w:sz="8" w:space="0" w:color="8EAADB"/>
              <w:right w:val="single" w:sz="8" w:space="0" w:color="8EAADB"/>
            </w:tcBorders>
            <w:vAlign w:val="center"/>
            <w:hideMark/>
          </w:tcPr>
          <w:p w14:paraId="3F5B641F"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1,108,967,000</w:t>
            </w:r>
          </w:p>
        </w:tc>
        <w:tc>
          <w:tcPr>
            <w:tcW w:w="1348" w:type="dxa"/>
            <w:tcBorders>
              <w:top w:val="nil"/>
              <w:left w:val="nil"/>
              <w:bottom w:val="single" w:sz="8" w:space="0" w:color="8EAADB"/>
              <w:right w:val="single" w:sz="8" w:space="0" w:color="8EAADB"/>
            </w:tcBorders>
            <w:vAlign w:val="center"/>
            <w:hideMark/>
          </w:tcPr>
          <w:p w14:paraId="301CC278"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44" w:type="dxa"/>
            <w:tcBorders>
              <w:top w:val="nil"/>
              <w:left w:val="nil"/>
              <w:bottom w:val="single" w:sz="8" w:space="0" w:color="8EAADB"/>
              <w:right w:val="single" w:sz="8" w:space="0" w:color="8EAADB"/>
            </w:tcBorders>
            <w:vAlign w:val="center"/>
            <w:hideMark/>
          </w:tcPr>
          <w:p w14:paraId="5A5D3AD4"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735,520,408</w:t>
            </w:r>
          </w:p>
        </w:tc>
        <w:tc>
          <w:tcPr>
            <w:tcW w:w="1356" w:type="dxa"/>
            <w:vMerge/>
            <w:tcBorders>
              <w:top w:val="nil"/>
              <w:left w:val="single" w:sz="8" w:space="0" w:color="8EAADB"/>
              <w:bottom w:val="single" w:sz="8" w:space="0" w:color="8EAADB"/>
              <w:right w:val="single" w:sz="8" w:space="0" w:color="auto"/>
            </w:tcBorders>
            <w:vAlign w:val="center"/>
            <w:hideMark/>
          </w:tcPr>
          <w:p w14:paraId="45A6AA90" w14:textId="77777777" w:rsidR="006F72C1" w:rsidRPr="002128A6" w:rsidRDefault="006F72C1" w:rsidP="00FA5097">
            <w:pPr>
              <w:spacing w:after="0" w:line="240" w:lineRule="auto"/>
              <w:jc w:val="right"/>
              <w:rPr>
                <w:rFonts w:ascii="Garamond" w:eastAsia="Times New Roman" w:hAnsi="Garamond" w:cs="Arial"/>
                <w:b/>
                <w:bCs/>
                <w:i/>
                <w:iCs/>
                <w:kern w:val="0"/>
                <w:sz w:val="20"/>
                <w14:ligatures w14:val="none"/>
              </w:rPr>
            </w:pPr>
          </w:p>
        </w:tc>
      </w:tr>
      <w:tr w:rsidR="00F54824" w:rsidRPr="002128A6" w14:paraId="6CACFFD2" w14:textId="77777777" w:rsidTr="007D462A">
        <w:trPr>
          <w:trHeight w:val="20"/>
        </w:trPr>
        <w:tc>
          <w:tcPr>
            <w:tcW w:w="1108"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21915902" w14:textId="5623050F" w:rsidR="006F72C1" w:rsidRPr="002128A6" w:rsidRDefault="006F72C1" w:rsidP="00FA5097">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Qëllimi i </w:t>
            </w:r>
            <w:r w:rsidR="00FA5097" w:rsidRPr="002128A6">
              <w:rPr>
                <w:rFonts w:ascii="Garamond" w:eastAsia="Times New Roman" w:hAnsi="Garamond" w:cs="Arial"/>
                <w:b/>
                <w:bCs/>
                <w:kern w:val="0"/>
                <w:sz w:val="20"/>
                <w14:ligatures w14:val="none"/>
              </w:rPr>
              <w:t xml:space="preserve">politikës </w:t>
            </w:r>
            <w:r w:rsidRPr="002128A6">
              <w:rPr>
                <w:rFonts w:ascii="Garamond" w:eastAsia="Times New Roman" w:hAnsi="Garamond" w:cs="Arial"/>
                <w:b/>
                <w:bCs/>
                <w:kern w:val="0"/>
                <w:sz w:val="20"/>
                <w14:ligatures w14:val="none"/>
              </w:rPr>
              <w:t>II</w:t>
            </w:r>
          </w:p>
        </w:tc>
        <w:tc>
          <w:tcPr>
            <w:tcW w:w="1789" w:type="dxa"/>
            <w:tcBorders>
              <w:top w:val="nil"/>
              <w:left w:val="nil"/>
              <w:bottom w:val="single" w:sz="8" w:space="0" w:color="8EAADB"/>
              <w:right w:val="single" w:sz="8" w:space="0" w:color="8EAADB"/>
            </w:tcBorders>
            <w:shd w:val="clear" w:color="000000" w:fill="D9E2F3"/>
            <w:vAlign w:val="center"/>
            <w:hideMark/>
          </w:tcPr>
          <w:p w14:paraId="601076D8" w14:textId="08BC54BF" w:rsidR="006F72C1" w:rsidRPr="002128A6" w:rsidRDefault="006F72C1" w:rsidP="000E3629">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Kor</w:t>
            </w:r>
            <w:r w:rsidR="00FA5097" w:rsidRPr="002128A6">
              <w:rPr>
                <w:rFonts w:ascii="Garamond" w:eastAsia="Times New Roman" w:hAnsi="Garamond" w:cs="Arial"/>
                <w:kern w:val="0"/>
                <w:sz w:val="20"/>
                <w14:ligatures w14:val="none"/>
              </w:rPr>
              <w:t>r</w:t>
            </w:r>
            <w:r w:rsidRPr="002128A6">
              <w:rPr>
                <w:rFonts w:ascii="Garamond" w:eastAsia="Times New Roman" w:hAnsi="Garamond" w:cs="Arial"/>
                <w:kern w:val="0"/>
                <w:sz w:val="20"/>
                <w14:ligatures w14:val="none"/>
              </w:rPr>
              <w:t>ente</w:t>
            </w:r>
          </w:p>
        </w:tc>
        <w:tc>
          <w:tcPr>
            <w:tcW w:w="1444" w:type="dxa"/>
            <w:tcBorders>
              <w:top w:val="nil"/>
              <w:left w:val="nil"/>
              <w:bottom w:val="single" w:sz="8" w:space="0" w:color="8EAADB"/>
              <w:right w:val="single" w:sz="8" w:space="0" w:color="8EAADB"/>
            </w:tcBorders>
            <w:shd w:val="clear" w:color="000000" w:fill="D9E2F3"/>
            <w:vAlign w:val="center"/>
            <w:hideMark/>
          </w:tcPr>
          <w:p w14:paraId="72AC237E"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11,744,518,345</w:t>
            </w:r>
          </w:p>
        </w:tc>
        <w:tc>
          <w:tcPr>
            <w:tcW w:w="1425" w:type="dxa"/>
            <w:tcBorders>
              <w:top w:val="nil"/>
              <w:left w:val="nil"/>
              <w:bottom w:val="single" w:sz="8" w:space="0" w:color="8EAADB"/>
              <w:right w:val="single" w:sz="8" w:space="0" w:color="8EAADB"/>
            </w:tcBorders>
            <w:shd w:val="clear" w:color="000000" w:fill="D9E2F3"/>
            <w:vAlign w:val="center"/>
            <w:hideMark/>
          </w:tcPr>
          <w:p w14:paraId="50DA8F9C"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7,348,567,277</w:t>
            </w:r>
          </w:p>
        </w:tc>
        <w:tc>
          <w:tcPr>
            <w:tcW w:w="1348" w:type="dxa"/>
            <w:tcBorders>
              <w:top w:val="nil"/>
              <w:left w:val="nil"/>
              <w:bottom w:val="single" w:sz="8" w:space="0" w:color="8EAADB"/>
              <w:right w:val="single" w:sz="8" w:space="0" w:color="8EAADB"/>
            </w:tcBorders>
            <w:shd w:val="clear" w:color="000000" w:fill="D9E2F3"/>
            <w:vAlign w:val="center"/>
            <w:hideMark/>
          </w:tcPr>
          <w:p w14:paraId="6BC430CE"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4,395,951,068</w:t>
            </w:r>
          </w:p>
        </w:tc>
        <w:tc>
          <w:tcPr>
            <w:tcW w:w="1344" w:type="dxa"/>
            <w:tcBorders>
              <w:top w:val="nil"/>
              <w:left w:val="nil"/>
              <w:bottom w:val="single" w:sz="8" w:space="0" w:color="8EAADB"/>
              <w:right w:val="single" w:sz="8" w:space="0" w:color="8EAADB"/>
            </w:tcBorders>
            <w:shd w:val="clear" w:color="000000" w:fill="D9E2F3"/>
            <w:vAlign w:val="center"/>
            <w:hideMark/>
          </w:tcPr>
          <w:p w14:paraId="60914692"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56" w:type="dxa"/>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404D3312"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2,992,554,000</w:t>
            </w:r>
          </w:p>
        </w:tc>
      </w:tr>
      <w:tr w:rsidR="00F54824" w:rsidRPr="002128A6" w14:paraId="6F554359" w14:textId="77777777" w:rsidTr="007D462A">
        <w:trPr>
          <w:trHeight w:val="20"/>
        </w:trPr>
        <w:tc>
          <w:tcPr>
            <w:tcW w:w="1108" w:type="dxa"/>
            <w:vMerge/>
            <w:tcBorders>
              <w:top w:val="nil"/>
              <w:left w:val="single" w:sz="8" w:space="0" w:color="auto"/>
              <w:bottom w:val="single" w:sz="8" w:space="0" w:color="8EAADB"/>
              <w:right w:val="single" w:sz="8" w:space="0" w:color="8EAADB"/>
            </w:tcBorders>
            <w:vAlign w:val="center"/>
            <w:hideMark/>
          </w:tcPr>
          <w:p w14:paraId="43DF03AA" w14:textId="77777777" w:rsidR="006F72C1" w:rsidRPr="002128A6" w:rsidRDefault="006F72C1" w:rsidP="00FA5097">
            <w:pPr>
              <w:spacing w:after="0" w:line="240" w:lineRule="auto"/>
              <w:jc w:val="center"/>
              <w:rPr>
                <w:rFonts w:ascii="Garamond" w:eastAsia="Times New Roman" w:hAnsi="Garamond" w:cs="Arial"/>
                <w:b/>
                <w:bCs/>
                <w:kern w:val="0"/>
                <w:sz w:val="20"/>
                <w14:ligatures w14:val="none"/>
              </w:rPr>
            </w:pPr>
          </w:p>
        </w:tc>
        <w:tc>
          <w:tcPr>
            <w:tcW w:w="1789" w:type="dxa"/>
            <w:tcBorders>
              <w:top w:val="nil"/>
              <w:left w:val="nil"/>
              <w:bottom w:val="single" w:sz="8" w:space="0" w:color="8EAADB"/>
              <w:right w:val="single" w:sz="8" w:space="0" w:color="8EAADB"/>
            </w:tcBorders>
            <w:vAlign w:val="center"/>
            <w:hideMark/>
          </w:tcPr>
          <w:p w14:paraId="5D9C6BA5" w14:textId="77777777" w:rsidR="006F72C1" w:rsidRPr="002128A6" w:rsidRDefault="006F72C1" w:rsidP="000E3629">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Kapitale</w:t>
            </w:r>
          </w:p>
        </w:tc>
        <w:tc>
          <w:tcPr>
            <w:tcW w:w="1444" w:type="dxa"/>
            <w:tcBorders>
              <w:top w:val="nil"/>
              <w:left w:val="nil"/>
              <w:bottom w:val="single" w:sz="8" w:space="0" w:color="8EAADB"/>
              <w:right w:val="single" w:sz="8" w:space="0" w:color="8EAADB"/>
            </w:tcBorders>
            <w:vAlign w:val="center"/>
            <w:hideMark/>
          </w:tcPr>
          <w:p w14:paraId="54DA7F71"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10,025,199,998</w:t>
            </w:r>
          </w:p>
        </w:tc>
        <w:tc>
          <w:tcPr>
            <w:tcW w:w="1425" w:type="dxa"/>
            <w:tcBorders>
              <w:top w:val="nil"/>
              <w:left w:val="nil"/>
              <w:bottom w:val="single" w:sz="8" w:space="0" w:color="8EAADB"/>
              <w:right w:val="single" w:sz="8" w:space="0" w:color="8EAADB"/>
            </w:tcBorders>
            <w:vAlign w:val="center"/>
            <w:hideMark/>
          </w:tcPr>
          <w:p w14:paraId="5D57FE78"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1,092,660,998</w:t>
            </w:r>
          </w:p>
        </w:tc>
        <w:tc>
          <w:tcPr>
            <w:tcW w:w="1348" w:type="dxa"/>
            <w:tcBorders>
              <w:top w:val="nil"/>
              <w:left w:val="nil"/>
              <w:bottom w:val="single" w:sz="8" w:space="0" w:color="8EAADB"/>
              <w:right w:val="single" w:sz="8" w:space="0" w:color="8EAADB"/>
            </w:tcBorders>
            <w:vAlign w:val="center"/>
            <w:hideMark/>
          </w:tcPr>
          <w:p w14:paraId="13CA3B6E"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2,701,050,000</w:t>
            </w:r>
          </w:p>
        </w:tc>
        <w:tc>
          <w:tcPr>
            <w:tcW w:w="1344" w:type="dxa"/>
            <w:tcBorders>
              <w:top w:val="nil"/>
              <w:left w:val="nil"/>
              <w:bottom w:val="single" w:sz="8" w:space="0" w:color="8EAADB"/>
              <w:right w:val="single" w:sz="8" w:space="0" w:color="8EAADB"/>
            </w:tcBorders>
            <w:vAlign w:val="center"/>
            <w:hideMark/>
          </w:tcPr>
          <w:p w14:paraId="5056ABC6"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3,238,935,000</w:t>
            </w:r>
          </w:p>
        </w:tc>
        <w:tc>
          <w:tcPr>
            <w:tcW w:w="1356" w:type="dxa"/>
            <w:vMerge/>
            <w:tcBorders>
              <w:top w:val="single" w:sz="8" w:space="0" w:color="4472C4"/>
              <w:left w:val="single" w:sz="8" w:space="0" w:color="8EAADB"/>
              <w:bottom w:val="single" w:sz="8" w:space="0" w:color="8EAADB"/>
              <w:right w:val="single" w:sz="8" w:space="0" w:color="auto"/>
            </w:tcBorders>
            <w:vAlign w:val="center"/>
            <w:hideMark/>
          </w:tcPr>
          <w:p w14:paraId="2808A957"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p>
        </w:tc>
      </w:tr>
      <w:tr w:rsidR="00F54824" w:rsidRPr="002128A6" w14:paraId="62EBFA2D" w14:textId="77777777" w:rsidTr="007D462A">
        <w:trPr>
          <w:trHeight w:val="20"/>
        </w:trPr>
        <w:tc>
          <w:tcPr>
            <w:tcW w:w="1108"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350597E2" w14:textId="724C2D32" w:rsidR="006F72C1" w:rsidRPr="002128A6" w:rsidRDefault="006F72C1" w:rsidP="00FA5097">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Qëllimi i </w:t>
            </w:r>
            <w:r w:rsidR="00FA5097" w:rsidRPr="002128A6">
              <w:rPr>
                <w:rFonts w:ascii="Garamond" w:eastAsia="Times New Roman" w:hAnsi="Garamond" w:cs="Arial"/>
                <w:b/>
                <w:bCs/>
                <w:kern w:val="0"/>
                <w:sz w:val="20"/>
                <w14:ligatures w14:val="none"/>
              </w:rPr>
              <w:t xml:space="preserve">politikës </w:t>
            </w:r>
            <w:r w:rsidRPr="002128A6">
              <w:rPr>
                <w:rFonts w:ascii="Garamond" w:eastAsia="Times New Roman" w:hAnsi="Garamond" w:cs="Arial"/>
                <w:b/>
                <w:bCs/>
                <w:kern w:val="0"/>
                <w:sz w:val="20"/>
                <w14:ligatures w14:val="none"/>
              </w:rPr>
              <w:t>III</w:t>
            </w:r>
          </w:p>
        </w:tc>
        <w:tc>
          <w:tcPr>
            <w:tcW w:w="1789" w:type="dxa"/>
            <w:tcBorders>
              <w:top w:val="nil"/>
              <w:left w:val="nil"/>
              <w:bottom w:val="single" w:sz="8" w:space="0" w:color="8EAADB"/>
              <w:right w:val="single" w:sz="8" w:space="0" w:color="8EAADB"/>
            </w:tcBorders>
            <w:shd w:val="clear" w:color="000000" w:fill="D9E2F3"/>
            <w:vAlign w:val="center"/>
            <w:hideMark/>
          </w:tcPr>
          <w:p w14:paraId="32A077F8" w14:textId="3C0BD6B7" w:rsidR="006F72C1" w:rsidRPr="002128A6" w:rsidRDefault="006F72C1" w:rsidP="000E3629">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Kor</w:t>
            </w:r>
            <w:r w:rsidR="00FA5097" w:rsidRPr="002128A6">
              <w:rPr>
                <w:rFonts w:ascii="Garamond" w:eastAsia="Times New Roman" w:hAnsi="Garamond" w:cs="Arial"/>
                <w:kern w:val="0"/>
                <w:sz w:val="20"/>
                <w14:ligatures w14:val="none"/>
              </w:rPr>
              <w:t>r</w:t>
            </w:r>
            <w:r w:rsidRPr="002128A6">
              <w:rPr>
                <w:rFonts w:ascii="Garamond" w:eastAsia="Times New Roman" w:hAnsi="Garamond" w:cs="Arial"/>
                <w:kern w:val="0"/>
                <w:sz w:val="20"/>
                <w14:ligatures w14:val="none"/>
              </w:rPr>
              <w:t>ente</w:t>
            </w:r>
          </w:p>
        </w:tc>
        <w:tc>
          <w:tcPr>
            <w:tcW w:w="1444" w:type="dxa"/>
            <w:tcBorders>
              <w:top w:val="nil"/>
              <w:left w:val="nil"/>
              <w:bottom w:val="single" w:sz="8" w:space="0" w:color="8EAADB"/>
              <w:right w:val="single" w:sz="8" w:space="0" w:color="8EAADB"/>
            </w:tcBorders>
            <w:shd w:val="clear" w:color="000000" w:fill="D9E2F3"/>
            <w:vAlign w:val="center"/>
            <w:hideMark/>
          </w:tcPr>
          <w:p w14:paraId="512727C7"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1,049,844,292</w:t>
            </w:r>
          </w:p>
        </w:tc>
        <w:tc>
          <w:tcPr>
            <w:tcW w:w="1425" w:type="dxa"/>
            <w:tcBorders>
              <w:top w:val="nil"/>
              <w:left w:val="nil"/>
              <w:bottom w:val="single" w:sz="8" w:space="0" w:color="8EAADB"/>
              <w:right w:val="single" w:sz="8" w:space="0" w:color="8EAADB"/>
            </w:tcBorders>
            <w:shd w:val="clear" w:color="000000" w:fill="D9E2F3"/>
            <w:vAlign w:val="center"/>
            <w:hideMark/>
          </w:tcPr>
          <w:p w14:paraId="662DF075"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939,293,124</w:t>
            </w:r>
          </w:p>
        </w:tc>
        <w:tc>
          <w:tcPr>
            <w:tcW w:w="1348" w:type="dxa"/>
            <w:tcBorders>
              <w:top w:val="nil"/>
              <w:left w:val="nil"/>
              <w:bottom w:val="single" w:sz="8" w:space="0" w:color="8EAADB"/>
              <w:right w:val="single" w:sz="8" w:space="0" w:color="8EAADB"/>
            </w:tcBorders>
            <w:shd w:val="clear" w:color="000000" w:fill="D9E2F3"/>
            <w:vAlign w:val="center"/>
            <w:hideMark/>
          </w:tcPr>
          <w:p w14:paraId="0B6E9951"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110,551,168</w:t>
            </w:r>
          </w:p>
        </w:tc>
        <w:tc>
          <w:tcPr>
            <w:tcW w:w="1344" w:type="dxa"/>
            <w:tcBorders>
              <w:top w:val="nil"/>
              <w:left w:val="nil"/>
              <w:bottom w:val="single" w:sz="8" w:space="0" w:color="8EAADB"/>
              <w:right w:val="single" w:sz="8" w:space="0" w:color="8EAADB"/>
            </w:tcBorders>
            <w:shd w:val="clear" w:color="000000" w:fill="D9E2F3"/>
            <w:vAlign w:val="center"/>
            <w:hideMark/>
          </w:tcPr>
          <w:p w14:paraId="2CFC5F9D"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56" w:type="dxa"/>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68ECE3CC" w14:textId="77777777" w:rsidR="006F72C1" w:rsidRPr="002128A6" w:rsidRDefault="006F72C1" w:rsidP="00FA5097">
            <w:pPr>
              <w:spacing w:after="0" w:line="240" w:lineRule="auto"/>
              <w:jc w:val="right"/>
              <w:rPr>
                <w:rFonts w:ascii="Garamond" w:eastAsia="Times New Roman" w:hAnsi="Garamond" w:cs="Arial"/>
                <w:b/>
                <w:bCs/>
                <w:i/>
                <w:iCs/>
                <w:kern w:val="0"/>
                <w:sz w:val="20"/>
                <w14:ligatures w14:val="none"/>
              </w:rPr>
            </w:pPr>
            <w:r w:rsidRPr="002128A6">
              <w:rPr>
                <w:rFonts w:ascii="Garamond" w:eastAsia="Times New Roman" w:hAnsi="Garamond" w:cs="Arial"/>
                <w:b/>
                <w:bCs/>
                <w:i/>
                <w:iCs/>
                <w:kern w:val="0"/>
                <w:sz w:val="20"/>
                <w14:ligatures w14:val="none"/>
              </w:rPr>
              <w:t>0</w:t>
            </w:r>
          </w:p>
        </w:tc>
      </w:tr>
      <w:tr w:rsidR="00F54824" w:rsidRPr="002128A6" w14:paraId="716D86AB" w14:textId="77777777" w:rsidTr="007D462A">
        <w:trPr>
          <w:trHeight w:val="20"/>
        </w:trPr>
        <w:tc>
          <w:tcPr>
            <w:tcW w:w="1108" w:type="dxa"/>
            <w:vMerge/>
            <w:tcBorders>
              <w:top w:val="nil"/>
              <w:left w:val="single" w:sz="8" w:space="0" w:color="auto"/>
              <w:bottom w:val="single" w:sz="8" w:space="0" w:color="8EAADB"/>
              <w:right w:val="single" w:sz="8" w:space="0" w:color="8EAADB"/>
            </w:tcBorders>
            <w:vAlign w:val="center"/>
            <w:hideMark/>
          </w:tcPr>
          <w:p w14:paraId="11E96DDC" w14:textId="77777777" w:rsidR="006F72C1" w:rsidRPr="002128A6" w:rsidRDefault="006F72C1" w:rsidP="00FA5097">
            <w:pPr>
              <w:spacing w:after="0" w:line="240" w:lineRule="auto"/>
              <w:jc w:val="center"/>
              <w:rPr>
                <w:rFonts w:ascii="Garamond" w:eastAsia="Times New Roman" w:hAnsi="Garamond" w:cs="Arial"/>
                <w:b/>
                <w:bCs/>
                <w:kern w:val="0"/>
                <w:sz w:val="20"/>
                <w14:ligatures w14:val="none"/>
              </w:rPr>
            </w:pPr>
          </w:p>
        </w:tc>
        <w:tc>
          <w:tcPr>
            <w:tcW w:w="1789" w:type="dxa"/>
            <w:tcBorders>
              <w:top w:val="nil"/>
              <w:left w:val="nil"/>
              <w:bottom w:val="single" w:sz="8" w:space="0" w:color="8EAADB"/>
              <w:right w:val="single" w:sz="8" w:space="0" w:color="8EAADB"/>
            </w:tcBorders>
            <w:vAlign w:val="center"/>
            <w:hideMark/>
          </w:tcPr>
          <w:p w14:paraId="43285EC6" w14:textId="77777777" w:rsidR="006F72C1" w:rsidRPr="002128A6" w:rsidRDefault="006F72C1" w:rsidP="000E3629">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Kapitale</w:t>
            </w:r>
          </w:p>
        </w:tc>
        <w:tc>
          <w:tcPr>
            <w:tcW w:w="1444" w:type="dxa"/>
            <w:tcBorders>
              <w:top w:val="nil"/>
              <w:left w:val="nil"/>
              <w:bottom w:val="single" w:sz="8" w:space="0" w:color="8EAADB"/>
              <w:right w:val="single" w:sz="8" w:space="0" w:color="8EAADB"/>
            </w:tcBorders>
            <w:vAlign w:val="center"/>
            <w:hideMark/>
          </w:tcPr>
          <w:p w14:paraId="7EC8A133"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425" w:type="dxa"/>
            <w:tcBorders>
              <w:top w:val="nil"/>
              <w:left w:val="nil"/>
              <w:bottom w:val="single" w:sz="8" w:space="0" w:color="8EAADB"/>
              <w:right w:val="single" w:sz="8" w:space="0" w:color="8EAADB"/>
            </w:tcBorders>
            <w:vAlign w:val="center"/>
            <w:hideMark/>
          </w:tcPr>
          <w:p w14:paraId="71DD2878"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48" w:type="dxa"/>
            <w:tcBorders>
              <w:top w:val="nil"/>
              <w:left w:val="nil"/>
              <w:bottom w:val="single" w:sz="8" w:space="0" w:color="8EAADB"/>
              <w:right w:val="single" w:sz="8" w:space="0" w:color="8EAADB"/>
            </w:tcBorders>
            <w:vAlign w:val="center"/>
            <w:hideMark/>
          </w:tcPr>
          <w:p w14:paraId="4C66890A"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44" w:type="dxa"/>
            <w:tcBorders>
              <w:top w:val="nil"/>
              <w:left w:val="nil"/>
              <w:bottom w:val="single" w:sz="8" w:space="0" w:color="8EAADB"/>
              <w:right w:val="single" w:sz="8" w:space="0" w:color="8EAADB"/>
            </w:tcBorders>
            <w:vAlign w:val="center"/>
            <w:hideMark/>
          </w:tcPr>
          <w:p w14:paraId="14A431CE" w14:textId="77777777" w:rsidR="006F72C1" w:rsidRPr="002128A6" w:rsidRDefault="006F72C1" w:rsidP="00FA5097">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56" w:type="dxa"/>
            <w:vMerge/>
            <w:tcBorders>
              <w:top w:val="single" w:sz="8" w:space="0" w:color="4472C4"/>
              <w:left w:val="single" w:sz="8" w:space="0" w:color="8EAADB"/>
              <w:bottom w:val="single" w:sz="8" w:space="0" w:color="8EAADB"/>
              <w:right w:val="single" w:sz="8" w:space="0" w:color="auto"/>
            </w:tcBorders>
            <w:vAlign w:val="center"/>
            <w:hideMark/>
          </w:tcPr>
          <w:p w14:paraId="7A177842" w14:textId="77777777" w:rsidR="006F72C1" w:rsidRPr="002128A6" w:rsidRDefault="006F72C1" w:rsidP="00FA5097">
            <w:pPr>
              <w:spacing w:after="0" w:line="240" w:lineRule="auto"/>
              <w:jc w:val="right"/>
              <w:rPr>
                <w:rFonts w:ascii="Garamond" w:eastAsia="Times New Roman" w:hAnsi="Garamond" w:cs="Arial"/>
                <w:b/>
                <w:bCs/>
                <w:i/>
                <w:iCs/>
                <w:kern w:val="0"/>
                <w:sz w:val="20"/>
                <w14:ligatures w14:val="none"/>
              </w:rPr>
            </w:pPr>
          </w:p>
        </w:tc>
      </w:tr>
      <w:tr w:rsidR="00F54824" w:rsidRPr="002128A6" w14:paraId="7B9FA612" w14:textId="77777777" w:rsidTr="007D462A">
        <w:trPr>
          <w:trHeight w:val="20"/>
        </w:trPr>
        <w:tc>
          <w:tcPr>
            <w:tcW w:w="1108" w:type="dxa"/>
            <w:tcBorders>
              <w:top w:val="nil"/>
              <w:left w:val="single" w:sz="8" w:space="0" w:color="auto"/>
              <w:bottom w:val="single" w:sz="8" w:space="0" w:color="8EAADB"/>
              <w:right w:val="single" w:sz="8" w:space="0" w:color="8EAADB"/>
            </w:tcBorders>
            <w:shd w:val="clear" w:color="000000" w:fill="D9E2F3"/>
            <w:vAlign w:val="center"/>
            <w:hideMark/>
          </w:tcPr>
          <w:p w14:paraId="11D4305B" w14:textId="40144FA3" w:rsidR="006F72C1" w:rsidRPr="002128A6" w:rsidRDefault="006F72C1" w:rsidP="00FA5097">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TOTALI [</w:t>
            </w:r>
            <w:r w:rsidR="00FA5097" w:rsidRPr="002128A6">
              <w:rPr>
                <w:rFonts w:ascii="Garamond" w:eastAsia="Times New Roman" w:hAnsi="Garamond" w:cs="Arial"/>
                <w:b/>
                <w:bCs/>
                <w:kern w:val="0"/>
                <w:sz w:val="20"/>
                <w14:ligatures w14:val="none"/>
              </w:rPr>
              <w:t>lekë</w:t>
            </w:r>
            <w:r w:rsidRPr="002128A6">
              <w:rPr>
                <w:rFonts w:ascii="Garamond" w:eastAsia="Times New Roman" w:hAnsi="Garamond" w:cs="Arial"/>
                <w:b/>
                <w:bCs/>
                <w:kern w:val="0"/>
                <w:sz w:val="20"/>
                <w14:ligatures w14:val="none"/>
              </w:rPr>
              <w:t>]</w:t>
            </w:r>
          </w:p>
        </w:tc>
        <w:tc>
          <w:tcPr>
            <w:tcW w:w="1789" w:type="dxa"/>
            <w:tcBorders>
              <w:top w:val="nil"/>
              <w:left w:val="nil"/>
              <w:bottom w:val="single" w:sz="8" w:space="0" w:color="8EAADB"/>
              <w:right w:val="single" w:sz="8" w:space="0" w:color="8EAADB"/>
            </w:tcBorders>
            <w:shd w:val="clear" w:color="000000" w:fill="D9E2F3"/>
            <w:vAlign w:val="center"/>
            <w:hideMark/>
          </w:tcPr>
          <w:p w14:paraId="144FCBA2" w14:textId="77777777"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w:t>
            </w:r>
          </w:p>
        </w:tc>
        <w:tc>
          <w:tcPr>
            <w:tcW w:w="1444" w:type="dxa"/>
            <w:tcBorders>
              <w:top w:val="nil"/>
              <w:left w:val="nil"/>
              <w:bottom w:val="single" w:sz="8" w:space="0" w:color="8EAADB"/>
              <w:right w:val="single" w:sz="8" w:space="0" w:color="8EAADB"/>
            </w:tcBorders>
            <w:shd w:val="clear" w:color="000000" w:fill="D9E2F3"/>
            <w:vAlign w:val="center"/>
            <w:hideMark/>
          </w:tcPr>
          <w:p w14:paraId="5443BEA5"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37,530,821,822</w:t>
            </w:r>
          </w:p>
        </w:tc>
        <w:tc>
          <w:tcPr>
            <w:tcW w:w="1425" w:type="dxa"/>
            <w:tcBorders>
              <w:top w:val="nil"/>
              <w:left w:val="nil"/>
              <w:bottom w:val="single" w:sz="8" w:space="0" w:color="8EAADB"/>
              <w:right w:val="single" w:sz="8" w:space="0" w:color="8EAADB"/>
            </w:tcBorders>
            <w:shd w:val="clear" w:color="000000" w:fill="D9E2F3"/>
            <w:vAlign w:val="center"/>
            <w:hideMark/>
          </w:tcPr>
          <w:p w14:paraId="45F5B401"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22,639,416,416</w:t>
            </w:r>
          </w:p>
        </w:tc>
        <w:tc>
          <w:tcPr>
            <w:tcW w:w="1348" w:type="dxa"/>
            <w:tcBorders>
              <w:top w:val="nil"/>
              <w:left w:val="nil"/>
              <w:bottom w:val="single" w:sz="8" w:space="0" w:color="8EAADB"/>
              <w:right w:val="single" w:sz="8" w:space="0" w:color="8EAADB"/>
            </w:tcBorders>
            <w:shd w:val="clear" w:color="000000" w:fill="D9E2F3"/>
            <w:vAlign w:val="center"/>
            <w:hideMark/>
          </w:tcPr>
          <w:p w14:paraId="7E077210"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7,924,395,998</w:t>
            </w:r>
          </w:p>
        </w:tc>
        <w:tc>
          <w:tcPr>
            <w:tcW w:w="1344" w:type="dxa"/>
            <w:tcBorders>
              <w:top w:val="nil"/>
              <w:left w:val="nil"/>
              <w:bottom w:val="single" w:sz="8" w:space="0" w:color="8EAADB"/>
              <w:right w:val="single" w:sz="8" w:space="0" w:color="8EAADB"/>
            </w:tcBorders>
            <w:shd w:val="clear" w:color="000000" w:fill="D9E2F3"/>
            <w:vAlign w:val="center"/>
            <w:hideMark/>
          </w:tcPr>
          <w:p w14:paraId="7EAFB8A2"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3,974,455,408</w:t>
            </w:r>
          </w:p>
        </w:tc>
        <w:tc>
          <w:tcPr>
            <w:tcW w:w="1356" w:type="dxa"/>
            <w:tcBorders>
              <w:top w:val="nil"/>
              <w:left w:val="nil"/>
              <w:bottom w:val="single" w:sz="8" w:space="0" w:color="8EAADB"/>
              <w:right w:val="single" w:sz="8" w:space="0" w:color="auto"/>
            </w:tcBorders>
            <w:shd w:val="clear" w:color="000000" w:fill="D9E2F3"/>
            <w:vAlign w:val="center"/>
            <w:hideMark/>
          </w:tcPr>
          <w:p w14:paraId="364B238D" w14:textId="77777777" w:rsidR="006F72C1" w:rsidRPr="002128A6" w:rsidRDefault="006F72C1" w:rsidP="00FA5097">
            <w:pPr>
              <w:spacing w:after="0" w:line="240" w:lineRule="auto"/>
              <w:jc w:val="right"/>
              <w:rPr>
                <w:rFonts w:ascii="Garamond" w:eastAsia="Times New Roman" w:hAnsi="Garamond" w:cs="Arial"/>
                <w:b/>
                <w:bCs/>
                <w:i/>
                <w:iCs/>
                <w:kern w:val="0"/>
                <w:sz w:val="20"/>
                <w14:ligatures w14:val="none"/>
              </w:rPr>
            </w:pPr>
            <w:r w:rsidRPr="002128A6">
              <w:rPr>
                <w:rFonts w:ascii="Garamond" w:eastAsia="Times New Roman" w:hAnsi="Garamond" w:cs="Arial"/>
                <w:b/>
                <w:bCs/>
                <w:i/>
                <w:iCs/>
                <w:kern w:val="0"/>
                <w:sz w:val="20"/>
                <w14:ligatures w14:val="none"/>
              </w:rPr>
              <w:t>2,992,554,000</w:t>
            </w:r>
          </w:p>
        </w:tc>
      </w:tr>
      <w:tr w:rsidR="00F54824" w:rsidRPr="002128A6" w14:paraId="02AD715A" w14:textId="77777777" w:rsidTr="007D462A">
        <w:trPr>
          <w:trHeight w:val="20"/>
        </w:trPr>
        <w:tc>
          <w:tcPr>
            <w:tcW w:w="1108" w:type="dxa"/>
            <w:tcBorders>
              <w:top w:val="nil"/>
              <w:left w:val="single" w:sz="8" w:space="0" w:color="auto"/>
              <w:bottom w:val="nil"/>
              <w:right w:val="single" w:sz="8" w:space="0" w:color="8EAADB"/>
            </w:tcBorders>
            <w:vAlign w:val="center"/>
            <w:hideMark/>
          </w:tcPr>
          <w:p w14:paraId="36B2F62D" w14:textId="77EF8C40" w:rsidR="006F72C1" w:rsidRPr="002128A6" w:rsidRDefault="006F72C1" w:rsidP="00FA5097">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TOTALI [</w:t>
            </w:r>
            <w:r w:rsidR="00FA5097" w:rsidRPr="002128A6">
              <w:rPr>
                <w:rFonts w:ascii="Garamond" w:eastAsia="Times New Roman" w:hAnsi="Garamond" w:cs="Arial"/>
                <w:b/>
                <w:bCs/>
                <w:kern w:val="0"/>
                <w:sz w:val="20"/>
                <w14:ligatures w14:val="none"/>
              </w:rPr>
              <w:t>euro</w:t>
            </w:r>
            <w:r w:rsidRPr="002128A6">
              <w:rPr>
                <w:rFonts w:ascii="Garamond" w:eastAsia="Times New Roman" w:hAnsi="Garamond" w:cs="Arial"/>
                <w:b/>
                <w:bCs/>
                <w:kern w:val="0"/>
                <w:sz w:val="20"/>
                <w14:ligatures w14:val="none"/>
              </w:rPr>
              <w:t>]</w:t>
            </w:r>
          </w:p>
        </w:tc>
        <w:tc>
          <w:tcPr>
            <w:tcW w:w="1789" w:type="dxa"/>
            <w:vMerge w:val="restart"/>
            <w:tcBorders>
              <w:top w:val="nil"/>
              <w:left w:val="single" w:sz="8" w:space="0" w:color="8EAADB"/>
              <w:bottom w:val="single" w:sz="8" w:space="0" w:color="000000"/>
              <w:right w:val="single" w:sz="8" w:space="0" w:color="8EAADB"/>
            </w:tcBorders>
            <w:vAlign w:val="center"/>
            <w:hideMark/>
          </w:tcPr>
          <w:p w14:paraId="0A9AFD15" w14:textId="77777777" w:rsidR="006F72C1" w:rsidRPr="002128A6" w:rsidRDefault="006F72C1" w:rsidP="000E3629">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w:t>
            </w:r>
          </w:p>
        </w:tc>
        <w:tc>
          <w:tcPr>
            <w:tcW w:w="1444" w:type="dxa"/>
            <w:vMerge w:val="restart"/>
            <w:tcBorders>
              <w:top w:val="nil"/>
              <w:left w:val="single" w:sz="8" w:space="0" w:color="8EAADB"/>
              <w:bottom w:val="single" w:sz="8" w:space="0" w:color="000000"/>
              <w:right w:val="single" w:sz="8" w:space="0" w:color="8EAADB"/>
            </w:tcBorders>
            <w:vAlign w:val="center"/>
            <w:hideMark/>
          </w:tcPr>
          <w:p w14:paraId="76EBD535"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bookmarkStart w:id="86" w:name="RANGE!C12"/>
            <w:r w:rsidRPr="002128A6">
              <w:rPr>
                <w:rFonts w:ascii="Garamond" w:eastAsia="Times New Roman" w:hAnsi="Garamond" w:cs="Arial"/>
                <w:b/>
                <w:bCs/>
                <w:kern w:val="0"/>
                <w:sz w:val="20"/>
                <w14:ligatures w14:val="none"/>
              </w:rPr>
              <w:t>403,123,757</w:t>
            </w:r>
            <w:bookmarkEnd w:id="86"/>
          </w:p>
        </w:tc>
        <w:tc>
          <w:tcPr>
            <w:tcW w:w="1425" w:type="dxa"/>
            <w:vMerge w:val="restart"/>
            <w:tcBorders>
              <w:top w:val="nil"/>
              <w:left w:val="single" w:sz="8" w:space="0" w:color="8EAADB"/>
              <w:bottom w:val="single" w:sz="8" w:space="0" w:color="000000"/>
              <w:right w:val="single" w:sz="8" w:space="0" w:color="8EAADB"/>
            </w:tcBorders>
            <w:vAlign w:val="center"/>
            <w:hideMark/>
          </w:tcPr>
          <w:p w14:paraId="505F5680"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243,173,109</w:t>
            </w:r>
          </w:p>
        </w:tc>
        <w:tc>
          <w:tcPr>
            <w:tcW w:w="1348" w:type="dxa"/>
            <w:vMerge w:val="restart"/>
            <w:tcBorders>
              <w:top w:val="nil"/>
              <w:left w:val="single" w:sz="8" w:space="0" w:color="8EAADB"/>
              <w:bottom w:val="single" w:sz="8" w:space="0" w:color="000000"/>
              <w:right w:val="single" w:sz="8" w:space="0" w:color="8EAADB"/>
            </w:tcBorders>
            <w:vAlign w:val="center"/>
            <w:hideMark/>
          </w:tcPr>
          <w:p w14:paraId="74865D44"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85,117,035</w:t>
            </w:r>
          </w:p>
        </w:tc>
        <w:tc>
          <w:tcPr>
            <w:tcW w:w="1344" w:type="dxa"/>
            <w:vMerge w:val="restart"/>
            <w:tcBorders>
              <w:top w:val="nil"/>
              <w:left w:val="single" w:sz="8" w:space="0" w:color="8EAADB"/>
              <w:bottom w:val="single" w:sz="8" w:space="0" w:color="000000"/>
              <w:right w:val="single" w:sz="8" w:space="0" w:color="8EAADB"/>
            </w:tcBorders>
            <w:vAlign w:val="center"/>
            <w:hideMark/>
          </w:tcPr>
          <w:p w14:paraId="61B4E1B4"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42,690,176</w:t>
            </w:r>
          </w:p>
        </w:tc>
        <w:tc>
          <w:tcPr>
            <w:tcW w:w="1356" w:type="dxa"/>
            <w:vMerge w:val="restart"/>
            <w:tcBorders>
              <w:top w:val="nil"/>
              <w:left w:val="single" w:sz="8" w:space="0" w:color="8EAADB"/>
              <w:bottom w:val="single" w:sz="8" w:space="0" w:color="000000"/>
              <w:right w:val="single" w:sz="8" w:space="0" w:color="8EAADB"/>
            </w:tcBorders>
            <w:vAlign w:val="center"/>
            <w:hideMark/>
          </w:tcPr>
          <w:p w14:paraId="734394B9" w14:textId="77777777" w:rsidR="006F72C1" w:rsidRPr="002128A6" w:rsidRDefault="006F72C1" w:rsidP="00FA5097">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32,143,437</w:t>
            </w:r>
          </w:p>
        </w:tc>
      </w:tr>
      <w:tr w:rsidR="006F72C1" w:rsidRPr="002128A6" w14:paraId="4DE29567" w14:textId="77777777" w:rsidTr="007D462A">
        <w:trPr>
          <w:trHeight w:val="20"/>
        </w:trPr>
        <w:tc>
          <w:tcPr>
            <w:tcW w:w="1108" w:type="dxa"/>
            <w:tcBorders>
              <w:top w:val="nil"/>
              <w:left w:val="single" w:sz="8" w:space="0" w:color="auto"/>
              <w:bottom w:val="single" w:sz="8" w:space="0" w:color="auto"/>
              <w:right w:val="single" w:sz="8" w:space="0" w:color="8EAADB"/>
            </w:tcBorders>
            <w:vAlign w:val="center"/>
            <w:hideMark/>
          </w:tcPr>
          <w:p w14:paraId="52E22BC9" w14:textId="092FC1B1" w:rsidR="006F72C1" w:rsidRPr="002128A6" w:rsidRDefault="006F72C1" w:rsidP="00FA5097">
            <w:pPr>
              <w:spacing w:after="0" w:line="240" w:lineRule="auto"/>
              <w:jc w:val="center"/>
              <w:rPr>
                <w:rFonts w:ascii="Garamond" w:eastAsia="Times New Roman" w:hAnsi="Garamond" w:cs="Arial"/>
                <w:b/>
                <w:bCs/>
                <w:i/>
                <w:iCs/>
                <w:kern w:val="0"/>
                <w:sz w:val="20"/>
                <w14:ligatures w14:val="none"/>
              </w:rPr>
            </w:pPr>
            <w:r w:rsidRPr="002128A6">
              <w:rPr>
                <w:rFonts w:ascii="Garamond" w:eastAsia="Times New Roman" w:hAnsi="Garamond" w:cs="Arial"/>
                <w:b/>
                <w:bCs/>
                <w:i/>
                <w:iCs/>
                <w:kern w:val="0"/>
                <w:sz w:val="20"/>
                <w14:ligatures w14:val="none"/>
              </w:rPr>
              <w:t xml:space="preserve">1 euro 93.1 </w:t>
            </w:r>
            <w:r w:rsidR="00FA5097" w:rsidRPr="002128A6">
              <w:rPr>
                <w:rFonts w:ascii="Garamond" w:eastAsia="Times New Roman" w:hAnsi="Garamond" w:cs="Arial"/>
                <w:b/>
                <w:bCs/>
                <w:i/>
                <w:iCs/>
                <w:kern w:val="0"/>
                <w:sz w:val="20"/>
                <w14:ligatures w14:val="none"/>
              </w:rPr>
              <w:t>lekë</w:t>
            </w:r>
          </w:p>
        </w:tc>
        <w:tc>
          <w:tcPr>
            <w:tcW w:w="1789" w:type="dxa"/>
            <w:vMerge/>
            <w:tcBorders>
              <w:top w:val="nil"/>
              <w:left w:val="single" w:sz="8" w:space="0" w:color="8EAADB"/>
              <w:bottom w:val="single" w:sz="8" w:space="0" w:color="000000"/>
              <w:right w:val="single" w:sz="8" w:space="0" w:color="8EAADB"/>
            </w:tcBorders>
            <w:vAlign w:val="center"/>
            <w:hideMark/>
          </w:tcPr>
          <w:p w14:paraId="49B6B0A9"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444" w:type="dxa"/>
            <w:vMerge/>
            <w:tcBorders>
              <w:top w:val="nil"/>
              <w:left w:val="single" w:sz="8" w:space="0" w:color="8EAADB"/>
              <w:bottom w:val="single" w:sz="8" w:space="0" w:color="000000"/>
              <w:right w:val="single" w:sz="8" w:space="0" w:color="8EAADB"/>
            </w:tcBorders>
            <w:vAlign w:val="center"/>
            <w:hideMark/>
          </w:tcPr>
          <w:p w14:paraId="00A430CB"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425" w:type="dxa"/>
            <w:vMerge/>
            <w:tcBorders>
              <w:top w:val="nil"/>
              <w:left w:val="single" w:sz="8" w:space="0" w:color="8EAADB"/>
              <w:bottom w:val="single" w:sz="8" w:space="0" w:color="000000"/>
              <w:right w:val="single" w:sz="8" w:space="0" w:color="8EAADB"/>
            </w:tcBorders>
            <w:vAlign w:val="center"/>
            <w:hideMark/>
          </w:tcPr>
          <w:p w14:paraId="35F096B7"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348" w:type="dxa"/>
            <w:vMerge/>
            <w:tcBorders>
              <w:top w:val="nil"/>
              <w:left w:val="single" w:sz="8" w:space="0" w:color="8EAADB"/>
              <w:bottom w:val="single" w:sz="8" w:space="0" w:color="000000"/>
              <w:right w:val="single" w:sz="8" w:space="0" w:color="8EAADB"/>
            </w:tcBorders>
            <w:vAlign w:val="center"/>
            <w:hideMark/>
          </w:tcPr>
          <w:p w14:paraId="69D2C272"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344" w:type="dxa"/>
            <w:vMerge/>
            <w:tcBorders>
              <w:top w:val="nil"/>
              <w:left w:val="single" w:sz="8" w:space="0" w:color="8EAADB"/>
              <w:bottom w:val="single" w:sz="8" w:space="0" w:color="000000"/>
              <w:right w:val="single" w:sz="8" w:space="0" w:color="8EAADB"/>
            </w:tcBorders>
            <w:vAlign w:val="center"/>
            <w:hideMark/>
          </w:tcPr>
          <w:p w14:paraId="557A7E28"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c>
          <w:tcPr>
            <w:tcW w:w="1356" w:type="dxa"/>
            <w:vMerge/>
            <w:tcBorders>
              <w:top w:val="nil"/>
              <w:left w:val="single" w:sz="8" w:space="0" w:color="8EAADB"/>
              <w:bottom w:val="single" w:sz="8" w:space="0" w:color="000000"/>
              <w:right w:val="single" w:sz="8" w:space="0" w:color="8EAADB"/>
            </w:tcBorders>
            <w:vAlign w:val="center"/>
            <w:hideMark/>
          </w:tcPr>
          <w:p w14:paraId="5746B034" w14:textId="77777777" w:rsidR="006F72C1" w:rsidRPr="002128A6" w:rsidRDefault="006F72C1" w:rsidP="000E3629">
            <w:pPr>
              <w:spacing w:after="0" w:line="240" w:lineRule="auto"/>
              <w:rPr>
                <w:rFonts w:ascii="Garamond" w:eastAsia="Times New Roman" w:hAnsi="Garamond" w:cs="Arial"/>
                <w:b/>
                <w:bCs/>
                <w:kern w:val="0"/>
                <w:sz w:val="20"/>
                <w14:ligatures w14:val="none"/>
              </w:rPr>
            </w:pPr>
          </w:p>
        </w:tc>
      </w:tr>
    </w:tbl>
    <w:p w14:paraId="0AE06F52" w14:textId="77777777" w:rsidR="00625460" w:rsidRPr="002128A6" w:rsidRDefault="00625460" w:rsidP="0025426C">
      <w:pPr>
        <w:spacing w:after="0" w:line="240" w:lineRule="auto"/>
        <w:ind w:firstLine="284"/>
        <w:jc w:val="both"/>
        <w:rPr>
          <w:rFonts w:ascii="Garamond" w:eastAsia="Times New Roman" w:hAnsi="Garamond" w:cstheme="majorBidi"/>
        </w:rPr>
      </w:pPr>
    </w:p>
    <w:p w14:paraId="3DC80DD5" w14:textId="0FE88C7F" w:rsidR="00BE490C" w:rsidRPr="002128A6" w:rsidRDefault="00BE490C" w:rsidP="0025426C">
      <w:pPr>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Efektet financiare janë llogaritur për të gjithë periudhën e zbatimit të strategjisë 2026</w:t>
      </w:r>
      <w:r w:rsidR="00FA5097" w:rsidRPr="002128A6">
        <w:rPr>
          <w:rFonts w:ascii="Garamond" w:eastAsia="Times New Roman" w:hAnsi="Garamond" w:cstheme="majorBidi"/>
        </w:rPr>
        <w:t>–</w:t>
      </w:r>
      <w:r w:rsidRPr="002128A6">
        <w:rPr>
          <w:rFonts w:ascii="Garamond" w:eastAsia="Times New Roman" w:hAnsi="Garamond" w:cstheme="majorBidi"/>
        </w:rPr>
        <w:t>2030, duke marrë parasysh aktivitetet e parashikuara në planin e veprimit 2026</w:t>
      </w:r>
      <w:r w:rsidR="00FA5097" w:rsidRPr="002128A6">
        <w:rPr>
          <w:rFonts w:ascii="Garamond" w:eastAsia="Times New Roman" w:hAnsi="Garamond" w:cstheme="majorBidi"/>
        </w:rPr>
        <w:t>–</w:t>
      </w:r>
      <w:r w:rsidRPr="002128A6">
        <w:rPr>
          <w:rFonts w:ascii="Garamond" w:eastAsia="Times New Roman" w:hAnsi="Garamond" w:cstheme="majorBidi"/>
        </w:rPr>
        <w:t xml:space="preserve">2028 dhe dokumentin strategjik. Efektet financiare pritet të mbulohen nga buxhetet vjetore përkatëse të institucioneve të ngarkuara me </w:t>
      </w:r>
      <w:r w:rsidRPr="002128A6">
        <w:rPr>
          <w:rFonts w:ascii="Garamond" w:eastAsia="Times New Roman" w:hAnsi="Garamond" w:cstheme="majorBidi"/>
        </w:rPr>
        <w:lastRenderedPageBreak/>
        <w:t>zbatimin e masave, nga buxhetet e donatorëve dhe nga institucione të tjera që janë përgjegjëse për zbatimin e masave.</w:t>
      </w:r>
    </w:p>
    <w:p w14:paraId="3EC77D9E" w14:textId="78CB0D44" w:rsidR="00BE490C" w:rsidRPr="002128A6" w:rsidRDefault="00BE490C" w:rsidP="0025426C">
      <w:pPr>
        <w:autoSpaceDE w:val="0"/>
        <w:autoSpaceDN w:val="0"/>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Procesi i llogaritjes së kostos u bazua në konsultimin e dokumenteve të tjera kombëtare, përfshirë Programin Buxhetor Afatmesëm 2026</w:t>
      </w:r>
      <w:r w:rsidR="008D3EC2" w:rsidRPr="002128A6">
        <w:rPr>
          <w:rFonts w:ascii="Garamond" w:eastAsia="Times New Roman" w:hAnsi="Garamond" w:cstheme="majorBidi"/>
        </w:rPr>
        <w:t>–</w:t>
      </w:r>
      <w:r w:rsidRPr="002128A6">
        <w:rPr>
          <w:rFonts w:ascii="Garamond" w:eastAsia="Times New Roman" w:hAnsi="Garamond" w:cstheme="majorBidi"/>
        </w:rPr>
        <w:t xml:space="preserve">2028, Programin Buxhetor Afatmesëm 2028-2030 dhe konsultimet me të gjitha institucionet e përfshira në zbatimin e planit, si dhe kostot historike nga zbatimi i planit të mëparshëm. </w:t>
      </w:r>
    </w:p>
    <w:p w14:paraId="062AFD0E" w14:textId="77777777" w:rsidR="00BE490C" w:rsidRPr="002128A6" w:rsidRDefault="00BE490C" w:rsidP="0025426C">
      <w:pPr>
        <w:autoSpaceDE w:val="0"/>
        <w:autoSpaceDN w:val="0"/>
        <w:spacing w:after="0" w:line="240" w:lineRule="auto"/>
        <w:ind w:firstLine="284"/>
        <w:jc w:val="both"/>
        <w:rPr>
          <w:rFonts w:ascii="Garamond" w:eastAsia="Times New Roman" w:hAnsi="Garamond" w:cstheme="majorBidi"/>
        </w:rPr>
      </w:pPr>
      <w:r w:rsidRPr="002128A6">
        <w:rPr>
          <w:rFonts w:ascii="Garamond" w:eastAsia="Times New Roman" w:hAnsi="Garamond" w:cstheme="majorBidi"/>
        </w:rPr>
        <w:t>Plani i veprimit shoqërohet nga një llogaritje analitike e kostos së çdo mase, e cila mbështetet nga një ndarje e detajuar e shpenzimeve për çdo aktivitet. Llogaritja e strategjisë dhe planit të veprimit është kryer bazuar në metodologjitë dhe praktikat e planifikimit buxhetor, duke përdorur instrumentet e rekomanduara nga IPSIS.</w:t>
      </w:r>
    </w:p>
    <w:p w14:paraId="209920D3" w14:textId="77777777" w:rsidR="00C4020D" w:rsidRPr="002128A6" w:rsidRDefault="00C4020D" w:rsidP="00C4020D">
      <w:pPr>
        <w:spacing w:after="0" w:line="240" w:lineRule="auto"/>
        <w:jc w:val="center"/>
        <w:rPr>
          <w:rFonts w:ascii="Garamond" w:eastAsia="Times New Roman" w:hAnsi="Garamond" w:cstheme="majorBidi"/>
          <w:b/>
          <w:bCs/>
          <w:i/>
          <w:iCs/>
          <w:kern w:val="0"/>
          <w14:ligatures w14:val="none"/>
        </w:rPr>
      </w:pPr>
    </w:p>
    <w:p w14:paraId="3A3AAFB8" w14:textId="7C213271" w:rsidR="00BE490C" w:rsidRPr="002128A6" w:rsidRDefault="00BE490C" w:rsidP="00C4020D">
      <w:pPr>
        <w:spacing w:after="0" w:line="240" w:lineRule="auto"/>
        <w:jc w:val="center"/>
        <w:rPr>
          <w:rFonts w:ascii="Garamond" w:eastAsia="Times New Roman" w:hAnsi="Garamond" w:cstheme="majorBidi"/>
          <w:kern w:val="0"/>
          <w14:ligatures w14:val="none"/>
        </w:rPr>
      </w:pPr>
      <w:r w:rsidRPr="002128A6">
        <w:rPr>
          <w:rFonts w:ascii="Garamond" w:eastAsia="Times New Roman" w:hAnsi="Garamond" w:cstheme="majorBidi"/>
          <w:b/>
          <w:bCs/>
          <w:i/>
          <w:iCs/>
          <w:kern w:val="0"/>
          <w14:ligatures w14:val="none"/>
        </w:rPr>
        <w:t>Grafiku 1:</w:t>
      </w:r>
      <w:r w:rsidRPr="002128A6">
        <w:rPr>
          <w:rFonts w:ascii="Garamond" w:eastAsia="Times New Roman" w:hAnsi="Garamond" w:cstheme="majorBidi"/>
          <w:kern w:val="0"/>
          <w14:ligatures w14:val="none"/>
        </w:rPr>
        <w:t xml:space="preserve"> </w:t>
      </w:r>
      <w:r w:rsidRPr="002128A6">
        <w:rPr>
          <w:rFonts w:ascii="Garamond" w:eastAsia="Times New Roman" w:hAnsi="Garamond" w:cstheme="majorBidi"/>
          <w:i/>
          <w:iCs/>
          <w:kern w:val="0"/>
          <w14:ligatures w14:val="none"/>
        </w:rPr>
        <w:t>Financimi i strategjisë do të kryhet nga disa burime, duke përmendur këtu buxhetin e shtetit (8</w:t>
      </w:r>
      <w:r w:rsidR="008D7DC9" w:rsidRPr="002128A6">
        <w:rPr>
          <w:rFonts w:ascii="Garamond" w:eastAsia="Times New Roman" w:hAnsi="Garamond" w:cstheme="majorBidi"/>
          <w:i/>
          <w:iCs/>
          <w:kern w:val="0"/>
          <w14:ligatures w14:val="none"/>
        </w:rPr>
        <w:t>1</w:t>
      </w:r>
      <w:r w:rsidRPr="002128A6">
        <w:rPr>
          <w:rFonts w:ascii="Garamond" w:eastAsia="Times New Roman" w:hAnsi="Garamond" w:cstheme="majorBidi"/>
          <w:i/>
          <w:iCs/>
          <w:kern w:val="0"/>
          <w14:ligatures w14:val="none"/>
        </w:rPr>
        <w:t xml:space="preserve">%) dhe financimin e huaj (11%). Boshllëku financiar është </w:t>
      </w:r>
      <w:r w:rsidR="008D7DC9" w:rsidRPr="002128A6">
        <w:rPr>
          <w:rFonts w:ascii="Garamond" w:eastAsia="Times New Roman" w:hAnsi="Garamond" w:cstheme="majorBidi"/>
          <w:i/>
          <w:iCs/>
          <w:kern w:val="0"/>
          <w14:ligatures w14:val="none"/>
        </w:rPr>
        <w:t>8</w:t>
      </w:r>
      <w:r w:rsidRPr="002128A6">
        <w:rPr>
          <w:rFonts w:ascii="Garamond" w:eastAsia="Times New Roman" w:hAnsi="Garamond" w:cstheme="majorBidi"/>
          <w:i/>
          <w:iCs/>
          <w:kern w:val="0"/>
          <w14:ligatures w14:val="none"/>
        </w:rPr>
        <w:t>%.</w:t>
      </w:r>
    </w:p>
    <w:tbl>
      <w:tblPr>
        <w:tblW w:w="7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2160"/>
        <w:gridCol w:w="2082"/>
      </w:tblGrid>
      <w:tr w:rsidR="00F54824" w:rsidRPr="002128A6" w14:paraId="3A09D282" w14:textId="77777777" w:rsidTr="000E3629">
        <w:trPr>
          <w:trHeight w:val="20"/>
          <w:jc w:val="center"/>
        </w:trPr>
        <w:tc>
          <w:tcPr>
            <w:tcW w:w="3048" w:type="dxa"/>
            <w:shd w:val="clear" w:color="000000" w:fill="4472C4"/>
            <w:vAlign w:val="center"/>
          </w:tcPr>
          <w:p w14:paraId="7873F112" w14:textId="54900C08" w:rsidR="00FC065D" w:rsidRPr="002128A6" w:rsidRDefault="00FC065D" w:rsidP="000E3629">
            <w:pPr>
              <w:spacing w:after="0" w:line="240" w:lineRule="auto"/>
              <w:jc w:val="both"/>
              <w:rPr>
                <w:rFonts w:ascii="Garamond" w:eastAsia="Times New Roman" w:hAnsi="Garamond" w:cstheme="majorBidi"/>
                <w:b/>
                <w:bCs/>
                <w:kern w:val="0"/>
                <w:sz w:val="20"/>
                <w:szCs w:val="20"/>
                <w:lang w:eastAsia="sq-AL"/>
                <w14:ligatures w14:val="none"/>
              </w:rPr>
            </w:pPr>
            <w:r w:rsidRPr="002128A6">
              <w:rPr>
                <w:rFonts w:ascii="Garamond" w:hAnsi="Garamond" w:cstheme="majorBidi"/>
                <w:b/>
                <w:bCs/>
                <w:sz w:val="20"/>
                <w:szCs w:val="20"/>
              </w:rPr>
              <w:t xml:space="preserve">Kostot </w:t>
            </w:r>
            <w:r w:rsidR="00C4020D" w:rsidRPr="002128A6">
              <w:rPr>
                <w:rFonts w:ascii="Garamond" w:hAnsi="Garamond" w:cstheme="majorBidi"/>
                <w:b/>
                <w:bCs/>
                <w:sz w:val="20"/>
                <w:szCs w:val="20"/>
              </w:rPr>
              <w:t xml:space="preserve">totale </w:t>
            </w:r>
            <w:r w:rsidRPr="002128A6">
              <w:rPr>
                <w:rFonts w:ascii="Garamond" w:hAnsi="Garamond" w:cstheme="majorBidi"/>
                <w:b/>
                <w:bCs/>
                <w:sz w:val="20"/>
                <w:szCs w:val="20"/>
              </w:rPr>
              <w:t>të Strategjisë</w:t>
            </w:r>
          </w:p>
        </w:tc>
        <w:tc>
          <w:tcPr>
            <w:tcW w:w="2160" w:type="dxa"/>
            <w:shd w:val="clear" w:color="000000" w:fill="4472C4"/>
            <w:noWrap/>
            <w:vAlign w:val="center"/>
          </w:tcPr>
          <w:p w14:paraId="12F42778" w14:textId="474244A0" w:rsidR="00FC065D" w:rsidRPr="002128A6" w:rsidRDefault="00FC065D" w:rsidP="00C4020D">
            <w:pPr>
              <w:spacing w:after="0" w:line="240" w:lineRule="auto"/>
              <w:jc w:val="right"/>
              <w:rPr>
                <w:rFonts w:ascii="Garamond" w:eastAsia="Times New Roman" w:hAnsi="Garamond" w:cstheme="majorBidi"/>
                <w:b/>
                <w:bCs/>
                <w:kern w:val="0"/>
                <w:sz w:val="20"/>
                <w:szCs w:val="20"/>
                <w:lang w:eastAsia="sq-AL"/>
                <w14:ligatures w14:val="none"/>
              </w:rPr>
            </w:pPr>
            <w:r w:rsidRPr="002128A6">
              <w:rPr>
                <w:rFonts w:ascii="Garamond" w:hAnsi="Garamond" w:cs="Calibri"/>
                <w:b/>
                <w:bCs/>
                <w:sz w:val="20"/>
                <w:szCs w:val="20"/>
              </w:rPr>
              <w:t>37,530,821,822</w:t>
            </w:r>
          </w:p>
        </w:tc>
        <w:tc>
          <w:tcPr>
            <w:tcW w:w="2082" w:type="dxa"/>
          </w:tcPr>
          <w:p w14:paraId="3B9AD7AC" w14:textId="5869C330" w:rsidR="00FC065D" w:rsidRPr="002128A6" w:rsidRDefault="00F54824" w:rsidP="000E3629">
            <w:pPr>
              <w:spacing w:after="0" w:line="240" w:lineRule="auto"/>
              <w:jc w:val="both"/>
              <w:rPr>
                <w:rFonts w:ascii="Garamond" w:hAnsi="Garamond" w:cstheme="majorBidi"/>
                <w:b/>
                <w:bCs/>
                <w:sz w:val="20"/>
                <w:szCs w:val="20"/>
              </w:rPr>
            </w:pPr>
            <w:r w:rsidRPr="002128A6">
              <w:rPr>
                <w:rFonts w:ascii="Garamond" w:hAnsi="Garamond" w:cstheme="majorBidi"/>
                <w:b/>
                <w:bCs/>
                <w:sz w:val="20"/>
                <w:szCs w:val="20"/>
              </w:rPr>
              <w:t xml:space="preserve"> </w:t>
            </w:r>
            <w:r w:rsidR="00FC065D" w:rsidRPr="002128A6">
              <w:rPr>
                <w:rFonts w:ascii="Garamond" w:hAnsi="Garamond" w:cstheme="majorBidi"/>
                <w:b/>
                <w:bCs/>
                <w:sz w:val="20"/>
                <w:szCs w:val="20"/>
              </w:rPr>
              <w:t>Vlera në %</w:t>
            </w:r>
          </w:p>
        </w:tc>
      </w:tr>
      <w:tr w:rsidR="00F54824" w:rsidRPr="002128A6" w14:paraId="0FFA0159" w14:textId="77777777" w:rsidTr="000E3629">
        <w:trPr>
          <w:trHeight w:val="20"/>
          <w:jc w:val="center"/>
        </w:trPr>
        <w:tc>
          <w:tcPr>
            <w:tcW w:w="3048" w:type="dxa"/>
            <w:shd w:val="clear" w:color="000000" w:fill="4472C4"/>
            <w:vAlign w:val="center"/>
            <w:hideMark/>
          </w:tcPr>
          <w:p w14:paraId="25DD8777" w14:textId="677CCEC4" w:rsidR="00FC065D" w:rsidRPr="002128A6" w:rsidRDefault="00FC065D" w:rsidP="000E3629">
            <w:pPr>
              <w:spacing w:after="0" w:line="240" w:lineRule="auto"/>
              <w:jc w:val="both"/>
              <w:rPr>
                <w:rFonts w:ascii="Garamond" w:eastAsia="Times New Roman" w:hAnsi="Garamond" w:cstheme="majorBidi"/>
                <w:kern w:val="0"/>
                <w:sz w:val="20"/>
                <w:szCs w:val="20"/>
                <w:lang w:eastAsia="sq-AL"/>
                <w14:ligatures w14:val="none"/>
              </w:rPr>
            </w:pPr>
            <w:r w:rsidRPr="002128A6">
              <w:rPr>
                <w:rFonts w:ascii="Garamond" w:hAnsi="Garamond" w:cstheme="majorBidi"/>
                <w:sz w:val="20"/>
                <w:szCs w:val="20"/>
              </w:rPr>
              <w:t>PBA 2026</w:t>
            </w:r>
            <w:r w:rsidR="00C4020D" w:rsidRPr="002128A6">
              <w:rPr>
                <w:rFonts w:ascii="Garamond" w:hAnsi="Garamond" w:cstheme="majorBidi"/>
                <w:sz w:val="20"/>
                <w:szCs w:val="20"/>
              </w:rPr>
              <w:t>–</w:t>
            </w:r>
            <w:r w:rsidRPr="002128A6">
              <w:rPr>
                <w:rFonts w:ascii="Garamond" w:hAnsi="Garamond" w:cstheme="majorBidi"/>
                <w:sz w:val="20"/>
                <w:szCs w:val="20"/>
              </w:rPr>
              <w:t>2028</w:t>
            </w:r>
          </w:p>
        </w:tc>
        <w:tc>
          <w:tcPr>
            <w:tcW w:w="2160" w:type="dxa"/>
            <w:shd w:val="clear" w:color="000000" w:fill="4472C4"/>
            <w:noWrap/>
            <w:vAlign w:val="center"/>
            <w:hideMark/>
          </w:tcPr>
          <w:p w14:paraId="3EA2A996" w14:textId="0CC08225" w:rsidR="00FC065D" w:rsidRPr="002128A6" w:rsidRDefault="00FC065D" w:rsidP="00C4020D">
            <w:pPr>
              <w:spacing w:after="0" w:line="240" w:lineRule="auto"/>
              <w:jc w:val="right"/>
              <w:rPr>
                <w:rFonts w:ascii="Garamond" w:eastAsia="Times New Roman" w:hAnsi="Garamond" w:cstheme="majorBidi"/>
                <w:kern w:val="0"/>
                <w:sz w:val="20"/>
                <w:szCs w:val="20"/>
                <w:lang w:eastAsia="sq-AL"/>
                <w14:ligatures w14:val="none"/>
              </w:rPr>
            </w:pPr>
            <w:r w:rsidRPr="002128A6">
              <w:rPr>
                <w:rFonts w:ascii="Garamond" w:hAnsi="Garamond" w:cs="Calibri"/>
                <w:sz w:val="20"/>
                <w:szCs w:val="20"/>
              </w:rPr>
              <w:t>22,639,416,416</w:t>
            </w:r>
          </w:p>
        </w:tc>
        <w:tc>
          <w:tcPr>
            <w:tcW w:w="2082" w:type="dxa"/>
            <w:vAlign w:val="center"/>
          </w:tcPr>
          <w:p w14:paraId="0150B2AB" w14:textId="7AE7DD9F" w:rsidR="00FC065D" w:rsidRPr="002128A6" w:rsidRDefault="00FC065D" w:rsidP="00C4020D">
            <w:pPr>
              <w:spacing w:after="0" w:line="240" w:lineRule="auto"/>
              <w:jc w:val="center"/>
              <w:rPr>
                <w:rFonts w:ascii="Garamond" w:hAnsi="Garamond" w:cstheme="majorBidi"/>
                <w:sz w:val="20"/>
                <w:szCs w:val="20"/>
              </w:rPr>
            </w:pPr>
            <w:r w:rsidRPr="002128A6">
              <w:rPr>
                <w:rFonts w:ascii="Garamond" w:hAnsi="Garamond" w:cs="Calibri"/>
                <w:b/>
                <w:bCs/>
                <w:sz w:val="20"/>
                <w:szCs w:val="20"/>
              </w:rPr>
              <w:t>60</w:t>
            </w:r>
          </w:p>
        </w:tc>
      </w:tr>
      <w:tr w:rsidR="00F54824" w:rsidRPr="002128A6" w14:paraId="073EA154" w14:textId="77777777" w:rsidTr="000E3629">
        <w:trPr>
          <w:trHeight w:val="20"/>
          <w:jc w:val="center"/>
        </w:trPr>
        <w:tc>
          <w:tcPr>
            <w:tcW w:w="3048" w:type="dxa"/>
            <w:shd w:val="clear" w:color="000000" w:fill="4472C4"/>
            <w:vAlign w:val="center"/>
            <w:hideMark/>
          </w:tcPr>
          <w:p w14:paraId="05126BB8" w14:textId="72FED165" w:rsidR="00FC065D" w:rsidRPr="002128A6" w:rsidRDefault="00FC065D" w:rsidP="000E3629">
            <w:pPr>
              <w:spacing w:after="0" w:line="240" w:lineRule="auto"/>
              <w:jc w:val="both"/>
              <w:rPr>
                <w:rFonts w:ascii="Garamond" w:eastAsia="Times New Roman" w:hAnsi="Garamond" w:cstheme="majorBidi"/>
                <w:kern w:val="0"/>
                <w:sz w:val="20"/>
                <w:szCs w:val="20"/>
                <w:lang w:eastAsia="sq-AL"/>
                <w14:ligatures w14:val="none"/>
              </w:rPr>
            </w:pPr>
            <w:r w:rsidRPr="002128A6">
              <w:rPr>
                <w:rFonts w:ascii="Garamond" w:hAnsi="Garamond" w:cstheme="majorBidi"/>
                <w:sz w:val="20"/>
                <w:szCs w:val="20"/>
              </w:rPr>
              <w:t>PBA</w:t>
            </w:r>
            <w:r w:rsidR="00F54824" w:rsidRPr="002128A6">
              <w:rPr>
                <w:rFonts w:ascii="Garamond" w:hAnsi="Garamond" w:cstheme="majorBidi"/>
                <w:sz w:val="20"/>
                <w:szCs w:val="20"/>
              </w:rPr>
              <w:t xml:space="preserve"> </w:t>
            </w:r>
            <w:r w:rsidRPr="002128A6">
              <w:rPr>
                <w:rFonts w:ascii="Garamond" w:hAnsi="Garamond" w:cstheme="majorBidi"/>
                <w:sz w:val="20"/>
                <w:szCs w:val="20"/>
              </w:rPr>
              <w:t>2028</w:t>
            </w:r>
            <w:r w:rsidR="00C4020D" w:rsidRPr="002128A6">
              <w:rPr>
                <w:rFonts w:ascii="Garamond" w:hAnsi="Garamond" w:cstheme="majorBidi"/>
                <w:sz w:val="20"/>
                <w:szCs w:val="20"/>
              </w:rPr>
              <w:t>–</w:t>
            </w:r>
            <w:r w:rsidRPr="002128A6">
              <w:rPr>
                <w:rFonts w:ascii="Garamond" w:hAnsi="Garamond" w:cstheme="majorBidi"/>
                <w:sz w:val="20"/>
                <w:szCs w:val="20"/>
              </w:rPr>
              <w:t>2030</w:t>
            </w:r>
          </w:p>
        </w:tc>
        <w:tc>
          <w:tcPr>
            <w:tcW w:w="2160" w:type="dxa"/>
            <w:shd w:val="clear" w:color="000000" w:fill="4472C4"/>
            <w:noWrap/>
            <w:vAlign w:val="center"/>
            <w:hideMark/>
          </w:tcPr>
          <w:p w14:paraId="2EBB2C67" w14:textId="464A2ADF" w:rsidR="00FC065D" w:rsidRPr="002128A6" w:rsidRDefault="00FC065D" w:rsidP="00C4020D">
            <w:pPr>
              <w:spacing w:after="0" w:line="240" w:lineRule="auto"/>
              <w:jc w:val="right"/>
              <w:rPr>
                <w:rFonts w:ascii="Garamond" w:eastAsia="Times New Roman" w:hAnsi="Garamond" w:cstheme="majorBidi"/>
                <w:kern w:val="0"/>
                <w:sz w:val="20"/>
                <w:szCs w:val="20"/>
                <w:lang w:eastAsia="sq-AL"/>
                <w14:ligatures w14:val="none"/>
              </w:rPr>
            </w:pPr>
            <w:r w:rsidRPr="002128A6">
              <w:rPr>
                <w:rFonts w:ascii="Garamond" w:hAnsi="Garamond" w:cs="Calibri"/>
                <w:sz w:val="20"/>
                <w:szCs w:val="20"/>
              </w:rPr>
              <w:t>7,924,395,998</w:t>
            </w:r>
          </w:p>
        </w:tc>
        <w:tc>
          <w:tcPr>
            <w:tcW w:w="2082" w:type="dxa"/>
            <w:vAlign w:val="center"/>
          </w:tcPr>
          <w:p w14:paraId="5DA3303D" w14:textId="7FE363DB" w:rsidR="00FC065D" w:rsidRPr="002128A6" w:rsidRDefault="00FC065D" w:rsidP="00C4020D">
            <w:pPr>
              <w:spacing w:after="0" w:line="240" w:lineRule="auto"/>
              <w:jc w:val="center"/>
              <w:rPr>
                <w:rFonts w:ascii="Garamond" w:hAnsi="Garamond" w:cstheme="majorBidi"/>
                <w:sz w:val="20"/>
                <w:szCs w:val="20"/>
              </w:rPr>
            </w:pPr>
            <w:r w:rsidRPr="002128A6">
              <w:rPr>
                <w:rFonts w:ascii="Garamond" w:hAnsi="Garamond" w:cs="Calibri"/>
                <w:b/>
                <w:bCs/>
                <w:sz w:val="20"/>
                <w:szCs w:val="20"/>
              </w:rPr>
              <w:t>21</w:t>
            </w:r>
          </w:p>
        </w:tc>
      </w:tr>
      <w:tr w:rsidR="00F54824" w:rsidRPr="002128A6" w14:paraId="7AD41F6F" w14:textId="77777777" w:rsidTr="000E3629">
        <w:trPr>
          <w:trHeight w:val="20"/>
          <w:jc w:val="center"/>
        </w:trPr>
        <w:tc>
          <w:tcPr>
            <w:tcW w:w="3048" w:type="dxa"/>
            <w:shd w:val="clear" w:color="000000" w:fill="4472C4"/>
            <w:vAlign w:val="center"/>
            <w:hideMark/>
          </w:tcPr>
          <w:p w14:paraId="08BFD515" w14:textId="34BC8491" w:rsidR="00FC065D" w:rsidRPr="002128A6" w:rsidRDefault="00FC065D" w:rsidP="000E3629">
            <w:pPr>
              <w:spacing w:after="0" w:line="240" w:lineRule="auto"/>
              <w:jc w:val="both"/>
              <w:rPr>
                <w:rFonts w:ascii="Garamond" w:eastAsia="Times New Roman" w:hAnsi="Garamond" w:cstheme="majorBidi"/>
                <w:kern w:val="0"/>
                <w:sz w:val="20"/>
                <w:szCs w:val="20"/>
                <w:lang w:eastAsia="sq-AL"/>
                <w14:ligatures w14:val="none"/>
              </w:rPr>
            </w:pPr>
            <w:r w:rsidRPr="002128A6">
              <w:rPr>
                <w:rFonts w:ascii="Garamond" w:hAnsi="Garamond" w:cstheme="majorBidi"/>
                <w:sz w:val="20"/>
                <w:szCs w:val="20"/>
              </w:rPr>
              <w:t xml:space="preserve">Financimi i </w:t>
            </w:r>
            <w:r w:rsidR="00393F5A" w:rsidRPr="002128A6">
              <w:rPr>
                <w:rFonts w:ascii="Garamond" w:hAnsi="Garamond" w:cstheme="majorBidi"/>
                <w:sz w:val="20"/>
                <w:szCs w:val="20"/>
              </w:rPr>
              <w:t>huaj</w:t>
            </w:r>
          </w:p>
        </w:tc>
        <w:tc>
          <w:tcPr>
            <w:tcW w:w="2160" w:type="dxa"/>
            <w:shd w:val="clear" w:color="000000" w:fill="4472C4"/>
            <w:noWrap/>
            <w:vAlign w:val="center"/>
            <w:hideMark/>
          </w:tcPr>
          <w:p w14:paraId="425E37A2" w14:textId="213160C8" w:rsidR="00FC065D" w:rsidRPr="002128A6" w:rsidRDefault="00FC065D" w:rsidP="00C4020D">
            <w:pPr>
              <w:spacing w:after="0" w:line="240" w:lineRule="auto"/>
              <w:jc w:val="right"/>
              <w:rPr>
                <w:rFonts w:ascii="Garamond" w:eastAsia="Times New Roman" w:hAnsi="Garamond" w:cstheme="majorBidi"/>
                <w:kern w:val="0"/>
                <w:sz w:val="20"/>
                <w:szCs w:val="20"/>
                <w:lang w:eastAsia="sq-AL"/>
                <w14:ligatures w14:val="none"/>
              </w:rPr>
            </w:pPr>
            <w:r w:rsidRPr="002128A6">
              <w:rPr>
                <w:rFonts w:ascii="Garamond" w:hAnsi="Garamond" w:cs="Calibri"/>
                <w:sz w:val="20"/>
                <w:szCs w:val="20"/>
              </w:rPr>
              <w:t>3,974,455,408</w:t>
            </w:r>
          </w:p>
        </w:tc>
        <w:tc>
          <w:tcPr>
            <w:tcW w:w="2082" w:type="dxa"/>
            <w:vAlign w:val="center"/>
          </w:tcPr>
          <w:p w14:paraId="338913C0" w14:textId="6E9FD0B8" w:rsidR="00FC065D" w:rsidRPr="002128A6" w:rsidRDefault="00FC065D" w:rsidP="00C4020D">
            <w:pPr>
              <w:spacing w:after="0" w:line="240" w:lineRule="auto"/>
              <w:jc w:val="center"/>
              <w:rPr>
                <w:rFonts w:ascii="Garamond" w:hAnsi="Garamond" w:cstheme="majorBidi"/>
                <w:sz w:val="20"/>
                <w:szCs w:val="20"/>
              </w:rPr>
            </w:pPr>
            <w:r w:rsidRPr="002128A6">
              <w:rPr>
                <w:rFonts w:ascii="Garamond" w:hAnsi="Garamond" w:cs="Calibri"/>
                <w:b/>
                <w:bCs/>
                <w:sz w:val="20"/>
                <w:szCs w:val="20"/>
              </w:rPr>
              <w:t>11</w:t>
            </w:r>
          </w:p>
        </w:tc>
      </w:tr>
      <w:tr w:rsidR="00F54824" w:rsidRPr="002128A6" w14:paraId="0756187C" w14:textId="77777777" w:rsidTr="000E3629">
        <w:trPr>
          <w:trHeight w:val="20"/>
          <w:jc w:val="center"/>
        </w:trPr>
        <w:tc>
          <w:tcPr>
            <w:tcW w:w="3048" w:type="dxa"/>
            <w:shd w:val="clear" w:color="000000" w:fill="4472C4"/>
            <w:vAlign w:val="center"/>
            <w:hideMark/>
          </w:tcPr>
          <w:p w14:paraId="36C6D891" w14:textId="52091970" w:rsidR="00FC065D" w:rsidRPr="002128A6" w:rsidRDefault="00FC065D" w:rsidP="000E3629">
            <w:pPr>
              <w:spacing w:after="0" w:line="240" w:lineRule="auto"/>
              <w:jc w:val="both"/>
              <w:rPr>
                <w:rFonts w:ascii="Garamond" w:eastAsia="Times New Roman" w:hAnsi="Garamond" w:cstheme="majorBidi"/>
                <w:kern w:val="0"/>
                <w:sz w:val="20"/>
                <w:szCs w:val="20"/>
                <w:lang w:eastAsia="sq-AL"/>
                <w14:ligatures w14:val="none"/>
              </w:rPr>
            </w:pPr>
            <w:r w:rsidRPr="002128A6">
              <w:rPr>
                <w:rFonts w:ascii="Garamond" w:hAnsi="Garamond" w:cstheme="majorBidi"/>
                <w:sz w:val="20"/>
                <w:szCs w:val="20"/>
              </w:rPr>
              <w:t>Boshllëku financiar 2026</w:t>
            </w:r>
            <w:r w:rsidR="00C4020D" w:rsidRPr="002128A6">
              <w:rPr>
                <w:rFonts w:ascii="Garamond" w:hAnsi="Garamond" w:cstheme="majorBidi"/>
                <w:sz w:val="20"/>
                <w:szCs w:val="20"/>
              </w:rPr>
              <w:t>–</w:t>
            </w:r>
            <w:r w:rsidRPr="002128A6">
              <w:rPr>
                <w:rFonts w:ascii="Garamond" w:hAnsi="Garamond" w:cstheme="majorBidi"/>
                <w:sz w:val="20"/>
                <w:szCs w:val="20"/>
              </w:rPr>
              <w:t>2030</w:t>
            </w:r>
          </w:p>
        </w:tc>
        <w:tc>
          <w:tcPr>
            <w:tcW w:w="2160" w:type="dxa"/>
            <w:shd w:val="clear" w:color="000000" w:fill="4472C4"/>
            <w:noWrap/>
            <w:vAlign w:val="center"/>
            <w:hideMark/>
          </w:tcPr>
          <w:p w14:paraId="056EF43E" w14:textId="763F9DAC" w:rsidR="00FC065D" w:rsidRPr="002128A6" w:rsidRDefault="00FC065D" w:rsidP="00C4020D">
            <w:pPr>
              <w:spacing w:after="0" w:line="240" w:lineRule="auto"/>
              <w:jc w:val="right"/>
              <w:rPr>
                <w:rFonts w:ascii="Garamond" w:eastAsia="Times New Roman" w:hAnsi="Garamond" w:cstheme="majorBidi"/>
                <w:kern w:val="0"/>
                <w:sz w:val="20"/>
                <w:szCs w:val="20"/>
                <w:lang w:eastAsia="sq-AL"/>
                <w14:ligatures w14:val="none"/>
              </w:rPr>
            </w:pPr>
            <w:r w:rsidRPr="002128A6">
              <w:rPr>
                <w:rFonts w:ascii="Garamond" w:hAnsi="Garamond" w:cs="Calibri"/>
                <w:sz w:val="20"/>
                <w:szCs w:val="20"/>
              </w:rPr>
              <w:t>2,992,554,000</w:t>
            </w:r>
          </w:p>
        </w:tc>
        <w:tc>
          <w:tcPr>
            <w:tcW w:w="2082" w:type="dxa"/>
            <w:vAlign w:val="center"/>
          </w:tcPr>
          <w:p w14:paraId="0C9C9F88" w14:textId="052A0663" w:rsidR="00FC065D" w:rsidRPr="002128A6" w:rsidRDefault="00FC065D" w:rsidP="00C4020D">
            <w:pPr>
              <w:spacing w:after="0" w:line="240" w:lineRule="auto"/>
              <w:jc w:val="center"/>
              <w:rPr>
                <w:rFonts w:ascii="Garamond" w:hAnsi="Garamond" w:cstheme="majorBidi"/>
                <w:sz w:val="20"/>
                <w:szCs w:val="20"/>
              </w:rPr>
            </w:pPr>
            <w:r w:rsidRPr="002128A6">
              <w:rPr>
                <w:rFonts w:ascii="Garamond" w:hAnsi="Garamond" w:cs="Calibri"/>
                <w:b/>
                <w:bCs/>
                <w:sz w:val="20"/>
                <w:szCs w:val="20"/>
              </w:rPr>
              <w:t>8</w:t>
            </w:r>
          </w:p>
        </w:tc>
      </w:tr>
    </w:tbl>
    <w:p w14:paraId="0CF60EEA" w14:textId="77777777" w:rsidR="00BE490C" w:rsidRPr="002128A6" w:rsidRDefault="00BE490C" w:rsidP="0025426C">
      <w:pPr>
        <w:spacing w:after="0" w:line="240" w:lineRule="auto"/>
        <w:ind w:firstLine="284"/>
        <w:jc w:val="both"/>
        <w:rPr>
          <w:rFonts w:ascii="Garamond" w:hAnsi="Garamond" w:cstheme="majorBidi"/>
          <w:b/>
          <w:bCs/>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2335"/>
        <w:gridCol w:w="2379"/>
      </w:tblGrid>
      <w:tr w:rsidR="00F54824" w:rsidRPr="002128A6" w14:paraId="0BC22CF2" w14:textId="77777777" w:rsidTr="000E3629">
        <w:trPr>
          <w:trHeight w:val="283"/>
          <w:jc w:val="center"/>
        </w:trPr>
        <w:tc>
          <w:tcPr>
            <w:tcW w:w="2511" w:type="dxa"/>
            <w:shd w:val="clear" w:color="000000" w:fill="ED7D31"/>
            <w:noWrap/>
            <w:vAlign w:val="center"/>
            <w:hideMark/>
          </w:tcPr>
          <w:p w14:paraId="56A6CD85" w14:textId="77777777" w:rsidR="009947EE" w:rsidRPr="002128A6" w:rsidRDefault="009947EE" w:rsidP="000E3629">
            <w:pPr>
              <w:spacing w:after="0" w:line="240" w:lineRule="auto"/>
              <w:jc w:val="both"/>
              <w:rPr>
                <w:rFonts w:ascii="Garamond" w:eastAsia="Times New Roman" w:hAnsi="Garamond" w:cstheme="majorBidi"/>
                <w:b/>
                <w:bCs/>
                <w:kern w:val="0"/>
                <w:sz w:val="20"/>
                <w:szCs w:val="20"/>
                <w14:ligatures w14:val="none"/>
              </w:rPr>
            </w:pPr>
            <w:r w:rsidRPr="002128A6">
              <w:rPr>
                <w:rFonts w:ascii="Garamond" w:eastAsia="Times New Roman" w:hAnsi="Garamond" w:cstheme="majorBidi"/>
                <w:b/>
                <w:bCs/>
                <w:kern w:val="0"/>
                <w:sz w:val="20"/>
                <w:szCs w:val="20"/>
                <w14:ligatures w14:val="none"/>
              </w:rPr>
              <w:t xml:space="preserve">Kostoja korrente </w:t>
            </w:r>
          </w:p>
        </w:tc>
        <w:tc>
          <w:tcPr>
            <w:tcW w:w="2335" w:type="dxa"/>
            <w:shd w:val="clear" w:color="000000" w:fill="ED7D31"/>
            <w:noWrap/>
            <w:vAlign w:val="center"/>
            <w:hideMark/>
          </w:tcPr>
          <w:p w14:paraId="58274F17" w14:textId="3179F31C" w:rsidR="009947EE" w:rsidRPr="002128A6" w:rsidRDefault="009947EE" w:rsidP="00C4020D">
            <w:pPr>
              <w:spacing w:after="0" w:line="240" w:lineRule="auto"/>
              <w:jc w:val="right"/>
              <w:rPr>
                <w:rFonts w:ascii="Garamond" w:eastAsia="Times New Roman" w:hAnsi="Garamond" w:cstheme="majorBidi"/>
                <w:b/>
                <w:bCs/>
                <w:kern w:val="0"/>
                <w:sz w:val="20"/>
                <w:szCs w:val="20"/>
                <w14:ligatures w14:val="none"/>
              </w:rPr>
            </w:pPr>
            <w:r w:rsidRPr="002128A6">
              <w:rPr>
                <w:rFonts w:ascii="Garamond" w:hAnsi="Garamond" w:cs="Calibri"/>
                <w:b/>
                <w:bCs/>
                <w:sz w:val="20"/>
                <w:szCs w:val="20"/>
              </w:rPr>
              <w:t>25,661,134,416</w:t>
            </w:r>
          </w:p>
        </w:tc>
        <w:tc>
          <w:tcPr>
            <w:tcW w:w="2379" w:type="dxa"/>
            <w:noWrap/>
            <w:vAlign w:val="center"/>
            <w:hideMark/>
          </w:tcPr>
          <w:p w14:paraId="77121525" w14:textId="1567184A" w:rsidR="009947EE" w:rsidRPr="002128A6" w:rsidRDefault="009947EE" w:rsidP="00C4020D">
            <w:pPr>
              <w:spacing w:after="0" w:line="240" w:lineRule="auto"/>
              <w:jc w:val="center"/>
              <w:rPr>
                <w:rFonts w:ascii="Garamond" w:eastAsia="Times New Roman" w:hAnsi="Garamond" w:cstheme="majorBidi"/>
                <w:kern w:val="0"/>
                <w:sz w:val="20"/>
                <w:szCs w:val="20"/>
                <w14:ligatures w14:val="none"/>
              </w:rPr>
            </w:pPr>
            <w:r w:rsidRPr="002128A6">
              <w:rPr>
                <w:rFonts w:ascii="Garamond" w:eastAsia="Times New Roman" w:hAnsi="Garamond" w:cstheme="majorBidi"/>
                <w:kern w:val="0"/>
                <w:sz w:val="20"/>
                <w:szCs w:val="20"/>
                <w14:ligatures w14:val="none"/>
              </w:rPr>
              <w:t>68%</w:t>
            </w:r>
          </w:p>
        </w:tc>
      </w:tr>
      <w:tr w:rsidR="00F54824" w:rsidRPr="002128A6" w14:paraId="56C0D215" w14:textId="77777777" w:rsidTr="000E3629">
        <w:trPr>
          <w:trHeight w:val="283"/>
          <w:jc w:val="center"/>
        </w:trPr>
        <w:tc>
          <w:tcPr>
            <w:tcW w:w="2511" w:type="dxa"/>
            <w:shd w:val="clear" w:color="000000" w:fill="ED7D31"/>
            <w:noWrap/>
            <w:vAlign w:val="center"/>
            <w:hideMark/>
          </w:tcPr>
          <w:p w14:paraId="3343072C" w14:textId="77777777" w:rsidR="009947EE" w:rsidRPr="002128A6" w:rsidRDefault="009947EE" w:rsidP="000E3629">
            <w:pPr>
              <w:spacing w:after="0" w:line="240" w:lineRule="auto"/>
              <w:jc w:val="both"/>
              <w:rPr>
                <w:rFonts w:ascii="Garamond" w:eastAsia="Times New Roman" w:hAnsi="Garamond" w:cstheme="majorBidi"/>
                <w:b/>
                <w:bCs/>
                <w:kern w:val="0"/>
                <w:sz w:val="20"/>
                <w:szCs w:val="20"/>
                <w14:ligatures w14:val="none"/>
              </w:rPr>
            </w:pPr>
            <w:r w:rsidRPr="002128A6">
              <w:rPr>
                <w:rFonts w:ascii="Garamond" w:eastAsia="Times New Roman" w:hAnsi="Garamond" w:cstheme="majorBidi"/>
                <w:b/>
                <w:bCs/>
                <w:kern w:val="0"/>
                <w:sz w:val="20"/>
                <w:szCs w:val="20"/>
                <w14:ligatures w14:val="none"/>
              </w:rPr>
              <w:t>Kostoja kapitale</w:t>
            </w:r>
          </w:p>
        </w:tc>
        <w:tc>
          <w:tcPr>
            <w:tcW w:w="2335" w:type="dxa"/>
            <w:shd w:val="clear" w:color="000000" w:fill="ED7D31"/>
            <w:noWrap/>
            <w:vAlign w:val="center"/>
            <w:hideMark/>
          </w:tcPr>
          <w:p w14:paraId="2D76F2DC" w14:textId="23FA051D" w:rsidR="009947EE" w:rsidRPr="002128A6" w:rsidRDefault="009947EE" w:rsidP="00C4020D">
            <w:pPr>
              <w:spacing w:after="0" w:line="240" w:lineRule="auto"/>
              <w:jc w:val="right"/>
              <w:rPr>
                <w:rFonts w:ascii="Garamond" w:eastAsia="Times New Roman" w:hAnsi="Garamond" w:cstheme="majorBidi"/>
                <w:b/>
                <w:bCs/>
                <w:kern w:val="0"/>
                <w:sz w:val="20"/>
                <w:szCs w:val="20"/>
                <w14:ligatures w14:val="none"/>
              </w:rPr>
            </w:pPr>
            <w:r w:rsidRPr="002128A6">
              <w:rPr>
                <w:rFonts w:ascii="Garamond" w:hAnsi="Garamond" w:cs="Calibri"/>
                <w:b/>
                <w:bCs/>
                <w:sz w:val="20"/>
                <w:szCs w:val="20"/>
              </w:rPr>
              <w:t>11,869,687,406</w:t>
            </w:r>
          </w:p>
        </w:tc>
        <w:tc>
          <w:tcPr>
            <w:tcW w:w="2379" w:type="dxa"/>
            <w:noWrap/>
            <w:vAlign w:val="center"/>
            <w:hideMark/>
          </w:tcPr>
          <w:p w14:paraId="474FAD86" w14:textId="42288653" w:rsidR="009947EE" w:rsidRPr="002128A6" w:rsidRDefault="009947EE" w:rsidP="00C4020D">
            <w:pPr>
              <w:spacing w:after="0" w:line="240" w:lineRule="auto"/>
              <w:jc w:val="center"/>
              <w:rPr>
                <w:rFonts w:ascii="Garamond" w:eastAsia="Times New Roman" w:hAnsi="Garamond" w:cstheme="majorBidi"/>
                <w:kern w:val="0"/>
                <w:sz w:val="20"/>
                <w:szCs w:val="20"/>
                <w14:ligatures w14:val="none"/>
              </w:rPr>
            </w:pPr>
            <w:r w:rsidRPr="002128A6">
              <w:rPr>
                <w:rFonts w:ascii="Garamond" w:eastAsia="Times New Roman" w:hAnsi="Garamond" w:cstheme="majorBidi"/>
                <w:kern w:val="0"/>
                <w:sz w:val="20"/>
                <w:szCs w:val="20"/>
                <w14:ligatures w14:val="none"/>
              </w:rPr>
              <w:t>32%</w:t>
            </w:r>
          </w:p>
        </w:tc>
      </w:tr>
      <w:tr w:rsidR="00F54824" w:rsidRPr="002128A6" w14:paraId="55B45462" w14:textId="77777777" w:rsidTr="000E3629">
        <w:trPr>
          <w:trHeight w:val="283"/>
          <w:jc w:val="center"/>
        </w:trPr>
        <w:tc>
          <w:tcPr>
            <w:tcW w:w="2511" w:type="dxa"/>
            <w:shd w:val="clear" w:color="000000" w:fill="ED7D31"/>
            <w:noWrap/>
            <w:vAlign w:val="center"/>
            <w:hideMark/>
          </w:tcPr>
          <w:p w14:paraId="3E4858C1" w14:textId="23B57A44" w:rsidR="009947EE" w:rsidRPr="002128A6" w:rsidRDefault="009947EE" w:rsidP="000E3629">
            <w:pPr>
              <w:spacing w:after="0" w:line="240" w:lineRule="auto"/>
              <w:jc w:val="both"/>
              <w:rPr>
                <w:rFonts w:ascii="Garamond" w:eastAsia="Times New Roman" w:hAnsi="Garamond" w:cstheme="majorBidi"/>
                <w:b/>
                <w:bCs/>
                <w:kern w:val="0"/>
                <w:sz w:val="20"/>
                <w:szCs w:val="20"/>
                <w14:ligatures w14:val="none"/>
              </w:rPr>
            </w:pPr>
            <w:r w:rsidRPr="002128A6">
              <w:rPr>
                <w:rFonts w:ascii="Garamond" w:eastAsia="Times New Roman" w:hAnsi="Garamond" w:cstheme="majorBidi"/>
                <w:b/>
                <w:bCs/>
                <w:kern w:val="0"/>
                <w:sz w:val="20"/>
                <w:szCs w:val="20"/>
                <w14:ligatures w14:val="none"/>
              </w:rPr>
              <w:t>Kostoja totale</w:t>
            </w:r>
          </w:p>
        </w:tc>
        <w:tc>
          <w:tcPr>
            <w:tcW w:w="2335" w:type="dxa"/>
            <w:shd w:val="clear" w:color="000000" w:fill="ED7D31"/>
            <w:noWrap/>
            <w:vAlign w:val="center"/>
            <w:hideMark/>
          </w:tcPr>
          <w:p w14:paraId="7881B7E1" w14:textId="0844CAEC" w:rsidR="009947EE" w:rsidRPr="002128A6" w:rsidRDefault="009947EE" w:rsidP="00C4020D">
            <w:pPr>
              <w:spacing w:after="0" w:line="240" w:lineRule="auto"/>
              <w:jc w:val="right"/>
              <w:rPr>
                <w:rFonts w:ascii="Garamond" w:eastAsia="Times New Roman" w:hAnsi="Garamond" w:cstheme="majorBidi"/>
                <w:b/>
                <w:bCs/>
                <w:kern w:val="0"/>
                <w:sz w:val="20"/>
                <w:szCs w:val="20"/>
                <w14:ligatures w14:val="none"/>
              </w:rPr>
            </w:pPr>
            <w:r w:rsidRPr="002128A6">
              <w:rPr>
                <w:rFonts w:ascii="Garamond" w:hAnsi="Garamond" w:cs="Calibri"/>
                <w:b/>
                <w:bCs/>
                <w:sz w:val="20"/>
                <w:szCs w:val="20"/>
              </w:rPr>
              <w:t>37,530,821,822</w:t>
            </w:r>
          </w:p>
        </w:tc>
        <w:tc>
          <w:tcPr>
            <w:tcW w:w="2379" w:type="dxa"/>
            <w:noWrap/>
            <w:vAlign w:val="center"/>
            <w:hideMark/>
          </w:tcPr>
          <w:p w14:paraId="237835CA" w14:textId="4221BF52" w:rsidR="009947EE" w:rsidRPr="002128A6" w:rsidRDefault="009947EE" w:rsidP="00C4020D">
            <w:pPr>
              <w:spacing w:after="0" w:line="240" w:lineRule="auto"/>
              <w:jc w:val="center"/>
              <w:rPr>
                <w:rFonts w:ascii="Garamond" w:eastAsia="Times New Roman" w:hAnsi="Garamond" w:cstheme="majorBidi"/>
                <w:kern w:val="0"/>
                <w:sz w:val="20"/>
                <w:szCs w:val="20"/>
                <w14:ligatures w14:val="none"/>
              </w:rPr>
            </w:pPr>
            <w:r w:rsidRPr="002128A6">
              <w:rPr>
                <w:rFonts w:ascii="Garamond" w:eastAsia="Times New Roman" w:hAnsi="Garamond" w:cstheme="majorBidi"/>
                <w:kern w:val="0"/>
                <w:sz w:val="20"/>
                <w:szCs w:val="20"/>
                <w14:ligatures w14:val="none"/>
              </w:rPr>
              <w:t>100%</w:t>
            </w:r>
          </w:p>
        </w:tc>
      </w:tr>
    </w:tbl>
    <w:p w14:paraId="111BF2C1" w14:textId="77777777" w:rsidR="005220A3" w:rsidRPr="002128A6" w:rsidRDefault="005220A3" w:rsidP="0025426C">
      <w:pPr>
        <w:spacing w:after="0" w:line="240" w:lineRule="auto"/>
        <w:ind w:firstLine="284"/>
        <w:jc w:val="both"/>
        <w:rPr>
          <w:rFonts w:ascii="Garamond" w:hAnsi="Garamond" w:cstheme="majorBidi"/>
          <w:b/>
          <w:bCs/>
        </w:rPr>
      </w:pPr>
    </w:p>
    <w:tbl>
      <w:tblPr>
        <w:tblStyle w:val="GridTable6Colorful-Accent6"/>
        <w:tblW w:w="8905" w:type="dxa"/>
        <w:jc w:val="center"/>
        <w:tblLook w:val="04A0" w:firstRow="1" w:lastRow="0" w:firstColumn="1" w:lastColumn="0" w:noHBand="0" w:noVBand="1"/>
      </w:tblPr>
      <w:tblGrid>
        <w:gridCol w:w="3225"/>
        <w:gridCol w:w="2320"/>
        <w:gridCol w:w="3360"/>
      </w:tblGrid>
      <w:tr w:rsidR="00F54824" w:rsidRPr="002128A6" w14:paraId="601612DA" w14:textId="77777777" w:rsidTr="000E362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25" w:type="dxa"/>
            <w:noWrap/>
            <w:hideMark/>
          </w:tcPr>
          <w:p w14:paraId="238FD3E8" w14:textId="77777777" w:rsidR="00BE490C" w:rsidRPr="002128A6" w:rsidRDefault="00BE490C" w:rsidP="0025426C">
            <w:pPr>
              <w:ind w:firstLine="284"/>
              <w:jc w:val="both"/>
              <w:rPr>
                <w:rFonts w:ascii="Garamond" w:eastAsia="Times New Roman" w:hAnsi="Garamond" w:cstheme="majorBidi"/>
                <w:color w:val="auto"/>
                <w:kern w:val="0"/>
                <w:sz w:val="20"/>
                <w:szCs w:val="20"/>
                <w14:ligatures w14:val="none"/>
              </w:rPr>
            </w:pPr>
          </w:p>
        </w:tc>
        <w:tc>
          <w:tcPr>
            <w:tcW w:w="2320" w:type="dxa"/>
            <w:noWrap/>
            <w:hideMark/>
          </w:tcPr>
          <w:p w14:paraId="5FC124AD" w14:textId="77777777" w:rsidR="00BE490C" w:rsidRPr="002128A6" w:rsidRDefault="00BE490C" w:rsidP="0025426C">
            <w:pPr>
              <w:ind w:firstLine="284"/>
              <w:jc w:val="both"/>
              <w:cnfStyle w:val="100000000000" w:firstRow="1" w:lastRow="0" w:firstColumn="0" w:lastColumn="0" w:oddVBand="0" w:evenVBand="0" w:oddHBand="0" w:evenHBand="0" w:firstRowFirstColumn="0" w:firstRowLastColumn="0" w:lastRowFirstColumn="0" w:lastRowLastColumn="0"/>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LEKË</w:t>
            </w:r>
          </w:p>
        </w:tc>
        <w:tc>
          <w:tcPr>
            <w:tcW w:w="3360" w:type="dxa"/>
            <w:noWrap/>
            <w:hideMark/>
          </w:tcPr>
          <w:p w14:paraId="0FA8F6F0" w14:textId="77777777" w:rsidR="00BE490C" w:rsidRPr="002128A6" w:rsidRDefault="00BE490C" w:rsidP="0025426C">
            <w:pPr>
              <w:ind w:firstLine="284"/>
              <w:jc w:val="both"/>
              <w:cnfStyle w:val="100000000000" w:firstRow="1" w:lastRow="0" w:firstColumn="0" w:lastColumn="0" w:oddVBand="0" w:evenVBand="0" w:oddHBand="0" w:evenHBand="0" w:firstRowFirstColumn="0" w:firstRowLastColumn="0" w:lastRowFirstColumn="0" w:lastRowLastColumn="0"/>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EUR</w:t>
            </w:r>
          </w:p>
        </w:tc>
      </w:tr>
      <w:tr w:rsidR="00F54824" w:rsidRPr="002128A6" w14:paraId="4F8031AB" w14:textId="77777777" w:rsidTr="000E362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25" w:type="dxa"/>
            <w:noWrap/>
            <w:hideMark/>
          </w:tcPr>
          <w:p w14:paraId="49DE21D7" w14:textId="47A72F41" w:rsidR="00D9704A" w:rsidRPr="002128A6" w:rsidRDefault="00D9704A" w:rsidP="0025426C">
            <w:pPr>
              <w:ind w:firstLine="284"/>
              <w:jc w:val="both"/>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 xml:space="preserve">Kostoja </w:t>
            </w:r>
            <w:r w:rsidR="00C4020D" w:rsidRPr="002128A6">
              <w:rPr>
                <w:rFonts w:ascii="Garamond" w:eastAsia="Times New Roman" w:hAnsi="Garamond" w:cstheme="majorBidi"/>
                <w:color w:val="auto"/>
                <w:kern w:val="0"/>
                <w:sz w:val="20"/>
                <w:szCs w:val="20"/>
                <w14:ligatures w14:val="none"/>
              </w:rPr>
              <w:t xml:space="preserve">totale </w:t>
            </w:r>
            <w:r w:rsidRPr="002128A6">
              <w:rPr>
                <w:rFonts w:ascii="Garamond" w:eastAsia="Times New Roman" w:hAnsi="Garamond" w:cstheme="majorBidi"/>
                <w:color w:val="auto"/>
                <w:kern w:val="0"/>
                <w:sz w:val="20"/>
                <w:szCs w:val="20"/>
                <w14:ligatures w14:val="none"/>
              </w:rPr>
              <w:t xml:space="preserve">e Strategjisë </w:t>
            </w:r>
          </w:p>
        </w:tc>
        <w:tc>
          <w:tcPr>
            <w:tcW w:w="2320" w:type="dxa"/>
            <w:noWrap/>
            <w:vAlign w:val="center"/>
            <w:hideMark/>
          </w:tcPr>
          <w:p w14:paraId="69C51D7A" w14:textId="23848DD9" w:rsidR="00D9704A" w:rsidRPr="002128A6" w:rsidRDefault="00D9704A" w:rsidP="00C4020D">
            <w:pPr>
              <w:ind w:firstLine="284"/>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37,530,821,822</w:t>
            </w:r>
          </w:p>
        </w:tc>
        <w:tc>
          <w:tcPr>
            <w:tcW w:w="3360" w:type="dxa"/>
            <w:noWrap/>
            <w:vAlign w:val="center"/>
            <w:hideMark/>
          </w:tcPr>
          <w:p w14:paraId="4A08D27F" w14:textId="5A415309" w:rsidR="00D9704A" w:rsidRPr="002128A6" w:rsidRDefault="00D9704A" w:rsidP="00C4020D">
            <w:pPr>
              <w:ind w:firstLine="284"/>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403,123,757</w:t>
            </w:r>
          </w:p>
        </w:tc>
      </w:tr>
      <w:tr w:rsidR="00F54824" w:rsidRPr="002128A6" w14:paraId="7DA9BBD7" w14:textId="77777777" w:rsidTr="000E3629">
        <w:trPr>
          <w:trHeight w:val="20"/>
          <w:jc w:val="center"/>
        </w:trPr>
        <w:tc>
          <w:tcPr>
            <w:cnfStyle w:val="001000000000" w:firstRow="0" w:lastRow="0" w:firstColumn="1" w:lastColumn="0" w:oddVBand="0" w:evenVBand="0" w:oddHBand="0" w:evenHBand="0" w:firstRowFirstColumn="0" w:firstRowLastColumn="0" w:lastRowFirstColumn="0" w:lastRowLastColumn="0"/>
            <w:tcW w:w="3225" w:type="dxa"/>
            <w:noWrap/>
            <w:hideMark/>
          </w:tcPr>
          <w:p w14:paraId="03FE5DAB" w14:textId="77777777" w:rsidR="00D9704A" w:rsidRPr="002128A6" w:rsidRDefault="00D9704A" w:rsidP="0025426C">
            <w:pPr>
              <w:ind w:firstLine="284"/>
              <w:jc w:val="both"/>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PBA 26-28</w:t>
            </w:r>
          </w:p>
        </w:tc>
        <w:tc>
          <w:tcPr>
            <w:tcW w:w="2320" w:type="dxa"/>
            <w:noWrap/>
            <w:vAlign w:val="center"/>
            <w:hideMark/>
          </w:tcPr>
          <w:p w14:paraId="505C15DA" w14:textId="23916EE8" w:rsidR="00D9704A" w:rsidRPr="002128A6" w:rsidRDefault="00D9704A" w:rsidP="00C4020D">
            <w:pPr>
              <w:ind w:firstLine="284"/>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22,639,416,416</w:t>
            </w:r>
          </w:p>
        </w:tc>
        <w:tc>
          <w:tcPr>
            <w:tcW w:w="3360" w:type="dxa"/>
            <w:noWrap/>
            <w:vAlign w:val="center"/>
            <w:hideMark/>
          </w:tcPr>
          <w:p w14:paraId="77BF36E4" w14:textId="13A9A451" w:rsidR="00D9704A" w:rsidRPr="002128A6" w:rsidRDefault="00D9704A" w:rsidP="00C4020D">
            <w:pPr>
              <w:ind w:firstLine="284"/>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243,173,109</w:t>
            </w:r>
          </w:p>
        </w:tc>
      </w:tr>
      <w:tr w:rsidR="00F54824" w:rsidRPr="002128A6" w14:paraId="4FD52F40" w14:textId="77777777" w:rsidTr="000E362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25" w:type="dxa"/>
            <w:noWrap/>
            <w:hideMark/>
          </w:tcPr>
          <w:p w14:paraId="73982069" w14:textId="77777777" w:rsidR="00D9704A" w:rsidRPr="002128A6" w:rsidRDefault="00D9704A" w:rsidP="0025426C">
            <w:pPr>
              <w:ind w:firstLine="284"/>
              <w:jc w:val="both"/>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PBA 28-30</w:t>
            </w:r>
          </w:p>
        </w:tc>
        <w:tc>
          <w:tcPr>
            <w:tcW w:w="2320" w:type="dxa"/>
            <w:noWrap/>
            <w:vAlign w:val="center"/>
            <w:hideMark/>
          </w:tcPr>
          <w:p w14:paraId="2E205F58" w14:textId="6803D448" w:rsidR="00D9704A" w:rsidRPr="002128A6" w:rsidRDefault="00D9704A" w:rsidP="00C4020D">
            <w:pPr>
              <w:ind w:firstLine="284"/>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7,924,395,998</w:t>
            </w:r>
          </w:p>
        </w:tc>
        <w:tc>
          <w:tcPr>
            <w:tcW w:w="3360" w:type="dxa"/>
            <w:noWrap/>
            <w:vAlign w:val="center"/>
            <w:hideMark/>
          </w:tcPr>
          <w:p w14:paraId="2AF68EE8" w14:textId="2C5BDBCF" w:rsidR="00D9704A" w:rsidRPr="002128A6" w:rsidRDefault="00D9704A" w:rsidP="00C4020D">
            <w:pPr>
              <w:ind w:firstLine="284"/>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85,117,035</w:t>
            </w:r>
          </w:p>
        </w:tc>
      </w:tr>
      <w:tr w:rsidR="00F54824" w:rsidRPr="002128A6" w14:paraId="61E5A605" w14:textId="77777777" w:rsidTr="000E3629">
        <w:trPr>
          <w:trHeight w:val="20"/>
          <w:jc w:val="center"/>
        </w:trPr>
        <w:tc>
          <w:tcPr>
            <w:cnfStyle w:val="001000000000" w:firstRow="0" w:lastRow="0" w:firstColumn="1" w:lastColumn="0" w:oddVBand="0" w:evenVBand="0" w:oddHBand="0" w:evenHBand="0" w:firstRowFirstColumn="0" w:firstRowLastColumn="0" w:lastRowFirstColumn="0" w:lastRowLastColumn="0"/>
            <w:tcW w:w="3225" w:type="dxa"/>
            <w:noWrap/>
            <w:hideMark/>
          </w:tcPr>
          <w:p w14:paraId="40828357" w14:textId="77777777" w:rsidR="00D9704A" w:rsidRPr="002128A6" w:rsidRDefault="00D9704A" w:rsidP="0025426C">
            <w:pPr>
              <w:ind w:firstLine="284"/>
              <w:jc w:val="both"/>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Financimi i Huaj</w:t>
            </w:r>
          </w:p>
        </w:tc>
        <w:tc>
          <w:tcPr>
            <w:tcW w:w="2320" w:type="dxa"/>
            <w:noWrap/>
            <w:vAlign w:val="center"/>
            <w:hideMark/>
          </w:tcPr>
          <w:p w14:paraId="69F57951" w14:textId="1FBFF077" w:rsidR="00D9704A" w:rsidRPr="002128A6" w:rsidRDefault="00D9704A" w:rsidP="00C4020D">
            <w:pPr>
              <w:ind w:firstLine="284"/>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3,974,455,408</w:t>
            </w:r>
          </w:p>
        </w:tc>
        <w:tc>
          <w:tcPr>
            <w:tcW w:w="3360" w:type="dxa"/>
            <w:noWrap/>
            <w:vAlign w:val="center"/>
            <w:hideMark/>
          </w:tcPr>
          <w:p w14:paraId="093C1B08" w14:textId="03E3E9F8" w:rsidR="00D9704A" w:rsidRPr="002128A6" w:rsidRDefault="00D9704A" w:rsidP="00C4020D">
            <w:pPr>
              <w:ind w:firstLine="284"/>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42,690,176</w:t>
            </w:r>
          </w:p>
        </w:tc>
      </w:tr>
      <w:tr w:rsidR="00F54824" w:rsidRPr="002128A6" w14:paraId="374B5B10" w14:textId="77777777" w:rsidTr="000E362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25" w:type="dxa"/>
            <w:noWrap/>
            <w:hideMark/>
          </w:tcPr>
          <w:p w14:paraId="421EFCC9" w14:textId="77777777" w:rsidR="00D9704A" w:rsidRPr="002128A6" w:rsidRDefault="00D9704A" w:rsidP="0025426C">
            <w:pPr>
              <w:ind w:firstLine="284"/>
              <w:jc w:val="both"/>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Boshllëku Financiar</w:t>
            </w:r>
          </w:p>
        </w:tc>
        <w:tc>
          <w:tcPr>
            <w:tcW w:w="2320" w:type="dxa"/>
            <w:noWrap/>
            <w:vAlign w:val="center"/>
            <w:hideMark/>
          </w:tcPr>
          <w:p w14:paraId="39D4853C" w14:textId="32EAA00B" w:rsidR="00D9704A" w:rsidRPr="002128A6" w:rsidRDefault="00D9704A" w:rsidP="00C4020D">
            <w:pPr>
              <w:ind w:firstLine="284"/>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2,992,554,000</w:t>
            </w:r>
          </w:p>
        </w:tc>
        <w:tc>
          <w:tcPr>
            <w:tcW w:w="3360" w:type="dxa"/>
            <w:noWrap/>
            <w:vAlign w:val="center"/>
            <w:hideMark/>
          </w:tcPr>
          <w:p w14:paraId="29081CF3" w14:textId="09BD3B75" w:rsidR="00D9704A" w:rsidRPr="002128A6" w:rsidRDefault="00D9704A" w:rsidP="00C4020D">
            <w:pPr>
              <w:ind w:firstLine="284"/>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32,143,437</w:t>
            </w:r>
          </w:p>
        </w:tc>
      </w:tr>
      <w:tr w:rsidR="00F54824" w:rsidRPr="002128A6" w14:paraId="3B3A8281" w14:textId="77777777" w:rsidTr="000E3629">
        <w:trPr>
          <w:trHeight w:val="20"/>
          <w:jc w:val="center"/>
        </w:trPr>
        <w:tc>
          <w:tcPr>
            <w:cnfStyle w:val="001000000000" w:firstRow="0" w:lastRow="0" w:firstColumn="1" w:lastColumn="0" w:oddVBand="0" w:evenVBand="0" w:oddHBand="0" w:evenHBand="0" w:firstRowFirstColumn="0" w:firstRowLastColumn="0" w:lastRowFirstColumn="0" w:lastRowLastColumn="0"/>
            <w:tcW w:w="3225" w:type="dxa"/>
            <w:noWrap/>
            <w:hideMark/>
          </w:tcPr>
          <w:p w14:paraId="60F144E9" w14:textId="77777777" w:rsidR="00D9704A" w:rsidRPr="002128A6" w:rsidRDefault="00D9704A" w:rsidP="0025426C">
            <w:pPr>
              <w:ind w:firstLine="284"/>
              <w:jc w:val="both"/>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 xml:space="preserve">Kostoja Korrente </w:t>
            </w:r>
          </w:p>
        </w:tc>
        <w:tc>
          <w:tcPr>
            <w:tcW w:w="2320" w:type="dxa"/>
            <w:noWrap/>
            <w:vAlign w:val="center"/>
            <w:hideMark/>
          </w:tcPr>
          <w:p w14:paraId="22ED7F27" w14:textId="26698006" w:rsidR="00D9704A" w:rsidRPr="002128A6" w:rsidRDefault="00D9704A" w:rsidP="00C4020D">
            <w:pPr>
              <w:ind w:firstLine="284"/>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25,661,134,416</w:t>
            </w:r>
          </w:p>
        </w:tc>
        <w:tc>
          <w:tcPr>
            <w:tcW w:w="3360" w:type="dxa"/>
            <w:noWrap/>
            <w:vAlign w:val="center"/>
            <w:hideMark/>
          </w:tcPr>
          <w:p w14:paraId="0C33D336" w14:textId="526B2156" w:rsidR="00D9704A" w:rsidRPr="002128A6" w:rsidRDefault="00D9704A" w:rsidP="00C4020D">
            <w:pPr>
              <w:ind w:firstLine="284"/>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275,629,800</w:t>
            </w:r>
          </w:p>
        </w:tc>
      </w:tr>
      <w:tr w:rsidR="00F54824" w:rsidRPr="002128A6" w14:paraId="398B5A2D" w14:textId="77777777" w:rsidTr="000E362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25" w:type="dxa"/>
            <w:noWrap/>
            <w:hideMark/>
          </w:tcPr>
          <w:p w14:paraId="4EAD5811" w14:textId="77777777" w:rsidR="00D9704A" w:rsidRPr="002128A6" w:rsidRDefault="00D9704A" w:rsidP="0025426C">
            <w:pPr>
              <w:ind w:firstLine="284"/>
              <w:jc w:val="both"/>
              <w:rPr>
                <w:rFonts w:ascii="Garamond" w:eastAsia="Times New Roman" w:hAnsi="Garamond" w:cstheme="majorBidi"/>
                <w:color w:val="auto"/>
                <w:kern w:val="0"/>
                <w:sz w:val="20"/>
                <w:szCs w:val="20"/>
                <w14:ligatures w14:val="none"/>
              </w:rPr>
            </w:pPr>
            <w:r w:rsidRPr="002128A6">
              <w:rPr>
                <w:rFonts w:ascii="Garamond" w:eastAsia="Times New Roman" w:hAnsi="Garamond" w:cstheme="majorBidi"/>
                <w:color w:val="auto"/>
                <w:kern w:val="0"/>
                <w:sz w:val="20"/>
                <w:szCs w:val="20"/>
                <w14:ligatures w14:val="none"/>
              </w:rPr>
              <w:t xml:space="preserve">Kostoja Kapitale </w:t>
            </w:r>
          </w:p>
        </w:tc>
        <w:tc>
          <w:tcPr>
            <w:tcW w:w="2320" w:type="dxa"/>
            <w:noWrap/>
            <w:vAlign w:val="center"/>
            <w:hideMark/>
          </w:tcPr>
          <w:p w14:paraId="6B186FC5" w14:textId="019D82A3" w:rsidR="00D9704A" w:rsidRPr="002128A6" w:rsidRDefault="00D9704A" w:rsidP="00C4020D">
            <w:pPr>
              <w:ind w:firstLine="284"/>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11,869,687,406</w:t>
            </w:r>
          </w:p>
        </w:tc>
        <w:tc>
          <w:tcPr>
            <w:tcW w:w="3360" w:type="dxa"/>
            <w:noWrap/>
            <w:vAlign w:val="center"/>
            <w:hideMark/>
          </w:tcPr>
          <w:p w14:paraId="2384D27A" w14:textId="328142D6" w:rsidR="00D9704A" w:rsidRPr="002128A6" w:rsidRDefault="00D9704A" w:rsidP="00C4020D">
            <w:pPr>
              <w:ind w:firstLine="284"/>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ajorBidi"/>
                <w:b/>
                <w:bCs/>
                <w:color w:val="auto"/>
                <w:kern w:val="0"/>
                <w:sz w:val="20"/>
                <w:szCs w:val="20"/>
                <w14:ligatures w14:val="none"/>
              </w:rPr>
            </w:pPr>
            <w:r w:rsidRPr="002128A6">
              <w:rPr>
                <w:rFonts w:ascii="Garamond" w:hAnsi="Garamond" w:cs="Calibri"/>
                <w:b/>
                <w:bCs/>
                <w:color w:val="auto"/>
                <w:sz w:val="20"/>
                <w:szCs w:val="20"/>
              </w:rPr>
              <w:t>127,493,957</w:t>
            </w:r>
          </w:p>
        </w:tc>
      </w:tr>
    </w:tbl>
    <w:p w14:paraId="320F519B" w14:textId="77777777" w:rsidR="00BE490C" w:rsidRPr="002128A6" w:rsidRDefault="00BE490C" w:rsidP="0025426C">
      <w:pPr>
        <w:spacing w:after="0" w:line="240" w:lineRule="auto"/>
        <w:ind w:firstLine="284"/>
        <w:jc w:val="both"/>
        <w:rPr>
          <w:rFonts w:ascii="Garamond" w:hAnsi="Garamond" w:cstheme="majorBidi"/>
          <w:b/>
          <w:bCs/>
        </w:rPr>
      </w:pPr>
    </w:p>
    <w:p w14:paraId="10BA784F" w14:textId="77777777" w:rsidR="00BE490C" w:rsidRPr="002128A6" w:rsidRDefault="00BE490C" w:rsidP="00C4020D">
      <w:pPr>
        <w:spacing w:after="0" w:line="240" w:lineRule="auto"/>
        <w:jc w:val="center"/>
        <w:rPr>
          <w:rFonts w:ascii="Garamond" w:eastAsia="Times New Roman" w:hAnsi="Garamond" w:cstheme="majorBidi"/>
          <w:i/>
          <w:iCs/>
          <w:kern w:val="0"/>
          <w14:ligatures w14:val="none"/>
        </w:rPr>
      </w:pPr>
      <w:r w:rsidRPr="002128A6">
        <w:rPr>
          <w:rFonts w:ascii="Garamond" w:eastAsia="Times New Roman" w:hAnsi="Garamond" w:cstheme="majorBidi"/>
          <w:b/>
          <w:bCs/>
          <w:i/>
          <w:iCs/>
          <w:kern w:val="0"/>
          <w14:ligatures w14:val="none"/>
        </w:rPr>
        <w:t>Grafiku nr. 2:</w:t>
      </w:r>
      <w:r w:rsidRPr="002128A6">
        <w:rPr>
          <w:rFonts w:ascii="Garamond" w:eastAsia="Times New Roman" w:hAnsi="Garamond" w:cstheme="majorBidi"/>
          <w:kern w:val="0"/>
          <w14:ligatures w14:val="none"/>
        </w:rPr>
        <w:t xml:space="preserve"> </w:t>
      </w:r>
      <w:r w:rsidRPr="002128A6">
        <w:rPr>
          <w:rFonts w:ascii="Garamond" w:eastAsia="Times New Roman" w:hAnsi="Garamond" w:cstheme="majorBidi"/>
          <w:i/>
          <w:iCs/>
          <w:kern w:val="0"/>
          <w14:ligatures w14:val="none"/>
        </w:rPr>
        <w:t>Paraqitja grafike e kostove të Planit të Veprimit të Strategjisë, duke nxjerrë në pah ndarjen e shpenzimeve të financuara nga Programi Buxhetor Afatmesëm dhe nga financimi i huaj.</w:t>
      </w:r>
    </w:p>
    <w:p w14:paraId="5CA62FBC" w14:textId="0357BADB" w:rsidR="00BE490C" w:rsidRPr="002128A6" w:rsidRDefault="000E3629" w:rsidP="00C4020D">
      <w:pPr>
        <w:spacing w:after="0" w:line="240" w:lineRule="auto"/>
        <w:ind w:firstLine="284"/>
        <w:jc w:val="center"/>
        <w:rPr>
          <w:rFonts w:ascii="Garamond" w:hAnsi="Garamond" w:cstheme="majorBidi"/>
          <w:b/>
          <w:bCs/>
        </w:rPr>
      </w:pPr>
      <w:r w:rsidRPr="002128A6">
        <w:rPr>
          <w:rFonts w:ascii="Garamond" w:hAnsi="Garamond" w:cstheme="majorBidi"/>
          <w:b/>
          <w:bCs/>
          <w:noProof/>
        </w:rPr>
        <w:lastRenderedPageBreak/>
        <w:drawing>
          <wp:inline distT="0" distB="0" distL="0" distR="0" wp14:anchorId="6D3EA09D" wp14:editId="69D29BE0">
            <wp:extent cx="4938996" cy="3419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6761" cy="3424851"/>
                    </a:xfrm>
                    <a:prstGeom prst="rect">
                      <a:avLst/>
                    </a:prstGeom>
                    <a:noFill/>
                  </pic:spPr>
                </pic:pic>
              </a:graphicData>
            </a:graphic>
          </wp:inline>
        </w:drawing>
      </w:r>
    </w:p>
    <w:p w14:paraId="6E82329C" w14:textId="77777777" w:rsidR="00BE490C" w:rsidRPr="002128A6" w:rsidRDefault="00BE490C" w:rsidP="0025426C">
      <w:pPr>
        <w:spacing w:after="0" w:line="240" w:lineRule="auto"/>
        <w:ind w:firstLine="284"/>
        <w:jc w:val="both"/>
        <w:rPr>
          <w:rFonts w:ascii="Garamond" w:hAnsi="Garamond" w:cstheme="majorBidi"/>
          <w:b/>
          <w:bCs/>
        </w:rPr>
      </w:pPr>
    </w:p>
    <w:p w14:paraId="13DC796B" w14:textId="3C16CAA3" w:rsidR="00BE490C" w:rsidRPr="002128A6" w:rsidRDefault="00BE490C" w:rsidP="00C4020D">
      <w:pPr>
        <w:spacing w:after="0" w:line="240" w:lineRule="auto"/>
        <w:jc w:val="center"/>
        <w:rPr>
          <w:rFonts w:ascii="Garamond" w:hAnsi="Garamond" w:cstheme="majorBidi"/>
          <w:i/>
          <w:iCs/>
        </w:rPr>
      </w:pPr>
      <w:r w:rsidRPr="002128A6">
        <w:rPr>
          <w:rFonts w:ascii="Garamond" w:hAnsi="Garamond" w:cstheme="majorBidi"/>
          <w:b/>
          <w:bCs/>
          <w:i/>
          <w:iCs/>
        </w:rPr>
        <w:t>Grafiku nr. 3:</w:t>
      </w:r>
      <w:r w:rsidRPr="002128A6">
        <w:rPr>
          <w:rFonts w:ascii="Garamond" w:hAnsi="Garamond" w:cstheme="majorBidi"/>
        </w:rPr>
        <w:t xml:space="preserve"> </w:t>
      </w:r>
      <w:r w:rsidRPr="002128A6">
        <w:rPr>
          <w:rFonts w:ascii="Garamond" w:hAnsi="Garamond" w:cstheme="majorBidi"/>
          <w:i/>
          <w:iCs/>
        </w:rPr>
        <w:t>Paraqitja grafike e natyrës së kostove ekonomike të Strategjisë dhe Planit të Veprimit, duke nxjerrë në pah ndarjen në kosto</w:t>
      </w:r>
      <w:r w:rsidR="008A598F" w:rsidRPr="002128A6">
        <w:rPr>
          <w:rFonts w:ascii="Garamond" w:hAnsi="Garamond" w:cstheme="majorBidi"/>
          <w:i/>
          <w:iCs/>
        </w:rPr>
        <w:t>ja</w:t>
      </w:r>
      <w:r w:rsidRPr="002128A6">
        <w:rPr>
          <w:rFonts w:ascii="Garamond" w:hAnsi="Garamond" w:cstheme="majorBidi"/>
          <w:i/>
          <w:iCs/>
        </w:rPr>
        <w:t xml:space="preserve"> korrente dhe kosto</w:t>
      </w:r>
      <w:r w:rsidR="008A598F" w:rsidRPr="002128A6">
        <w:rPr>
          <w:rFonts w:ascii="Garamond" w:hAnsi="Garamond" w:cstheme="majorBidi"/>
          <w:i/>
          <w:iCs/>
        </w:rPr>
        <w:t>ja</w:t>
      </w:r>
      <w:r w:rsidRPr="002128A6">
        <w:rPr>
          <w:rFonts w:ascii="Garamond" w:hAnsi="Garamond" w:cstheme="majorBidi"/>
          <w:i/>
          <w:iCs/>
        </w:rPr>
        <w:t xml:space="preserve"> kapitale</w:t>
      </w:r>
    </w:p>
    <w:p w14:paraId="0C2AC355" w14:textId="63E04914" w:rsidR="00BE490C" w:rsidRPr="002128A6" w:rsidRDefault="000E3629" w:rsidP="0025426C">
      <w:pPr>
        <w:spacing w:after="0" w:line="240" w:lineRule="auto"/>
        <w:ind w:firstLine="284"/>
        <w:jc w:val="both"/>
        <w:rPr>
          <w:rFonts w:ascii="Garamond" w:hAnsi="Garamond" w:cstheme="majorBidi"/>
        </w:rPr>
      </w:pPr>
      <w:r w:rsidRPr="002128A6">
        <w:rPr>
          <w:rFonts w:ascii="Garamond" w:hAnsi="Garamond" w:cstheme="majorBidi"/>
          <w:noProof/>
        </w:rPr>
        <w:drawing>
          <wp:inline distT="0" distB="0" distL="0" distR="0" wp14:anchorId="12832CC4" wp14:editId="217A58F4">
            <wp:extent cx="5817976" cy="3000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4218" cy="3003594"/>
                    </a:xfrm>
                    <a:prstGeom prst="rect">
                      <a:avLst/>
                    </a:prstGeom>
                    <a:noFill/>
                  </pic:spPr>
                </pic:pic>
              </a:graphicData>
            </a:graphic>
          </wp:inline>
        </w:drawing>
      </w:r>
    </w:p>
    <w:p w14:paraId="5F9455F7" w14:textId="49C74E95" w:rsidR="00BE490C" w:rsidRPr="002128A6" w:rsidRDefault="00BE490C" w:rsidP="0025426C">
      <w:pPr>
        <w:spacing w:after="0" w:line="240" w:lineRule="auto"/>
        <w:ind w:firstLine="284"/>
        <w:jc w:val="both"/>
        <w:rPr>
          <w:rFonts w:ascii="Garamond" w:eastAsia="Times New Roman" w:hAnsi="Garamond" w:cstheme="majorBidi"/>
          <w:kern w:val="0"/>
          <w14:ligatures w14:val="none"/>
        </w:rPr>
      </w:pPr>
      <w:r w:rsidRPr="002128A6">
        <w:rPr>
          <w:rFonts w:ascii="Garamond" w:eastAsia="Times New Roman" w:hAnsi="Garamond" w:cstheme="majorBidi"/>
          <w:kern w:val="0"/>
          <w14:ligatures w14:val="none"/>
        </w:rPr>
        <w:t xml:space="preserve">Kostot korrente përbëjnë rreth </w:t>
      </w:r>
      <w:r w:rsidR="00263598" w:rsidRPr="002128A6">
        <w:rPr>
          <w:rFonts w:ascii="Garamond" w:eastAsia="Times New Roman" w:hAnsi="Garamond" w:cstheme="majorBidi"/>
          <w:kern w:val="0"/>
          <w14:ligatures w14:val="none"/>
        </w:rPr>
        <w:t>68</w:t>
      </w:r>
      <w:r w:rsidRPr="002128A6">
        <w:rPr>
          <w:rFonts w:ascii="Garamond" w:eastAsia="Times New Roman" w:hAnsi="Garamond" w:cstheme="majorBidi"/>
          <w:kern w:val="0"/>
          <w14:ligatures w14:val="none"/>
        </w:rPr>
        <w:t>% të shpenzimeve totale, ndërsa kostot kapitale përbëjnë rreth 3</w:t>
      </w:r>
      <w:r w:rsidR="00263598" w:rsidRPr="002128A6">
        <w:rPr>
          <w:rFonts w:ascii="Garamond" w:eastAsia="Times New Roman" w:hAnsi="Garamond" w:cstheme="majorBidi"/>
          <w:kern w:val="0"/>
          <w14:ligatures w14:val="none"/>
        </w:rPr>
        <w:t>2</w:t>
      </w:r>
      <w:r w:rsidRPr="002128A6">
        <w:rPr>
          <w:rFonts w:ascii="Garamond" w:eastAsia="Times New Roman" w:hAnsi="Garamond" w:cstheme="majorBidi"/>
          <w:kern w:val="0"/>
          <w14:ligatures w14:val="none"/>
        </w:rPr>
        <w:t xml:space="preserve">%. </w:t>
      </w:r>
    </w:p>
    <w:p w14:paraId="58B2C683" w14:textId="549C8900" w:rsidR="00BE490C" w:rsidRPr="002128A6" w:rsidRDefault="00BE490C" w:rsidP="0025426C">
      <w:pPr>
        <w:pStyle w:val="Heading2"/>
        <w:spacing w:before="0" w:after="0" w:line="240" w:lineRule="auto"/>
        <w:ind w:firstLine="284"/>
        <w:jc w:val="both"/>
        <w:rPr>
          <w:rFonts w:ascii="Garamond" w:eastAsia="Times New Roman" w:hAnsi="Garamond"/>
          <w:b/>
          <w:bCs/>
          <w:color w:val="auto"/>
          <w:sz w:val="24"/>
          <w:szCs w:val="24"/>
        </w:rPr>
      </w:pPr>
      <w:bookmarkStart w:id="87" w:name="_Toc227770725"/>
      <w:bookmarkStart w:id="88" w:name="_Toc233371611"/>
      <w:r w:rsidRPr="002128A6">
        <w:rPr>
          <w:rFonts w:ascii="Garamond" w:eastAsia="Times New Roman" w:hAnsi="Garamond"/>
          <w:b/>
          <w:bCs/>
          <w:color w:val="auto"/>
          <w:sz w:val="24"/>
          <w:szCs w:val="24"/>
        </w:rPr>
        <w:t xml:space="preserve">Analiza </w:t>
      </w:r>
      <w:r w:rsidR="00B76863" w:rsidRPr="002128A6">
        <w:rPr>
          <w:rFonts w:ascii="Garamond" w:eastAsia="Times New Roman" w:hAnsi="Garamond"/>
          <w:b/>
          <w:bCs/>
          <w:color w:val="auto"/>
          <w:sz w:val="24"/>
          <w:szCs w:val="24"/>
        </w:rPr>
        <w:t>narrative e kostove kapitale</w:t>
      </w:r>
      <w:bookmarkEnd w:id="87"/>
      <w:bookmarkEnd w:id="88"/>
    </w:p>
    <w:p w14:paraId="5D766B00" w14:textId="0088204A" w:rsidR="00BE490C" w:rsidRPr="002128A6" w:rsidRDefault="00BE490C" w:rsidP="0025426C">
      <w:pPr>
        <w:pStyle w:val="Heading3"/>
        <w:spacing w:before="0" w:after="0" w:line="240" w:lineRule="auto"/>
        <w:ind w:firstLine="284"/>
        <w:jc w:val="both"/>
        <w:rPr>
          <w:rFonts w:ascii="Garamond" w:eastAsia="Times New Roman" w:hAnsi="Garamond"/>
          <w:b/>
          <w:bCs/>
          <w:color w:val="auto"/>
          <w:sz w:val="24"/>
          <w:szCs w:val="24"/>
        </w:rPr>
      </w:pPr>
      <w:bookmarkStart w:id="89" w:name="_Toc227770726"/>
      <w:bookmarkStart w:id="90" w:name="_Toc233371612"/>
      <w:r w:rsidRPr="002128A6">
        <w:rPr>
          <w:rFonts w:ascii="Garamond" w:eastAsia="Times New Roman" w:hAnsi="Garamond"/>
          <w:b/>
          <w:bCs/>
          <w:color w:val="auto"/>
          <w:sz w:val="24"/>
          <w:szCs w:val="24"/>
        </w:rPr>
        <w:t xml:space="preserve">I. Objektivi Specifik 1.2 </w:t>
      </w:r>
      <w:r w:rsidR="00C4020D" w:rsidRPr="002128A6">
        <w:rPr>
          <w:rFonts w:ascii="Garamond" w:eastAsia="Times New Roman" w:hAnsi="Garamond"/>
          <w:b/>
          <w:bCs/>
          <w:color w:val="auto"/>
          <w:sz w:val="24"/>
          <w:szCs w:val="24"/>
        </w:rPr>
        <w:t>–</w:t>
      </w:r>
      <w:r w:rsidRPr="002128A6">
        <w:rPr>
          <w:rFonts w:ascii="Garamond" w:eastAsia="Times New Roman" w:hAnsi="Garamond"/>
          <w:b/>
          <w:bCs/>
          <w:color w:val="auto"/>
          <w:sz w:val="24"/>
          <w:szCs w:val="24"/>
        </w:rPr>
        <w:t xml:space="preserve"> </w:t>
      </w:r>
      <w:bookmarkEnd w:id="89"/>
      <w:r w:rsidR="0071545A" w:rsidRPr="002128A6">
        <w:rPr>
          <w:rFonts w:ascii="Garamond" w:eastAsia="Times New Roman" w:hAnsi="Garamond"/>
          <w:b/>
          <w:bCs/>
          <w:color w:val="auto"/>
          <w:sz w:val="24"/>
          <w:szCs w:val="24"/>
        </w:rPr>
        <w:t>Reduktimi i cenueshmërisë së komuniteteve me risk duke përmirësuar aksesin në mekanizmat e mbështetjes sociale, ekonomike dhe të riintegrimit</w:t>
      </w:r>
      <w:bookmarkEnd w:id="90"/>
    </w:p>
    <w:p w14:paraId="22F3CFEB" w14:textId="77777777" w:rsidR="00BE490C" w:rsidRPr="002128A6" w:rsidRDefault="00BE490C" w:rsidP="0025426C">
      <w:pPr>
        <w:spacing w:after="0" w:line="240" w:lineRule="auto"/>
        <w:ind w:firstLine="284"/>
        <w:jc w:val="both"/>
        <w:rPr>
          <w:rFonts w:ascii="Garamond" w:eastAsia="Times New Roman" w:hAnsi="Garamond" w:cstheme="majorBidi"/>
          <w:kern w:val="0"/>
          <w14:ligatures w14:val="none"/>
        </w:rPr>
      </w:pPr>
      <w:r w:rsidRPr="002128A6">
        <w:rPr>
          <w:rFonts w:ascii="Garamond" w:eastAsia="Times New Roman" w:hAnsi="Garamond" w:cstheme="majorBidi"/>
          <w:kern w:val="0"/>
          <w14:ligatures w14:val="none"/>
        </w:rPr>
        <w:t>Brenda Objektivit Specifik 1.2, kostot indikative kapitale parashikohen për masat e mëposhtme:</w:t>
      </w:r>
    </w:p>
    <w:p w14:paraId="64D5E4F2" w14:textId="63B0DED8" w:rsidR="0071545A" w:rsidRPr="002128A6" w:rsidRDefault="0025426C" w:rsidP="0025426C">
      <w:pPr>
        <w:pStyle w:val="ListParagraph"/>
        <w:spacing w:after="0" w:line="240" w:lineRule="auto"/>
        <w:ind w:left="0" w:firstLine="284"/>
        <w:jc w:val="both"/>
        <w:rPr>
          <w:rFonts w:ascii="Garamond" w:eastAsia="Times New Roman" w:hAnsi="Garamond" w:cstheme="majorBidi"/>
          <w:kern w:val="0"/>
          <w14:ligatures w14:val="none"/>
        </w:rPr>
      </w:pPr>
      <w:r w:rsidRPr="002128A6">
        <w:rPr>
          <w:rFonts w:ascii="Garamond" w:eastAsia="Times New Roman" w:hAnsi="Garamond" w:cstheme="majorBidi"/>
          <w:b/>
          <w:bCs/>
          <w:kern w:val="0"/>
          <w14:ligatures w14:val="none"/>
        </w:rPr>
        <w:lastRenderedPageBreak/>
        <w:t xml:space="preserve">- </w:t>
      </w:r>
      <w:r w:rsidR="0071545A" w:rsidRPr="002128A6">
        <w:rPr>
          <w:rFonts w:ascii="Garamond" w:eastAsia="Times New Roman" w:hAnsi="Garamond" w:cstheme="majorBidi"/>
          <w:b/>
          <w:bCs/>
          <w:kern w:val="0"/>
          <w14:ligatures w14:val="none"/>
        </w:rPr>
        <w:t>Masa 1.2.2</w:t>
      </w:r>
      <w:r w:rsidR="00C4020D" w:rsidRPr="002128A6">
        <w:rPr>
          <w:rFonts w:ascii="Garamond" w:eastAsia="Times New Roman" w:hAnsi="Garamond" w:cstheme="majorBidi"/>
          <w:b/>
          <w:bCs/>
          <w:kern w:val="0"/>
          <w14:ligatures w14:val="none"/>
        </w:rPr>
        <w:t xml:space="preserve"> </w:t>
      </w:r>
      <w:r w:rsidR="00C4020D" w:rsidRPr="002128A6">
        <w:rPr>
          <w:rFonts w:ascii="Garamond" w:eastAsia="Times New Roman" w:hAnsi="Garamond" w:cstheme="majorBidi"/>
          <w:kern w:val="0"/>
          <w14:ligatures w14:val="none"/>
        </w:rPr>
        <w:t>–</w:t>
      </w:r>
      <w:r w:rsidR="0071545A" w:rsidRPr="002128A6">
        <w:rPr>
          <w:rFonts w:ascii="Garamond" w:eastAsia="Times New Roman" w:hAnsi="Garamond" w:cstheme="majorBidi"/>
          <w:b/>
          <w:bCs/>
          <w:kern w:val="0"/>
          <w14:ligatures w14:val="none"/>
        </w:rPr>
        <w:t xml:space="preserve"> </w:t>
      </w:r>
      <w:r w:rsidR="0071545A" w:rsidRPr="002128A6">
        <w:rPr>
          <w:rFonts w:ascii="Garamond" w:eastAsia="Times New Roman" w:hAnsi="Garamond" w:cstheme="majorBidi"/>
          <w:kern w:val="0"/>
          <w14:ligatures w14:val="none"/>
        </w:rPr>
        <w:t>Inkurajimi dhe promovimi i transferimit të pronave/aseteve të konfiskuara në pronësi të njësive të qeverisjes vendore, në mënyrë që të përdoren për qëllime sociale dhe në dobi të komuniteteve.</w:t>
      </w:r>
    </w:p>
    <w:p w14:paraId="0B913915" w14:textId="3396F24C" w:rsidR="005220A3" w:rsidRPr="002128A6" w:rsidRDefault="0025426C" w:rsidP="0025426C">
      <w:pPr>
        <w:pStyle w:val="ListParagraph"/>
        <w:spacing w:after="0" w:line="240" w:lineRule="auto"/>
        <w:ind w:left="0" w:firstLine="284"/>
        <w:jc w:val="both"/>
        <w:rPr>
          <w:rFonts w:ascii="Garamond" w:eastAsia="Times New Roman" w:hAnsi="Garamond" w:cstheme="majorBidi"/>
          <w:kern w:val="0"/>
          <w14:ligatures w14:val="none"/>
        </w:rPr>
      </w:pPr>
      <w:r w:rsidRPr="002128A6">
        <w:rPr>
          <w:rFonts w:ascii="Garamond" w:eastAsia="Times New Roman" w:hAnsi="Garamond" w:cstheme="majorBidi"/>
          <w:b/>
          <w:bCs/>
          <w:kern w:val="0"/>
          <w14:ligatures w14:val="none"/>
        </w:rPr>
        <w:t xml:space="preserve">- </w:t>
      </w:r>
      <w:r w:rsidR="00BE490C" w:rsidRPr="002128A6">
        <w:rPr>
          <w:rFonts w:ascii="Garamond" w:eastAsia="Times New Roman" w:hAnsi="Garamond" w:cstheme="majorBidi"/>
          <w:b/>
          <w:bCs/>
          <w:kern w:val="0"/>
          <w14:ligatures w14:val="none"/>
        </w:rPr>
        <w:t>Masa 1.2.3</w:t>
      </w:r>
      <w:r w:rsidR="00BE490C" w:rsidRPr="002128A6">
        <w:rPr>
          <w:rFonts w:ascii="Garamond" w:eastAsia="Times New Roman" w:hAnsi="Garamond" w:cstheme="majorBidi"/>
          <w:kern w:val="0"/>
          <w14:ligatures w14:val="none"/>
        </w:rPr>
        <w:t xml:space="preserve"> </w:t>
      </w:r>
      <w:r w:rsidR="00C4020D" w:rsidRPr="002128A6">
        <w:rPr>
          <w:rFonts w:ascii="Garamond" w:eastAsia="Times New Roman" w:hAnsi="Garamond" w:cstheme="majorBidi"/>
          <w:kern w:val="0"/>
          <w14:ligatures w14:val="none"/>
        </w:rPr>
        <w:t>–</w:t>
      </w:r>
      <w:r w:rsidR="00BE490C" w:rsidRPr="002128A6">
        <w:rPr>
          <w:rFonts w:ascii="Garamond" w:eastAsia="Times New Roman" w:hAnsi="Garamond" w:cstheme="majorBidi"/>
          <w:kern w:val="0"/>
          <w14:ligatures w14:val="none"/>
        </w:rPr>
        <w:t xml:space="preserve"> </w:t>
      </w:r>
      <w:r w:rsidR="0071545A" w:rsidRPr="002128A6">
        <w:rPr>
          <w:rFonts w:ascii="Garamond" w:eastAsia="Times New Roman" w:hAnsi="Garamond" w:cstheme="majorBidi"/>
          <w:kern w:val="0"/>
          <w14:ligatures w14:val="none"/>
        </w:rPr>
        <w:t>Planifikimi dhe organizimi takimeve ndërgjegjësuese mbi procedurat për transferimin e aseteve të konfiskuara të aktivitetit kriminal, te</w:t>
      </w:r>
      <w:r w:rsidR="009F2103" w:rsidRPr="002128A6">
        <w:rPr>
          <w:rFonts w:ascii="Garamond" w:eastAsia="Times New Roman" w:hAnsi="Garamond" w:cstheme="majorBidi"/>
          <w:kern w:val="0"/>
          <w14:ligatures w14:val="none"/>
        </w:rPr>
        <w:t>k</w:t>
      </w:r>
      <w:r w:rsidR="0071545A" w:rsidRPr="002128A6">
        <w:rPr>
          <w:rFonts w:ascii="Garamond" w:eastAsia="Times New Roman" w:hAnsi="Garamond" w:cstheme="majorBidi"/>
          <w:kern w:val="0"/>
          <w14:ligatures w14:val="none"/>
        </w:rPr>
        <w:t xml:space="preserve"> institucionet qendrore dhe vendore, me qëllim lehtësimin e ripërdorimit social të tyre.</w:t>
      </w:r>
    </w:p>
    <w:p w14:paraId="44B9160B" w14:textId="77777777" w:rsidR="005220A3" w:rsidRPr="002128A6" w:rsidRDefault="00BE490C" w:rsidP="0025426C">
      <w:pPr>
        <w:pStyle w:val="ListParagraph"/>
        <w:spacing w:after="0" w:line="240" w:lineRule="auto"/>
        <w:ind w:left="0" w:firstLine="284"/>
        <w:jc w:val="both"/>
        <w:rPr>
          <w:rFonts w:ascii="Garamond" w:eastAsia="Times New Roman" w:hAnsi="Garamond" w:cstheme="majorBidi"/>
          <w:kern w:val="0"/>
          <w14:ligatures w14:val="none"/>
        </w:rPr>
      </w:pPr>
      <w:r w:rsidRPr="002128A6">
        <w:rPr>
          <w:rFonts w:ascii="Garamond" w:eastAsia="Times New Roman" w:hAnsi="Garamond" w:cstheme="majorBidi"/>
          <w:kern w:val="0"/>
          <w14:ligatures w14:val="none"/>
        </w:rPr>
        <w:t>Për zbatimin e kësaj mase parashikohet financim kapital, pasi zhvillimi i takimeve ndërgjegjësuese përfshin investime për ndërtimin e kapaciteteve institucionale, përgatitjen e materialeve të standardizuara dhe vendosjen e mekanizmave të qëndrueshëm të bashkëpunimit ndërinstitucional për administrimin e aseteve të konfiskuara.</w:t>
      </w:r>
    </w:p>
    <w:p w14:paraId="2F5DC0FD" w14:textId="5A9F42FF" w:rsidR="005220A3" w:rsidRPr="002128A6" w:rsidRDefault="0025426C" w:rsidP="0025426C">
      <w:pPr>
        <w:pStyle w:val="ListParagraph"/>
        <w:spacing w:after="0" w:line="240" w:lineRule="auto"/>
        <w:ind w:left="0" w:firstLine="284"/>
        <w:jc w:val="both"/>
        <w:rPr>
          <w:rFonts w:ascii="Garamond" w:eastAsia="Times New Roman" w:hAnsi="Garamond" w:cstheme="majorBidi"/>
          <w:kern w:val="0"/>
          <w14:ligatures w14:val="none"/>
        </w:rPr>
      </w:pPr>
      <w:r w:rsidRPr="002128A6">
        <w:rPr>
          <w:rFonts w:ascii="Garamond" w:eastAsia="Times New Roman" w:hAnsi="Garamond" w:cstheme="majorBidi"/>
          <w:b/>
          <w:bCs/>
          <w:kern w:val="0"/>
          <w14:ligatures w14:val="none"/>
        </w:rPr>
        <w:t xml:space="preserve">- </w:t>
      </w:r>
      <w:r w:rsidR="00BE490C" w:rsidRPr="002128A6">
        <w:rPr>
          <w:rFonts w:ascii="Garamond" w:eastAsia="Times New Roman" w:hAnsi="Garamond" w:cstheme="majorBidi"/>
          <w:b/>
          <w:bCs/>
          <w:kern w:val="0"/>
          <w14:ligatures w14:val="none"/>
        </w:rPr>
        <w:t>Masa 1.2.4</w:t>
      </w:r>
      <w:r w:rsidR="00BE490C" w:rsidRPr="002128A6">
        <w:rPr>
          <w:rFonts w:ascii="Garamond" w:eastAsia="Times New Roman" w:hAnsi="Garamond" w:cstheme="majorBidi"/>
          <w:kern w:val="0"/>
          <w14:ligatures w14:val="none"/>
        </w:rPr>
        <w:t xml:space="preserve"> </w:t>
      </w:r>
      <w:r w:rsidR="00C4020D" w:rsidRPr="002128A6">
        <w:rPr>
          <w:rFonts w:ascii="Garamond" w:eastAsia="Times New Roman" w:hAnsi="Garamond" w:cstheme="majorBidi"/>
          <w:kern w:val="0"/>
          <w14:ligatures w14:val="none"/>
        </w:rPr>
        <w:t>–</w:t>
      </w:r>
      <w:r w:rsidR="00BE490C" w:rsidRPr="002128A6">
        <w:rPr>
          <w:rFonts w:ascii="Garamond" w:eastAsia="Times New Roman" w:hAnsi="Garamond" w:cstheme="majorBidi"/>
          <w:kern w:val="0"/>
          <w14:ligatures w14:val="none"/>
        </w:rPr>
        <w:t xml:space="preserve"> </w:t>
      </w:r>
      <w:r w:rsidR="0071545A" w:rsidRPr="002128A6">
        <w:rPr>
          <w:rFonts w:ascii="Garamond" w:eastAsia="Times New Roman" w:hAnsi="Garamond" w:cstheme="majorBidi"/>
          <w:kern w:val="0"/>
          <w14:ligatures w14:val="none"/>
        </w:rPr>
        <w:t xml:space="preserve">Përmirësimi i trajtimit të të burgosurve për sa </w:t>
      </w:r>
      <w:r w:rsidR="00043DE4" w:rsidRPr="002128A6">
        <w:rPr>
          <w:rFonts w:ascii="Garamond" w:eastAsia="Times New Roman" w:hAnsi="Garamond" w:cstheme="majorBidi"/>
          <w:kern w:val="0"/>
          <w14:ligatures w14:val="none"/>
        </w:rPr>
        <w:t>u</w:t>
      </w:r>
      <w:r w:rsidR="0071545A" w:rsidRPr="002128A6">
        <w:rPr>
          <w:rFonts w:ascii="Garamond" w:eastAsia="Times New Roman" w:hAnsi="Garamond" w:cstheme="majorBidi"/>
          <w:kern w:val="0"/>
          <w14:ligatures w14:val="none"/>
        </w:rPr>
        <w:t xml:space="preserve"> përket aspekteve </w:t>
      </w:r>
      <w:r w:rsidR="00EF05E1" w:rsidRPr="002128A6">
        <w:rPr>
          <w:rFonts w:ascii="Garamond" w:eastAsia="Times New Roman" w:hAnsi="Garamond" w:cstheme="majorBidi"/>
          <w:kern w:val="0"/>
          <w14:ligatures w14:val="none"/>
        </w:rPr>
        <w:t>psikosociale</w:t>
      </w:r>
      <w:r w:rsidR="0071545A" w:rsidRPr="002128A6">
        <w:rPr>
          <w:rFonts w:ascii="Garamond" w:eastAsia="Times New Roman" w:hAnsi="Garamond" w:cstheme="majorBidi"/>
          <w:kern w:val="0"/>
          <w14:ligatures w14:val="none"/>
        </w:rPr>
        <w:t xml:space="preserve"> dhe kulturore, si dhe i kushteve të strukturave dhe infrastrukturës së burgjeve, përfshirë përmes hartimit dhe zbatimit të programeve sociale dhe trajnimeve ose kurseve profesionale.</w:t>
      </w:r>
    </w:p>
    <w:p w14:paraId="6092B4D2" w14:textId="429617F1" w:rsidR="00BE490C" w:rsidRPr="002128A6" w:rsidRDefault="00BE490C" w:rsidP="0025426C">
      <w:pPr>
        <w:pStyle w:val="ListParagraph"/>
        <w:spacing w:after="0" w:line="240" w:lineRule="auto"/>
        <w:ind w:left="0" w:firstLine="284"/>
        <w:jc w:val="both"/>
        <w:rPr>
          <w:rFonts w:ascii="Garamond" w:eastAsia="Times New Roman" w:hAnsi="Garamond" w:cstheme="majorBidi"/>
          <w:kern w:val="0"/>
          <w14:ligatures w14:val="none"/>
        </w:rPr>
      </w:pPr>
      <w:r w:rsidRPr="002128A6">
        <w:rPr>
          <w:rFonts w:ascii="Garamond" w:eastAsia="Times New Roman" w:hAnsi="Garamond" w:cstheme="majorBidi"/>
          <w:kern w:val="0"/>
          <w14:ligatures w14:val="none"/>
        </w:rPr>
        <w:t>Financim kapital nën këtë masë parashikohet edhe për investime afatgjata për përmirësimin e infrastrukturës dhe strukturave të burgjeve, krijimin e hapësirave për trajtim psikosocial, kulturor dhe profesional, si dhe për pajisje të qëndrueshme për zbatimin e programeve dhe trajnimeve rehabilituese.</w:t>
      </w:r>
    </w:p>
    <w:p w14:paraId="772FC0FD" w14:textId="75842861" w:rsidR="00BE490C" w:rsidRPr="002128A6" w:rsidRDefault="00BE490C" w:rsidP="0025426C">
      <w:pPr>
        <w:pStyle w:val="Heading3"/>
        <w:spacing w:before="0" w:after="0" w:line="240" w:lineRule="auto"/>
        <w:ind w:firstLine="284"/>
        <w:jc w:val="both"/>
        <w:rPr>
          <w:rFonts w:ascii="Garamond" w:eastAsia="Times New Roman" w:hAnsi="Garamond"/>
          <w:b/>
          <w:bCs/>
          <w:color w:val="auto"/>
          <w:kern w:val="0"/>
          <w:sz w:val="24"/>
          <w:szCs w:val="24"/>
          <w14:ligatures w14:val="none"/>
        </w:rPr>
      </w:pPr>
      <w:bookmarkStart w:id="91" w:name="_Toc227770727"/>
      <w:bookmarkStart w:id="92" w:name="_Toc233371613"/>
      <w:r w:rsidRPr="002128A6">
        <w:rPr>
          <w:rFonts w:ascii="Garamond" w:eastAsia="Times New Roman" w:hAnsi="Garamond"/>
          <w:b/>
          <w:bCs/>
          <w:color w:val="auto"/>
          <w:sz w:val="24"/>
          <w:szCs w:val="24"/>
        </w:rPr>
        <w:t>II</w:t>
      </w:r>
      <w:r w:rsidRPr="002128A6">
        <w:rPr>
          <w:rFonts w:ascii="Garamond" w:eastAsia="Times New Roman" w:hAnsi="Garamond"/>
          <w:b/>
          <w:bCs/>
          <w:color w:val="auto"/>
          <w:kern w:val="0"/>
          <w:sz w:val="24"/>
          <w:szCs w:val="24"/>
          <w14:ligatures w14:val="none"/>
        </w:rPr>
        <w:t>. Objektivi Specifik 1.4 -</w:t>
      </w:r>
      <w:bookmarkEnd w:id="91"/>
      <w:r w:rsidR="00F54824" w:rsidRPr="002128A6">
        <w:rPr>
          <w:rFonts w:ascii="Garamond" w:eastAsia="Times New Roman" w:hAnsi="Garamond"/>
          <w:b/>
          <w:bCs/>
          <w:color w:val="auto"/>
          <w:kern w:val="0"/>
          <w:sz w:val="24"/>
          <w:szCs w:val="24"/>
          <w14:ligatures w14:val="none"/>
        </w:rPr>
        <w:t xml:space="preserve"> </w:t>
      </w:r>
      <w:r w:rsidR="00A00C58" w:rsidRPr="002128A6">
        <w:rPr>
          <w:rFonts w:ascii="Garamond" w:eastAsia="Times New Roman" w:hAnsi="Garamond"/>
          <w:b/>
          <w:bCs/>
          <w:color w:val="auto"/>
          <w:kern w:val="0"/>
          <w:sz w:val="24"/>
          <w:szCs w:val="24"/>
          <w14:ligatures w14:val="none"/>
        </w:rPr>
        <w:t>Rritja e profesionalizmit, kapacitetit teknologjik dhe efikasitetit operacional të institucioneve ligjzbatuese dhe të drejtësisë</w:t>
      </w:r>
      <w:bookmarkEnd w:id="92"/>
    </w:p>
    <w:p w14:paraId="7E0BAEE8" w14:textId="77777777" w:rsidR="00BE490C" w:rsidRPr="002128A6" w:rsidRDefault="00BE490C" w:rsidP="0025426C">
      <w:pPr>
        <w:spacing w:after="0" w:line="240" w:lineRule="auto"/>
        <w:ind w:firstLine="284"/>
        <w:jc w:val="both"/>
        <w:rPr>
          <w:rFonts w:ascii="Garamond" w:eastAsia="Times New Roman" w:hAnsi="Garamond" w:cstheme="majorBidi"/>
          <w:kern w:val="0"/>
          <w14:ligatures w14:val="none"/>
        </w:rPr>
      </w:pPr>
      <w:r w:rsidRPr="002128A6">
        <w:rPr>
          <w:rFonts w:ascii="Garamond" w:eastAsia="Times New Roman" w:hAnsi="Garamond" w:cstheme="majorBidi"/>
          <w:kern w:val="0"/>
          <w14:ligatures w14:val="none"/>
        </w:rPr>
        <w:t>Brenda Objektivit Specifik 1.4, kostot indikative kapitale parashikohen për masat e mëposhtme:</w:t>
      </w:r>
    </w:p>
    <w:p w14:paraId="30A63E4C" w14:textId="3F36849E"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1.4.8</w:t>
      </w:r>
      <w:r w:rsidRPr="002128A6">
        <w:rPr>
          <w:rFonts w:ascii="Garamond" w:hAnsi="Garamond"/>
        </w:rPr>
        <w:t xml:space="preserve"> </w:t>
      </w:r>
      <w:r w:rsidR="00C4020D" w:rsidRPr="002128A6">
        <w:rPr>
          <w:rFonts w:ascii="Garamond" w:hAnsi="Garamond"/>
        </w:rPr>
        <w:t>–</w:t>
      </w:r>
      <w:r w:rsidRPr="002128A6">
        <w:rPr>
          <w:rFonts w:ascii="Garamond" w:hAnsi="Garamond"/>
        </w:rPr>
        <w:t xml:space="preserve"> Operacionalizimi plotë i sistemit </w:t>
      </w:r>
      <w:r w:rsidRPr="006815D8">
        <w:rPr>
          <w:rFonts w:ascii="Garamond" w:hAnsi="Garamond"/>
          <w:i/>
          <w:iCs/>
        </w:rPr>
        <w:t>e-Presto,</w:t>
      </w:r>
      <w:r w:rsidRPr="002128A6">
        <w:rPr>
          <w:rFonts w:ascii="Garamond" w:hAnsi="Garamond"/>
        </w:rPr>
        <w:t xml:space="preserve"> për të cilin masat administrative paraprake për zhvillimin teknologjik kanë përfunduar, ndërkohë që prok</w:t>
      </w:r>
      <w:r w:rsidR="00393F5A" w:rsidRPr="002128A6">
        <w:rPr>
          <w:rFonts w:ascii="Garamond" w:hAnsi="Garamond"/>
        </w:rPr>
        <w:t>u</w:t>
      </w:r>
      <w:r w:rsidRPr="002128A6">
        <w:rPr>
          <w:rFonts w:ascii="Garamond" w:hAnsi="Garamond"/>
        </w:rPr>
        <w:t>rorët e prokurorive të përgjithshme finalizojnë dhe përditësojnë çështjet dhe seksionet përkatëse.</w:t>
      </w:r>
    </w:p>
    <w:p w14:paraId="395E65F2"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 xml:space="preserve">Financim kapital parashikohet për këtë masë, pasi operacionalizimi i plotë i sistemit </w:t>
      </w:r>
      <w:r w:rsidRPr="006815D8">
        <w:rPr>
          <w:rFonts w:ascii="Garamond" w:hAnsi="Garamond"/>
          <w:i/>
          <w:iCs/>
        </w:rPr>
        <w:t>e-Presto</w:t>
      </w:r>
      <w:r w:rsidRPr="002128A6">
        <w:rPr>
          <w:rFonts w:ascii="Garamond" w:hAnsi="Garamond"/>
        </w:rPr>
        <w:t xml:space="preserve"> kërkon investime kapitale për zhvillimin teknologjik dhe përmirësimin, përditësimin dhe zgjerimin e funksionaliteteve të sistemit dhe infrastrukturën dhe pajisjet e qëndrueshme TI për përdorim afatgjatë.</w:t>
      </w:r>
    </w:p>
    <w:p w14:paraId="5BE9A033" w14:textId="43ACF27A"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1.4.9</w:t>
      </w:r>
      <w:r w:rsidRPr="002128A6">
        <w:rPr>
          <w:rFonts w:ascii="Garamond" w:hAnsi="Garamond"/>
        </w:rPr>
        <w:t xml:space="preserve"> </w:t>
      </w:r>
      <w:r w:rsidR="00C4020D" w:rsidRPr="002128A6">
        <w:rPr>
          <w:rFonts w:ascii="Garamond" w:hAnsi="Garamond"/>
        </w:rPr>
        <w:t>–</w:t>
      </w:r>
      <w:r w:rsidRPr="002128A6">
        <w:rPr>
          <w:rFonts w:ascii="Garamond" w:hAnsi="Garamond"/>
        </w:rPr>
        <w:t xml:space="preserve"> Operacionalizimi plotë i i Sistemit të Menaxhimit të Çështjeve në Prokurorinë e Përgjithshme.</w:t>
      </w:r>
    </w:p>
    <w:p w14:paraId="038FB9A6"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për këtë masë, pasi operacionalizimi i plotë i SMÇ-së kërkon investime për zhvillimin dhe integrimin e sistemit, modernizimin e infrastrukturës TI, licencat dhe pajisjet e qëndrueshme të nevojshme për menaxhimin afatgjatë elektronik të çështjeve penale.</w:t>
      </w:r>
    </w:p>
    <w:p w14:paraId="7B63A310" w14:textId="64C4937F"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1.4.10</w:t>
      </w:r>
      <w:r w:rsidRPr="002128A6">
        <w:rPr>
          <w:rFonts w:ascii="Garamond" w:hAnsi="Garamond"/>
        </w:rPr>
        <w:t xml:space="preserve"> </w:t>
      </w:r>
      <w:r w:rsidR="00C4020D" w:rsidRPr="002128A6">
        <w:rPr>
          <w:rFonts w:ascii="Garamond" w:hAnsi="Garamond"/>
        </w:rPr>
        <w:t>–</w:t>
      </w:r>
      <w:r w:rsidRPr="002128A6">
        <w:rPr>
          <w:rFonts w:ascii="Garamond" w:hAnsi="Garamond"/>
        </w:rPr>
        <w:t xml:space="preserve"> Operacionalizimi plotë i Sistemit të Menaxhimit të Çështjeve në Prokurorinë e Posaçme kundër Korrupsionit dhe Krimit të Organizuar dhe Byrosë Kombëtare të Hetimit.</w:t>
      </w:r>
    </w:p>
    <w:p w14:paraId="48275F82"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për këtë masë, përfshirë investime për zhvillimin dhe përshtatjen teknologjike, integrimin me sisteme të tjera, infrastrukturën dhe pajisjet TI dhe sigurinë e avancuar të të dhënave për përdorim operacional afatgjatë.</w:t>
      </w:r>
    </w:p>
    <w:p w14:paraId="2987D765" w14:textId="03BC4871" w:rsidR="0025426C" w:rsidRPr="002128A6" w:rsidRDefault="0025426C" w:rsidP="0025426C">
      <w:pPr>
        <w:pStyle w:val="Heading3"/>
        <w:spacing w:before="0" w:after="0" w:line="240" w:lineRule="auto"/>
        <w:ind w:firstLine="284"/>
        <w:jc w:val="both"/>
        <w:rPr>
          <w:rFonts w:ascii="Garamond" w:hAnsi="Garamond"/>
          <w:color w:val="auto"/>
          <w:sz w:val="24"/>
          <w:szCs w:val="24"/>
        </w:rPr>
      </w:pPr>
      <w:r w:rsidRPr="002128A6">
        <w:rPr>
          <w:rFonts w:ascii="Garamond" w:hAnsi="Garamond"/>
          <w:b/>
          <w:bCs/>
          <w:color w:val="auto"/>
          <w:sz w:val="24"/>
          <w:szCs w:val="24"/>
        </w:rPr>
        <w:t xml:space="preserve">III. Objektivi Specifik 1.5 </w:t>
      </w:r>
      <w:r w:rsidR="00C4020D" w:rsidRPr="002128A6">
        <w:rPr>
          <w:rFonts w:ascii="Garamond" w:hAnsi="Garamond"/>
          <w:b/>
          <w:bCs/>
          <w:color w:val="auto"/>
          <w:sz w:val="24"/>
          <w:szCs w:val="24"/>
        </w:rPr>
        <w:t>–</w:t>
      </w:r>
      <w:r w:rsidRPr="002128A6">
        <w:rPr>
          <w:rFonts w:ascii="Garamond" w:hAnsi="Garamond"/>
          <w:b/>
          <w:bCs/>
          <w:color w:val="auto"/>
          <w:sz w:val="24"/>
          <w:szCs w:val="24"/>
        </w:rPr>
        <w:t xml:space="preserve"> Reduktimi i stimujve dhe mundësive financiare për krimin e organizuar nëpërmjet forcimit të kontrolleve ekonomike dhe ndërprerjes së burimeve të financimit</w:t>
      </w:r>
    </w:p>
    <w:p w14:paraId="5B5EF703" w14:textId="0538AEBB"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1.5.4</w:t>
      </w:r>
      <w:r w:rsidRPr="002128A6">
        <w:rPr>
          <w:rFonts w:ascii="Garamond" w:hAnsi="Garamond"/>
        </w:rPr>
        <w:t xml:space="preserve"> </w:t>
      </w:r>
      <w:r w:rsidR="00C4020D" w:rsidRPr="002128A6">
        <w:rPr>
          <w:rFonts w:ascii="Garamond" w:hAnsi="Garamond"/>
        </w:rPr>
        <w:t>–</w:t>
      </w:r>
      <w:r w:rsidRPr="002128A6">
        <w:rPr>
          <w:rFonts w:ascii="Garamond" w:hAnsi="Garamond"/>
        </w:rPr>
        <w:t xml:space="preserve"> Monitorimi i mallrave me rrezik të lartë mallrave të cenueshme ndaj evazionit fiskal.</w:t>
      </w:r>
    </w:p>
    <w:p w14:paraId="0AF5EA1C"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Kostot kapitale parashikohen për zbatimin e kësaj mase, pasi kontrolli i mallrave me rrezik të lartë kërkon investime afatgjata në pajisje teknike kontrolli, sisteme inteligjente të analizës së rrezikut, infrastrukturë TI dhe mjete monitorimi, të cilat klasifikohen si shpenzime kapitale dhe sigurojnë efektivitet të qëndrueshëm të kontrolleve.</w:t>
      </w:r>
    </w:p>
    <w:p w14:paraId="1722F942" w14:textId="2FA93F45" w:rsidR="0025426C" w:rsidRPr="002128A6" w:rsidRDefault="0025426C" w:rsidP="0025426C">
      <w:pPr>
        <w:pStyle w:val="Heading3"/>
        <w:spacing w:before="0" w:after="0" w:line="240" w:lineRule="auto"/>
        <w:ind w:firstLine="284"/>
        <w:jc w:val="both"/>
        <w:rPr>
          <w:rFonts w:ascii="Garamond" w:hAnsi="Garamond"/>
          <w:b/>
          <w:bCs/>
          <w:color w:val="auto"/>
          <w:sz w:val="24"/>
          <w:szCs w:val="24"/>
        </w:rPr>
      </w:pPr>
      <w:r w:rsidRPr="002128A6">
        <w:rPr>
          <w:rFonts w:ascii="Garamond" w:hAnsi="Garamond"/>
          <w:b/>
          <w:bCs/>
          <w:color w:val="auto"/>
          <w:sz w:val="24"/>
          <w:szCs w:val="24"/>
        </w:rPr>
        <w:t xml:space="preserve">IV. Objektivi Specifik 2.3 </w:t>
      </w:r>
      <w:r w:rsidR="00C4020D" w:rsidRPr="002128A6">
        <w:rPr>
          <w:rFonts w:ascii="Garamond" w:hAnsi="Garamond"/>
          <w:b/>
          <w:bCs/>
          <w:color w:val="auto"/>
          <w:sz w:val="24"/>
          <w:szCs w:val="24"/>
        </w:rPr>
        <w:t>–</w:t>
      </w:r>
      <w:r w:rsidRPr="002128A6">
        <w:rPr>
          <w:rFonts w:ascii="Garamond" w:hAnsi="Garamond"/>
          <w:b/>
          <w:bCs/>
          <w:color w:val="auto"/>
          <w:sz w:val="24"/>
          <w:szCs w:val="24"/>
        </w:rPr>
        <w:t xml:space="preserve"> Forcimi i kapaciteteve kombëtare për zbulimin, hetimin dhe ndjekjen penale të krimit ekonomik dhe financiar, që rezulton në rritje të sekuestrimeve dhe ulje të pandëshkueshmërisë</w:t>
      </w:r>
    </w:p>
    <w:p w14:paraId="33C11E96" w14:textId="0DFF879D"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 xml:space="preserve">Masa 2.3.5 </w:t>
      </w:r>
      <w:r w:rsidR="00C4020D" w:rsidRPr="002128A6">
        <w:rPr>
          <w:rFonts w:ascii="Garamond" w:hAnsi="Garamond"/>
        </w:rPr>
        <w:t>–</w:t>
      </w:r>
      <w:r w:rsidRPr="002128A6">
        <w:rPr>
          <w:rFonts w:ascii="Garamond" w:hAnsi="Garamond"/>
        </w:rPr>
        <w:t xml:space="preserve"> Trajnime për të rritur nivelin e ndërgjegjësimit të organeve ligjzbatuesve, gjyqtarëve, prokurorëve dhe të inteligjencës për rreziqet e pastrimit të parave, me tematika të lidhura me rrezikun </w:t>
      </w:r>
      <w:r w:rsidRPr="002128A6">
        <w:rPr>
          <w:rFonts w:ascii="Garamond" w:hAnsi="Garamond"/>
        </w:rPr>
        <w:lastRenderedPageBreak/>
        <w:t>e mbledhjes, lëvizjes së fondeve të Shqipërisë, përdorimi i fondeve për territorin e Shqipërisë, përdorimit të personave juridik, strukturave komplekse, profesionistëve, për pastrimin e parave si vepër autonome, risku nga keqpërdorimi i OJF, financimi i terrorizmit i lidhur me tregtinë etj.</w:t>
      </w:r>
    </w:p>
    <w:p w14:paraId="4BB5117E"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për këtë masë, pasi trajnimet kërkojnë investime afatgjata për zhvillimin e platformave dhe pajisjeve të trajnimit, materialeve të trajnimit dhe krijimin e kapaciteteve institucionale të qëndrueshme për ndërgjegjësimin e vazhdueshëm mbi rreziqet e pastrimit të parave dhe financimit të terrorizmit.</w:t>
      </w:r>
    </w:p>
    <w:p w14:paraId="7C6CEAEF" w14:textId="016D0C5C" w:rsidR="0025426C" w:rsidRPr="002128A6" w:rsidRDefault="0025426C" w:rsidP="0025426C">
      <w:pPr>
        <w:pStyle w:val="Heading3"/>
        <w:spacing w:before="0" w:after="0" w:line="240" w:lineRule="auto"/>
        <w:ind w:firstLine="284"/>
        <w:jc w:val="both"/>
        <w:rPr>
          <w:rFonts w:ascii="Garamond" w:hAnsi="Garamond"/>
          <w:b/>
          <w:bCs/>
          <w:color w:val="auto"/>
          <w:sz w:val="24"/>
          <w:szCs w:val="24"/>
        </w:rPr>
      </w:pPr>
      <w:r w:rsidRPr="002128A6">
        <w:rPr>
          <w:rFonts w:ascii="Garamond" w:hAnsi="Garamond"/>
          <w:b/>
          <w:bCs/>
          <w:color w:val="auto"/>
          <w:sz w:val="24"/>
          <w:szCs w:val="24"/>
        </w:rPr>
        <w:t xml:space="preserve">V. Objektivi Specifik 2.5 </w:t>
      </w:r>
      <w:r w:rsidR="00C4020D" w:rsidRPr="002128A6">
        <w:rPr>
          <w:rFonts w:ascii="Garamond" w:hAnsi="Garamond"/>
          <w:b/>
          <w:bCs/>
          <w:color w:val="auto"/>
          <w:sz w:val="24"/>
          <w:szCs w:val="24"/>
        </w:rPr>
        <w:t>–</w:t>
      </w:r>
      <w:r w:rsidRPr="002128A6">
        <w:rPr>
          <w:rFonts w:ascii="Garamond" w:hAnsi="Garamond"/>
          <w:b/>
          <w:bCs/>
          <w:color w:val="auto"/>
          <w:sz w:val="24"/>
          <w:szCs w:val="24"/>
        </w:rPr>
        <w:t xml:space="preserve"> Shërbime kriminalistike të akredituara dhe të cilësisë së lartë, të cilat garantojnë integritetin, besueshmërinë dhe pranueshmërinë e provave</w:t>
      </w:r>
      <w:r w:rsidR="00F54824" w:rsidRPr="002128A6">
        <w:rPr>
          <w:rFonts w:ascii="Garamond" w:hAnsi="Garamond"/>
          <w:b/>
          <w:bCs/>
          <w:color w:val="auto"/>
          <w:sz w:val="24"/>
          <w:szCs w:val="24"/>
        </w:rPr>
        <w:t xml:space="preserve"> </w:t>
      </w:r>
    </w:p>
    <w:p w14:paraId="797DBCB2" w14:textId="0F9C5F72"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2.5.2</w:t>
      </w:r>
      <w:r w:rsidRPr="002128A6">
        <w:rPr>
          <w:rFonts w:ascii="Garamond" w:hAnsi="Garamond"/>
        </w:rPr>
        <w:t xml:space="preserve"> </w:t>
      </w:r>
      <w:r w:rsidR="00C4020D" w:rsidRPr="002128A6">
        <w:rPr>
          <w:rFonts w:ascii="Garamond" w:hAnsi="Garamond"/>
        </w:rPr>
        <w:t>–</w:t>
      </w:r>
      <w:r w:rsidRPr="002128A6">
        <w:rPr>
          <w:rFonts w:ascii="Garamond" w:hAnsi="Garamond"/>
        </w:rPr>
        <w:t xml:space="preserve"> Miratimi një plani të detajuar për sistemimin e strukturës së Policisë Shkencore në ambientet e reja, përfshirë planifikimin e hapësirës, zonimin funksional të laboratorëve dhe zonave të provave, kërkesat e sigurisë, masat e sigurisë në punë, afatet kohore të zhvendosjes në faza dhe modalitetet e vazhdimësisë së punës, për të shmangur ndërprerjen e shërbimeve kriminalistike.</w:t>
      </w:r>
    </w:p>
    <w:p w14:paraId="55B004E6"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për këtë masë, pasi miratimi i planit të detajuar të sistemimit kërkon investime në infrastrukturë, pajisje të specializuara dhe përshtatje të strukturave për përdorim operacional afatgjatë.</w:t>
      </w:r>
    </w:p>
    <w:p w14:paraId="36AD6E8C" w14:textId="17B9B158"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2.5.3</w:t>
      </w:r>
      <w:r w:rsidRPr="002128A6">
        <w:rPr>
          <w:rFonts w:ascii="Garamond" w:hAnsi="Garamond"/>
        </w:rPr>
        <w:t xml:space="preserve"> </w:t>
      </w:r>
      <w:r w:rsidR="00C4020D" w:rsidRPr="002128A6">
        <w:rPr>
          <w:rFonts w:ascii="Garamond" w:hAnsi="Garamond"/>
        </w:rPr>
        <w:t>–</w:t>
      </w:r>
      <w:r w:rsidRPr="002128A6">
        <w:rPr>
          <w:rFonts w:ascii="Garamond" w:hAnsi="Garamond"/>
        </w:rPr>
        <w:t xml:space="preserve"> Zbatimi i standardeve minimale të cilësisë për hetimet në vendin e ngjarjes dhe për administrimin e provave nga vendi i ngjarjes deri në sallën e gjyqit, përfshirë procedurat standarde operacionale për sigurimin, dokumentimin, mbledhjen, paketimin, transportimin, ruajtjen, ekzaminimin dhe paraqitjen e provave, me qëllim garantimin e integritetit, gjurmueshmërisë dhe pranueshmërisë së provave.</w:t>
      </w:r>
    </w:p>
    <w:p w14:paraId="0414C02E"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zbatimi i standardeve minimale të cilësisë kërkon investime në pajisje të specializuara, laboratorë, teknologji për menaxhimin e provave dhe infrastrukturë të qëndrueshme për hetime dhe procedimet gjyqësore.</w:t>
      </w:r>
    </w:p>
    <w:p w14:paraId="20AA5127" w14:textId="46065076"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2.5.7</w:t>
      </w:r>
      <w:r w:rsidRPr="002128A6">
        <w:rPr>
          <w:rFonts w:ascii="Garamond" w:hAnsi="Garamond"/>
        </w:rPr>
        <w:t xml:space="preserve"> </w:t>
      </w:r>
      <w:r w:rsidR="00C4020D" w:rsidRPr="002128A6">
        <w:rPr>
          <w:rFonts w:ascii="Garamond" w:hAnsi="Garamond"/>
        </w:rPr>
        <w:t>–</w:t>
      </w:r>
      <w:r w:rsidRPr="002128A6">
        <w:rPr>
          <w:rFonts w:ascii="Garamond" w:hAnsi="Garamond"/>
        </w:rPr>
        <w:t xml:space="preserve"> Arritja e akreditimit të shërbimeve të ofruara nga Instituti i Policisë Shkencore sipas standardeve ISO, i zbatuar në faza, duke prioritizuar disiplinat shkencore me ndikim të lartë, duke kryer auditimet e brendshme, duke adresuar mospërputhjet (identifikimi, dokumentimi, vlerësimi dhe korrigjimi i devijimeve nga standardet e cilësisë së vendosur) dhe duke siguruar përmirësim të vazhdueshëm të cilësisë.</w:t>
      </w:r>
    </w:p>
    <w:p w14:paraId="08299428"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akreditimi ISO kërkon investime afatgjata në infrastrukturë, pajisje laboratorike, procedura standarde dhe kapacitete të qëndrueshme për të siguruar cilësinë dhe pajtueshmërinë me standardet ndërkombëtare.</w:t>
      </w:r>
    </w:p>
    <w:p w14:paraId="3BABF93D" w14:textId="7D2EFCA0"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2.5.8</w:t>
      </w:r>
      <w:r w:rsidRPr="002128A6">
        <w:rPr>
          <w:rFonts w:ascii="Garamond" w:hAnsi="Garamond"/>
        </w:rPr>
        <w:t xml:space="preserve"> </w:t>
      </w:r>
      <w:r w:rsidR="00C4020D" w:rsidRPr="002128A6">
        <w:rPr>
          <w:rFonts w:ascii="Garamond" w:hAnsi="Garamond"/>
        </w:rPr>
        <w:t>–</w:t>
      </w:r>
      <w:r w:rsidRPr="002128A6">
        <w:rPr>
          <w:rFonts w:ascii="Garamond" w:hAnsi="Garamond"/>
        </w:rPr>
        <w:t xml:space="preserve"> Hartimi një plani të dedikuar për zbatimin e metodave novatore në shkencat kriminalistike në luftën kundër krimit të organizuar dhe aktiviteteve të tjera kriminale, përfshirë identifikimin e metodave prioritare, pajisjeve dhe trajnimit të kërkuar, procedurat e validimit dhe integrimin në flukset operacionale të punës.</w:t>
      </w:r>
    </w:p>
    <w:p w14:paraId="4D463C6C"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zhvillimi i këtij plani kërkon investime në pajisje dhe teknologji laboratorike, protokolle standarde dhe krijimin e kapaciteteve institucionale të qëndrueshme për përdorim afatgjatë.</w:t>
      </w:r>
    </w:p>
    <w:p w14:paraId="0EFB64B9" w14:textId="340D37C0"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2.5.9</w:t>
      </w:r>
      <w:r w:rsidRPr="002128A6">
        <w:rPr>
          <w:rFonts w:ascii="Garamond" w:hAnsi="Garamond"/>
        </w:rPr>
        <w:t xml:space="preserve"> </w:t>
      </w:r>
      <w:r w:rsidR="00C4020D" w:rsidRPr="002128A6">
        <w:rPr>
          <w:rFonts w:ascii="Garamond" w:hAnsi="Garamond"/>
        </w:rPr>
        <w:t>–</w:t>
      </w:r>
      <w:r w:rsidRPr="002128A6">
        <w:rPr>
          <w:rFonts w:ascii="Garamond" w:hAnsi="Garamond"/>
        </w:rPr>
        <w:t xml:space="preserve"> Mbështetja dhe forcimi i kapaciteteve për procesin e menaxhimit të cilësisë në nivel rajonal të hetimit të vendngjarjes dhe në nivel qendror, përfshirë përmes procedurave të harmonizuara, mentorimit, kontrolleve të brendshme dhe rishikimeve periodike të cilësisë për të siguruar zbatim konsistent të standardeve në të gjithë vendin.</w:t>
      </w:r>
    </w:p>
    <w:p w14:paraId="72C5D7B7"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mbështetja e menaxhimit të cilësisë kërkon investime në pajisje teknologjike, infrastrukturë të përshtatur dhe zhvillimin e kapaciteteve institucionale rajonale dhe qendrore të qëndrueshme.</w:t>
      </w:r>
    </w:p>
    <w:p w14:paraId="0D9905A4" w14:textId="37722966"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2.5.12</w:t>
      </w:r>
      <w:r w:rsidRPr="002128A6">
        <w:rPr>
          <w:rFonts w:ascii="Garamond" w:hAnsi="Garamond"/>
        </w:rPr>
        <w:t xml:space="preserve"> </w:t>
      </w:r>
      <w:r w:rsidR="00C4020D" w:rsidRPr="002128A6">
        <w:rPr>
          <w:rFonts w:ascii="Garamond" w:hAnsi="Garamond"/>
        </w:rPr>
        <w:t>–</w:t>
      </w:r>
      <w:r w:rsidRPr="002128A6">
        <w:rPr>
          <w:rFonts w:ascii="Garamond" w:hAnsi="Garamond"/>
        </w:rPr>
        <w:t xml:space="preserve"> Ndërtimi i Serverit të Stacionit të Kontrollit në Distancë për të mundësuar krahasimin e drejtpërdrejtë të të dhënave daktiloskopike në sistemin AFIS Papillon të Institutit të </w:t>
      </w:r>
      <w:r w:rsidRPr="002128A6">
        <w:rPr>
          <w:rFonts w:ascii="Garamond" w:hAnsi="Garamond"/>
        </w:rPr>
        <w:lastRenderedPageBreak/>
        <w:t>Policisë Shkencore, duke siguruar ndërlidhje të sigurt, kapacitet të mjaftueshëm të serverit, integrim me flukset ekzistuese të punës dhe auditueshmëri të kërkimeve dhe përputhjeve.</w:t>
      </w:r>
    </w:p>
    <w:p w14:paraId="5FA951E3"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ndërtimi i serverit kërkon investime në pajisje të specializuara teknologjike, infrastrukturë IT të qëndrueshme dhe integrim me sistemin AFIS Papillon për operim efikas afatgjatë.</w:t>
      </w:r>
    </w:p>
    <w:p w14:paraId="7DB760A8" w14:textId="3209CE7A" w:rsidR="0025426C" w:rsidRPr="002128A6" w:rsidRDefault="0025426C" w:rsidP="0025426C">
      <w:pPr>
        <w:pStyle w:val="Heading3"/>
        <w:spacing w:before="0" w:after="0" w:line="240" w:lineRule="auto"/>
        <w:ind w:firstLine="284"/>
        <w:jc w:val="both"/>
        <w:rPr>
          <w:rFonts w:ascii="Garamond" w:hAnsi="Garamond"/>
          <w:b/>
          <w:bCs/>
          <w:color w:val="auto"/>
          <w:sz w:val="24"/>
          <w:szCs w:val="24"/>
        </w:rPr>
      </w:pPr>
      <w:r w:rsidRPr="002128A6">
        <w:rPr>
          <w:rFonts w:ascii="Garamond" w:hAnsi="Garamond"/>
          <w:b/>
          <w:bCs/>
          <w:color w:val="auto"/>
          <w:sz w:val="24"/>
          <w:szCs w:val="24"/>
        </w:rPr>
        <w:t xml:space="preserve">VI. Objektivi Specifik 2.6 </w:t>
      </w:r>
      <w:r w:rsidR="00C4020D" w:rsidRPr="002128A6">
        <w:rPr>
          <w:rFonts w:ascii="Garamond" w:hAnsi="Garamond"/>
          <w:b/>
          <w:bCs/>
          <w:color w:val="auto"/>
          <w:sz w:val="24"/>
          <w:szCs w:val="24"/>
        </w:rPr>
        <w:t>–</w:t>
      </w:r>
      <w:r w:rsidRPr="002128A6">
        <w:rPr>
          <w:rFonts w:ascii="Garamond" w:hAnsi="Garamond"/>
          <w:b/>
          <w:bCs/>
          <w:color w:val="auto"/>
          <w:sz w:val="24"/>
          <w:szCs w:val="24"/>
        </w:rPr>
        <w:t xml:space="preserve"> R</w:t>
      </w:r>
      <w:r w:rsidR="00C4020D" w:rsidRPr="002128A6">
        <w:rPr>
          <w:rFonts w:ascii="Garamond" w:hAnsi="Garamond"/>
          <w:b/>
          <w:bCs/>
          <w:color w:val="auto"/>
          <w:sz w:val="24"/>
          <w:szCs w:val="24"/>
        </w:rPr>
        <w:t>r</w:t>
      </w:r>
      <w:r w:rsidRPr="002128A6">
        <w:rPr>
          <w:rFonts w:ascii="Garamond" w:hAnsi="Garamond"/>
          <w:b/>
          <w:bCs/>
          <w:color w:val="auto"/>
          <w:sz w:val="24"/>
          <w:szCs w:val="24"/>
        </w:rPr>
        <w:t>itja e efektivitetit në gjurmimin, ngrirjen, konfiskimin dhe ripërdorimin e aseteve, duke hequr sistematikisht të ardhurat kriminale dhe duke i riinvestuar për dobi publike</w:t>
      </w:r>
    </w:p>
    <w:p w14:paraId="7F03FC25" w14:textId="030B77ED"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2.6.3</w:t>
      </w:r>
      <w:r w:rsidRPr="002128A6">
        <w:rPr>
          <w:rFonts w:ascii="Garamond" w:hAnsi="Garamond"/>
        </w:rPr>
        <w:t xml:space="preserve"> </w:t>
      </w:r>
      <w:r w:rsidR="00C4020D" w:rsidRPr="002128A6">
        <w:rPr>
          <w:rFonts w:ascii="Garamond" w:hAnsi="Garamond"/>
        </w:rPr>
        <w:t>–</w:t>
      </w:r>
      <w:r w:rsidRPr="002128A6">
        <w:rPr>
          <w:rFonts w:ascii="Garamond" w:hAnsi="Garamond"/>
        </w:rPr>
        <w:t xml:space="preserve"> Përmirësimi i administrimit dhe ripërdorimit të aseteve të konfiskuara, me qëllim ruajtjen dhe/ose rritjen së vlere për ripërdorim të mëvonshëm ripërdorimit, duke forcuar planifikimin e menaxhimit të aseteve, masat e mirëmbajtjes dhe mbrojtjes, praktikat e vlerësimit dhe vendimmarrjen transparente mbi asgjësimin ose ripërdorimin.</w:t>
      </w:r>
    </w:p>
    <w:p w14:paraId="62D8CDDB"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përmirësimi i procedurave kërkon investime në sisteme teknologjike, infrastrukturë dhe mjete të qëndrueshme për menaxhim efektiv dhe ruajtje të vlerës.</w:t>
      </w:r>
    </w:p>
    <w:p w14:paraId="63C92AA5" w14:textId="16C66ED6"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2.6.4</w:t>
      </w:r>
      <w:r w:rsidRPr="002128A6">
        <w:rPr>
          <w:rFonts w:ascii="Garamond" w:hAnsi="Garamond"/>
        </w:rPr>
        <w:t xml:space="preserve"> </w:t>
      </w:r>
      <w:r w:rsidR="00C4020D" w:rsidRPr="002128A6">
        <w:rPr>
          <w:rFonts w:ascii="Garamond" w:hAnsi="Garamond"/>
        </w:rPr>
        <w:t>–</w:t>
      </w:r>
      <w:r w:rsidRPr="002128A6">
        <w:rPr>
          <w:rFonts w:ascii="Garamond" w:hAnsi="Garamond"/>
        </w:rPr>
        <w:t xml:space="preserve"> Ripërdorimi i aseteve të konfiskuara, përfshirë ripërdorimin social, brenda 6 muajve nga konfiskimi, duke thjeshtuar procedurat administrative, duke standardizuar rrugët e vendimmarrjes dhe duke forcuar koordinimin midis Agjencisë për Administrimin e Pasurive të Sekuestruara dhe të Konfiskuara dhe institucioneve përfituese përkatëse..</w:t>
      </w:r>
    </w:p>
    <w:p w14:paraId="3EB10A2A"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kjo kërkon investime në infrastrukturë, pajisje dhe zhvillimin e kapaciteteve institucionale për menaxhim efektiv dhe ripërdorim social.</w:t>
      </w:r>
    </w:p>
    <w:p w14:paraId="2C057A55" w14:textId="34CB1383"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2.6.8</w:t>
      </w:r>
      <w:r w:rsidRPr="002128A6">
        <w:rPr>
          <w:rFonts w:ascii="Garamond" w:hAnsi="Garamond"/>
        </w:rPr>
        <w:t xml:space="preserve"> </w:t>
      </w:r>
      <w:r w:rsidR="00C4020D" w:rsidRPr="002128A6">
        <w:rPr>
          <w:rFonts w:ascii="Garamond" w:hAnsi="Garamond"/>
        </w:rPr>
        <w:t>–</w:t>
      </w:r>
      <w:r w:rsidRPr="002128A6">
        <w:rPr>
          <w:rFonts w:ascii="Garamond" w:hAnsi="Garamond"/>
        </w:rPr>
        <w:t xml:space="preserve"> Përmirësimi i elementeve funksionale të regjistrit elektronik të aseteve të sekuestruara dhe të konfiskuara, me përmirësimin e kontrollit të cilësisë së të dhënave, sigurimin e përditësimeve në kohë, përmirësimin e menaxhimit të aksesit të përdoruesit dhe të auditueshmërisë, duke mundësuar funksionalitetet raportuese dhe analitike në mbështetje të vendimmarrjes për administrimin, asgjësimin dhe ripërdorimin..</w:t>
      </w:r>
    </w:p>
    <w:p w14:paraId="5FFA1951"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përmirësimi i regjistrit elektronik kërkon investime për zhvillimin e sistemit, infrastrukturën TI dhe mjetet e qëndrueshme për operim efektiv dhe siguri afatgjatë.</w:t>
      </w:r>
    </w:p>
    <w:p w14:paraId="18AA2A2B" w14:textId="55DA8100" w:rsidR="0025426C" w:rsidRPr="002128A6" w:rsidRDefault="0025426C" w:rsidP="0025426C">
      <w:pPr>
        <w:pStyle w:val="Heading3"/>
        <w:spacing w:before="0" w:after="0" w:line="240" w:lineRule="auto"/>
        <w:ind w:firstLine="284"/>
        <w:jc w:val="both"/>
        <w:rPr>
          <w:rFonts w:ascii="Garamond" w:hAnsi="Garamond"/>
          <w:b/>
          <w:bCs/>
          <w:color w:val="auto"/>
          <w:sz w:val="24"/>
          <w:szCs w:val="24"/>
        </w:rPr>
      </w:pPr>
      <w:r w:rsidRPr="002128A6">
        <w:rPr>
          <w:rFonts w:ascii="Garamond" w:hAnsi="Garamond"/>
          <w:b/>
          <w:bCs/>
          <w:color w:val="auto"/>
          <w:sz w:val="24"/>
          <w:szCs w:val="24"/>
        </w:rPr>
        <w:t xml:space="preserve">VII. Objektivi Specifik 2.7 </w:t>
      </w:r>
      <w:r w:rsidR="00C4020D" w:rsidRPr="002128A6">
        <w:rPr>
          <w:rFonts w:ascii="Garamond" w:hAnsi="Garamond"/>
          <w:b/>
          <w:bCs/>
          <w:color w:val="auto"/>
          <w:sz w:val="24"/>
          <w:szCs w:val="24"/>
        </w:rPr>
        <w:t>–</w:t>
      </w:r>
      <w:r w:rsidRPr="002128A6">
        <w:rPr>
          <w:rFonts w:ascii="Garamond" w:hAnsi="Garamond"/>
          <w:b/>
          <w:bCs/>
          <w:color w:val="auto"/>
          <w:sz w:val="24"/>
          <w:szCs w:val="24"/>
        </w:rPr>
        <w:t xml:space="preserve"> Përmirësimi i matshëm në hetimet dhe ndjekjet penale të udhëheqësve dhe anëtarëve të strukturave të krimit të organizuar, e demonstruar me rritjen e dënimeve të rënda dhe ekzekutimit të vendimeve gjyqësore</w:t>
      </w:r>
    </w:p>
    <w:p w14:paraId="5320831F" w14:textId="6AE7D130"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2.7.6</w:t>
      </w:r>
      <w:r w:rsidRPr="002128A6">
        <w:rPr>
          <w:rFonts w:ascii="Garamond" w:hAnsi="Garamond"/>
        </w:rPr>
        <w:t xml:space="preserve"> </w:t>
      </w:r>
      <w:r w:rsidR="00C4020D" w:rsidRPr="002128A6">
        <w:rPr>
          <w:rFonts w:ascii="Garamond" w:hAnsi="Garamond"/>
        </w:rPr>
        <w:t>–</w:t>
      </w:r>
      <w:r w:rsidRPr="002128A6">
        <w:rPr>
          <w:rFonts w:ascii="Garamond" w:hAnsi="Garamond"/>
        </w:rPr>
        <w:t xml:space="preserve"> Parandalimi dhe goditja</w:t>
      </w:r>
      <w:r w:rsidR="00F54824" w:rsidRPr="002128A6">
        <w:rPr>
          <w:rFonts w:ascii="Garamond" w:hAnsi="Garamond"/>
        </w:rPr>
        <w:t xml:space="preserve"> </w:t>
      </w:r>
      <w:r w:rsidRPr="002128A6">
        <w:rPr>
          <w:rFonts w:ascii="Garamond" w:hAnsi="Garamond"/>
        </w:rPr>
        <w:t>e krimeve në burgjet e vendit, në bashkëpunim me SPAK-un, prokuroritë e rretheve gjyqësore, si dhe agjencitë ligjzbatuese, përfshirë përmes veprimeve të koordinuara operacionale, shkëmbimit të strukturuar të informacionit dhe planifikimit të përbashkët për hetime dhe ndërhyrje.</w:t>
      </w:r>
    </w:p>
    <w:p w14:paraId="09E8A79D"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rritja e hetimeve proaktive kërkon investime në pajisje teknologjike, sisteme të mbledhjes dhe analizës së të dhënave dhe infrastrukturë të qëndrueshme për mbështetjen e operacioneve hetimore.</w:t>
      </w:r>
    </w:p>
    <w:p w14:paraId="7DDE2D1C" w14:textId="455B7D7A"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2.7.7</w:t>
      </w:r>
      <w:r w:rsidRPr="002128A6">
        <w:rPr>
          <w:rFonts w:ascii="Garamond" w:hAnsi="Garamond"/>
        </w:rPr>
        <w:t xml:space="preserve"> </w:t>
      </w:r>
      <w:r w:rsidR="00C4020D" w:rsidRPr="002128A6">
        <w:rPr>
          <w:rFonts w:ascii="Garamond" w:hAnsi="Garamond"/>
        </w:rPr>
        <w:t>–</w:t>
      </w:r>
      <w:r w:rsidRPr="002128A6">
        <w:rPr>
          <w:rFonts w:ascii="Garamond" w:hAnsi="Garamond"/>
        </w:rPr>
        <w:t xml:space="preserve"> Rritja e përdorimit të metodave të posaçme të hetimit, me qëllim zbulimin dhe dokumentimin e aktiviteteve kriminale, përfshirë përgjimin, infiltrimin, mbikëqyrjen fizike, dhe rritjen e performancës profesionale të oficerëve që zbatojnë këto metoda përmes trajnimit të specializuar, mbikëqyrjes dhe sigurimit të cilësisë.</w:t>
      </w:r>
    </w:p>
    <w:p w14:paraId="6A0F2374"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parashikohet, pasi parandalimi dhe ndërhyrja kërkojnë investime afatgjata në pajisje, teknologji mbikëqyrjeje, sisteme të menaxhimit të informacionit dhe infrastrukturë të qëndrueshme për operacione efektive ndërinstitucionale.</w:t>
      </w:r>
    </w:p>
    <w:p w14:paraId="02D16B8A" w14:textId="19C2FF7A"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cs="Aptos"/>
        </w:rPr>
        <w:t xml:space="preserve">- </w:t>
      </w:r>
      <w:r w:rsidRPr="002128A6">
        <w:rPr>
          <w:rFonts w:ascii="Garamond" w:hAnsi="Garamond"/>
          <w:b/>
          <w:bCs/>
        </w:rPr>
        <w:t>Masa 2.7.12</w:t>
      </w:r>
      <w:r w:rsidRPr="002128A6">
        <w:rPr>
          <w:rFonts w:ascii="Garamond" w:hAnsi="Garamond"/>
        </w:rPr>
        <w:t xml:space="preserve"> </w:t>
      </w:r>
      <w:r w:rsidR="00C4020D" w:rsidRPr="002128A6">
        <w:rPr>
          <w:rFonts w:ascii="Garamond" w:hAnsi="Garamond"/>
        </w:rPr>
        <w:t>–</w:t>
      </w:r>
      <w:r w:rsidRPr="002128A6">
        <w:rPr>
          <w:rFonts w:ascii="Garamond" w:hAnsi="Garamond"/>
        </w:rPr>
        <w:t xml:space="preserve"> Rinovimi i pajisjes Router-VPN të instaluar në serverat e INTERPOL NCB Tirana, që mundëson enkriptim të komunikimeve në sistemin e INTERPOL-it, për të garantuar shkëmbim të </w:t>
      </w:r>
      <w:r w:rsidRPr="002128A6">
        <w:rPr>
          <w:rFonts w:ascii="Garamond" w:hAnsi="Garamond"/>
        </w:rPr>
        <w:lastRenderedPageBreak/>
        <w:t>sigurt të informacionit dhe për të ruajtur konfidencialitetin dhe integritetin e të dhënave që transmetohen.</w:t>
      </w:r>
    </w:p>
    <w:p w14:paraId="11A65765" w14:textId="77777777" w:rsidR="0025426C" w:rsidRPr="002128A6" w:rsidRDefault="0025426C" w:rsidP="0025426C">
      <w:pPr>
        <w:pStyle w:val="ListParagraph"/>
        <w:spacing w:after="0" w:line="240" w:lineRule="auto"/>
        <w:ind w:left="0" w:firstLine="284"/>
        <w:jc w:val="both"/>
        <w:rPr>
          <w:rFonts w:ascii="Garamond" w:hAnsi="Garamond"/>
        </w:rPr>
      </w:pPr>
      <w:r w:rsidRPr="002128A6">
        <w:rPr>
          <w:rFonts w:ascii="Garamond" w:hAnsi="Garamond"/>
        </w:rPr>
        <w:t>Financim kapital parashiko het, pasi rinovimi kërkon investime në teknologji sigurie, infrastrukturë të qëndrueshme dhe sigurimin e komunikimit të sigurt brenda sistemit INTERPOL.</w:t>
      </w:r>
    </w:p>
    <w:p w14:paraId="357368A0" w14:textId="6FA67A98" w:rsidR="0025426C" w:rsidRPr="002128A6" w:rsidRDefault="0025426C" w:rsidP="0025426C">
      <w:pPr>
        <w:spacing w:after="0" w:line="240" w:lineRule="auto"/>
        <w:ind w:firstLine="284"/>
        <w:jc w:val="both"/>
        <w:rPr>
          <w:rFonts w:ascii="Garamond" w:hAnsi="Garamond"/>
        </w:rPr>
      </w:pPr>
      <w:r w:rsidRPr="002128A6">
        <w:rPr>
          <w:rFonts w:ascii="Garamond" w:hAnsi="Garamond"/>
        </w:rPr>
        <w:t xml:space="preserve">Strategjia është fokusuar kryesisht në ndjekjen penale dhe luftimin e krimit të organizuar dhe krimeve të rënda, gjë që dëshmohet edhe në paraqitjen grafike të mëposhtme, ku </w:t>
      </w:r>
      <w:r w:rsidR="00C4020D" w:rsidRPr="002128A6">
        <w:rPr>
          <w:rFonts w:ascii="Garamond" w:hAnsi="Garamond"/>
        </w:rPr>
        <w:t xml:space="preserve">qëllimi politik </w:t>
      </w:r>
      <w:r w:rsidRPr="002128A6">
        <w:rPr>
          <w:rFonts w:ascii="Garamond" w:hAnsi="Garamond"/>
        </w:rPr>
        <w:t xml:space="preserve">II ka peshën specifike më të lartë në koston totale të planit të veprimit të kësaj strategjie. </w:t>
      </w:r>
      <w:r w:rsidR="00C4020D" w:rsidRPr="002128A6">
        <w:rPr>
          <w:rFonts w:ascii="Garamond" w:hAnsi="Garamond"/>
        </w:rPr>
        <w:t xml:space="preserve"> </w:t>
      </w:r>
    </w:p>
    <w:p w14:paraId="60BA1333" w14:textId="77777777" w:rsidR="00C4020D" w:rsidRPr="002128A6" w:rsidRDefault="00C4020D" w:rsidP="0025426C">
      <w:pPr>
        <w:spacing w:after="0" w:line="240" w:lineRule="auto"/>
        <w:ind w:firstLine="284"/>
        <w:jc w:val="both"/>
        <w:rPr>
          <w:rFonts w:ascii="Garamond" w:hAnsi="Garamond"/>
        </w:rPr>
      </w:pPr>
    </w:p>
    <w:p w14:paraId="221F7955" w14:textId="16C87885" w:rsidR="00BE490C" w:rsidRPr="002128A6" w:rsidRDefault="00BE490C" w:rsidP="00C4020D">
      <w:pPr>
        <w:spacing w:after="0" w:line="240" w:lineRule="auto"/>
        <w:ind w:firstLine="284"/>
        <w:jc w:val="center"/>
        <w:rPr>
          <w:rFonts w:ascii="Garamond" w:hAnsi="Garamond" w:cstheme="majorBidi"/>
          <w:i/>
          <w:iCs/>
        </w:rPr>
      </w:pPr>
      <w:r w:rsidRPr="002128A6">
        <w:rPr>
          <w:rFonts w:ascii="Garamond" w:hAnsi="Garamond" w:cstheme="majorBidi"/>
          <w:b/>
          <w:bCs/>
          <w:i/>
          <w:iCs/>
        </w:rPr>
        <w:t>Grafiku nr. 4:</w:t>
      </w:r>
      <w:r w:rsidRPr="002128A6">
        <w:rPr>
          <w:rFonts w:ascii="Garamond" w:hAnsi="Garamond" w:cstheme="majorBidi"/>
          <w:b/>
          <w:bCs/>
        </w:rPr>
        <w:t xml:space="preserve"> </w:t>
      </w:r>
      <w:r w:rsidRPr="002128A6">
        <w:rPr>
          <w:rFonts w:ascii="Garamond" w:hAnsi="Garamond" w:cstheme="majorBidi"/>
          <w:i/>
          <w:iCs/>
        </w:rPr>
        <w:t>Paraqitja grafike e shpërndarjes së kostove sipas objektivave të politikës</w:t>
      </w:r>
      <w:bookmarkEnd w:id="84"/>
    </w:p>
    <w:p w14:paraId="05AC3A29" w14:textId="5839C9FB" w:rsidR="00BE490C" w:rsidRPr="002128A6" w:rsidRDefault="000E3629" w:rsidP="0030069B">
      <w:pPr>
        <w:spacing w:after="0" w:line="240" w:lineRule="auto"/>
        <w:ind w:firstLine="284"/>
        <w:jc w:val="center"/>
        <w:rPr>
          <w:rStyle w:val="Strong"/>
          <w:rFonts w:ascii="Garamond" w:hAnsi="Garamond" w:cstheme="majorBidi"/>
        </w:rPr>
      </w:pPr>
      <w:bookmarkStart w:id="93" w:name="_Toc227770733"/>
      <w:r w:rsidRPr="002128A6">
        <w:rPr>
          <w:rStyle w:val="Strong"/>
          <w:rFonts w:ascii="Garamond" w:hAnsi="Garamond" w:cstheme="majorBidi"/>
          <w:noProof/>
        </w:rPr>
        <w:drawing>
          <wp:inline distT="0" distB="0" distL="0" distR="0" wp14:anchorId="2BC8BB3B" wp14:editId="3C166E78">
            <wp:extent cx="5124450" cy="32980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2166" cy="3309444"/>
                    </a:xfrm>
                    <a:prstGeom prst="rect">
                      <a:avLst/>
                    </a:prstGeom>
                    <a:noFill/>
                  </pic:spPr>
                </pic:pic>
              </a:graphicData>
            </a:graphic>
          </wp:inline>
        </w:drawing>
      </w:r>
    </w:p>
    <w:p w14:paraId="6643D6D9" w14:textId="77777777" w:rsidR="00C4020D" w:rsidRPr="002128A6" w:rsidRDefault="00C4020D" w:rsidP="00C4020D">
      <w:pPr>
        <w:pStyle w:val="Heading1"/>
        <w:spacing w:before="0" w:after="0" w:line="240" w:lineRule="auto"/>
        <w:jc w:val="both"/>
        <w:rPr>
          <w:rStyle w:val="Strong"/>
          <w:rFonts w:ascii="Garamond" w:hAnsi="Garamond"/>
          <w:color w:val="auto"/>
          <w:sz w:val="24"/>
          <w:szCs w:val="24"/>
        </w:rPr>
      </w:pPr>
      <w:bookmarkStart w:id="94" w:name="_Toc233371619"/>
    </w:p>
    <w:p w14:paraId="0FF219E2" w14:textId="44DBD5DC" w:rsidR="00C4020D" w:rsidRPr="002128A6" w:rsidRDefault="00C4020D" w:rsidP="00C4020D">
      <w:pPr>
        <w:pStyle w:val="Heading1"/>
        <w:spacing w:before="0" w:after="0" w:line="240" w:lineRule="auto"/>
        <w:jc w:val="center"/>
        <w:rPr>
          <w:rStyle w:val="Strong"/>
          <w:rFonts w:ascii="Garamond" w:hAnsi="Garamond"/>
          <w:b w:val="0"/>
          <w:bCs w:val="0"/>
          <w:color w:val="auto"/>
          <w:sz w:val="24"/>
          <w:szCs w:val="24"/>
        </w:rPr>
      </w:pPr>
      <w:r w:rsidRPr="002128A6">
        <w:rPr>
          <w:rStyle w:val="Strong"/>
          <w:rFonts w:ascii="Garamond" w:hAnsi="Garamond"/>
          <w:b w:val="0"/>
          <w:bCs w:val="0"/>
          <w:color w:val="auto"/>
          <w:sz w:val="24"/>
          <w:szCs w:val="24"/>
        </w:rPr>
        <w:t>ANEKSI 1</w:t>
      </w:r>
    </w:p>
    <w:p w14:paraId="3B3FEC9E" w14:textId="61284C56" w:rsidR="00BE490C" w:rsidRPr="002128A6" w:rsidRDefault="00C4020D" w:rsidP="00C4020D">
      <w:pPr>
        <w:pStyle w:val="Heading1"/>
        <w:spacing w:before="0" w:after="0" w:line="240" w:lineRule="auto"/>
        <w:jc w:val="center"/>
        <w:rPr>
          <w:rStyle w:val="Strong"/>
          <w:rFonts w:ascii="Garamond" w:hAnsi="Garamond"/>
          <w:b w:val="0"/>
          <w:bCs w:val="0"/>
          <w:color w:val="auto"/>
          <w:sz w:val="24"/>
          <w:szCs w:val="24"/>
        </w:rPr>
      </w:pPr>
      <w:r w:rsidRPr="002128A6">
        <w:rPr>
          <w:rStyle w:val="Strong"/>
          <w:rFonts w:ascii="Garamond" w:hAnsi="Garamond"/>
          <w:b w:val="0"/>
          <w:bCs w:val="0"/>
          <w:color w:val="auto"/>
          <w:sz w:val="24"/>
          <w:szCs w:val="24"/>
        </w:rPr>
        <w:t>KORNIZA LIGJORE</w:t>
      </w:r>
      <w:bookmarkEnd w:id="93"/>
      <w:bookmarkEnd w:id="94"/>
    </w:p>
    <w:p w14:paraId="4E93FCA0" w14:textId="77777777" w:rsidR="00C4020D" w:rsidRPr="002128A6" w:rsidRDefault="00C4020D" w:rsidP="0025426C">
      <w:pPr>
        <w:pStyle w:val="NormalWeb"/>
        <w:spacing w:before="0" w:beforeAutospacing="0" w:after="0" w:afterAutospacing="0"/>
        <w:ind w:firstLine="284"/>
        <w:jc w:val="both"/>
        <w:rPr>
          <w:rStyle w:val="Strong"/>
          <w:rFonts w:ascii="Garamond" w:eastAsiaTheme="majorEastAsia" w:hAnsi="Garamond" w:cstheme="majorBidi"/>
        </w:rPr>
      </w:pPr>
    </w:p>
    <w:p w14:paraId="1E654C4E" w14:textId="55D7B051" w:rsidR="00BE490C" w:rsidRPr="002128A6" w:rsidRDefault="00BE490C" w:rsidP="0025426C">
      <w:pPr>
        <w:pStyle w:val="NormalWeb"/>
        <w:spacing w:before="0" w:beforeAutospacing="0" w:after="0" w:afterAutospacing="0"/>
        <w:ind w:firstLine="284"/>
        <w:jc w:val="both"/>
        <w:rPr>
          <w:rFonts w:ascii="Garamond" w:hAnsi="Garamond" w:cstheme="majorBidi"/>
          <w:b/>
          <w:bCs/>
        </w:rPr>
      </w:pPr>
      <w:r w:rsidRPr="002128A6">
        <w:rPr>
          <w:rStyle w:val="Strong"/>
          <w:rFonts w:ascii="Garamond" w:eastAsiaTheme="majorEastAsia" w:hAnsi="Garamond" w:cstheme="majorBidi"/>
          <w:b w:val="0"/>
          <w:bCs w:val="0"/>
        </w:rPr>
        <w:t>KORNIZA LIGJORE NË FUQI NË LUFTËN KUNDËR KRIMIT TË ORGANIZUAR DHE KRIMEVE TË RËNDA</w:t>
      </w:r>
    </w:p>
    <w:p w14:paraId="2F2D1D2F"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Shqipëria ka një kornizë gjithëpërfshirëse të legjislacionit ligjor dhe dytësor, si dhe një numër të konsiderueshëm dokumentesh strategjike që adresojnë krimin e organizuar dhe krimin e rëndë. Korniza ligjore për luftimin e krimit të organizuar dhe krimeve të rënda përbëhet nga një grup ligjesh dhe aktesh nënligjore që përbëjnë bazën e nevojshme rregullatore në këtë fushë.</w:t>
      </w:r>
    </w:p>
    <w:p w14:paraId="70C56D89"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Gjatë vitit 2025, Shqipëria ndërmori një nismë të rëndësishme legjislative në lidhje me ndryshimet në Kodin Penal. Dinamikat e reja shoqërore dhe ekonomike e bënë të nevojshëm hapjen e një debati thelbësor mbi dekriminalizimin e disa sjelljeve dhe kriminalizimin e të tjerave, veçanërisht në kontekstin e zhvillimeve të shpejta teknologjike. Shfaqja e faktorëve të rinj kriminogjenë kërkon një përgjigje të përshtatshme dhe efektive, e cila mund të sigurohet vetëm përmes legjislacionit modern penal të aftë për të adresuar sfidat bashkëkohore.</w:t>
      </w:r>
    </w:p>
    <w:p w14:paraId="61081C53" w14:textId="018880A9"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 xml:space="preserve">Në këtë kontekst, hartimi i një Kodi të ri Penal u shfaq si domosdoshmëri e pashmangshme, me qëllim harmonizimin e tij me të gjitha instrumentet ndërkombëtare të cilëve Shqipëria u është bashkuar ndër vite, standardet e të cilave duhet të reflektohen në legjislacionin penal të brendshëm. Pasi </w:t>
      </w:r>
      <w:r w:rsidRPr="002128A6">
        <w:rPr>
          <w:rFonts w:ascii="Garamond" w:hAnsi="Garamond" w:cstheme="majorBidi"/>
        </w:rPr>
        <w:lastRenderedPageBreak/>
        <w:t xml:space="preserve">Shqipëria është e angazhuar në një proces të pakthyeshëm drejt anëtarësimit në Bashkimin Evropian, rëndësi të veçantë i kushtohet harmonizimit të legjislacionit penal me </w:t>
      </w:r>
      <w:r w:rsidR="005A318A" w:rsidRPr="002128A6">
        <w:rPr>
          <w:rFonts w:ascii="Garamond" w:hAnsi="Garamond" w:cstheme="majorBidi"/>
          <w:i/>
          <w:iCs/>
        </w:rPr>
        <w:t>Acquis</w:t>
      </w:r>
      <w:r w:rsidRPr="002128A6">
        <w:rPr>
          <w:rFonts w:ascii="Garamond" w:hAnsi="Garamond" w:cstheme="majorBidi"/>
        </w:rPr>
        <w:t>-në e BE-së.</w:t>
      </w:r>
    </w:p>
    <w:p w14:paraId="0F338A3A" w14:textId="77777777" w:rsidR="00BE490C" w:rsidRPr="002128A6" w:rsidRDefault="00BE490C" w:rsidP="0025426C">
      <w:pPr>
        <w:pStyle w:val="NormalWeb"/>
        <w:spacing w:before="0" w:beforeAutospacing="0" w:after="0" w:afterAutospacing="0"/>
        <w:ind w:firstLine="284"/>
        <w:jc w:val="both"/>
        <w:rPr>
          <w:rFonts w:ascii="Garamond" w:hAnsi="Garamond" w:cstheme="majorBidi"/>
        </w:rPr>
      </w:pPr>
      <w:r w:rsidRPr="002128A6">
        <w:rPr>
          <w:rFonts w:ascii="Garamond" w:hAnsi="Garamond" w:cstheme="majorBidi"/>
        </w:rPr>
        <w:t>Disa nga aktet kryesore ligjore dhe strategjike përfshijnë:</w:t>
      </w:r>
    </w:p>
    <w:bookmarkEnd w:id="1"/>
    <w:p w14:paraId="5F8F074E" w14:textId="7FFF7A8F"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Kushtetuta e Republikës së Shqipërisë;</w:t>
      </w:r>
    </w:p>
    <w:p w14:paraId="0D183253" w14:textId="32A04BCD"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Kodi Penal i Republikës së Shqipërisë;</w:t>
      </w:r>
    </w:p>
    <w:p w14:paraId="744F5EB5" w14:textId="79E1C920"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Kodi i Procedurës Penale i Republikës së Shqipërisë;</w:t>
      </w:r>
    </w:p>
    <w:p w14:paraId="23F14DAD" w14:textId="2711737B"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Pr="002128A6">
        <w:rPr>
          <w:rFonts w:ascii="Garamond" w:hAnsi="Garamond" w:cs="Garamond"/>
        </w:rPr>
        <w:t>nr</w:t>
      </w:r>
      <w:r w:rsidR="0025426C" w:rsidRPr="002128A6">
        <w:rPr>
          <w:rFonts w:ascii="Garamond" w:hAnsi="Garamond" w:cs="Garamond"/>
        </w:rPr>
        <w:t xml:space="preserve">. 10192/2009, </w:t>
      </w:r>
      <w:r w:rsidR="0025426C" w:rsidRPr="002128A6">
        <w:rPr>
          <w:rFonts w:ascii="Garamond" w:hAnsi="Garamond" w:cs="Garamond"/>
          <w:i/>
          <w:iCs/>
        </w:rPr>
        <w:t>“Për Parandalimin dhe Goditjen e Krimit të Organizuar dhe Trafikimit përmes Masave Parandaluese kundër Pasurisë”</w:t>
      </w:r>
      <w:r w:rsidR="0025426C" w:rsidRPr="002128A6">
        <w:rPr>
          <w:rFonts w:ascii="Garamond" w:hAnsi="Garamond" w:cs="Garamond"/>
        </w:rPr>
        <w:t>, i ndryshuar;</w:t>
      </w:r>
    </w:p>
    <w:p w14:paraId="7B3DAC80" w14:textId="72B1DCEA"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44/2025, </w:t>
      </w:r>
      <w:r w:rsidR="0025426C" w:rsidRPr="002128A6">
        <w:rPr>
          <w:rFonts w:ascii="Garamond" w:hAnsi="Garamond" w:cs="Garamond"/>
          <w:i/>
          <w:iCs/>
        </w:rPr>
        <w:t>“Për Zyrën e Rikuperimit të Aseteve”;</w:t>
      </w:r>
    </w:p>
    <w:p w14:paraId="080FB5B8" w14:textId="1C6E119C"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7975/1995, </w:t>
      </w:r>
      <w:r w:rsidR="0025426C" w:rsidRPr="002128A6">
        <w:rPr>
          <w:rFonts w:ascii="Garamond" w:hAnsi="Garamond" w:cs="Garamond"/>
          <w:i/>
          <w:iCs/>
        </w:rPr>
        <w:t>“Për Lëndët Narkotike dhe Substancat Psikotrope”</w:t>
      </w:r>
      <w:r w:rsidR="0025426C" w:rsidRPr="002128A6">
        <w:rPr>
          <w:rFonts w:ascii="Garamond" w:hAnsi="Garamond" w:cs="Garamond"/>
        </w:rPr>
        <w:t>, i ndryshuar;</w:t>
      </w:r>
    </w:p>
    <w:p w14:paraId="5DBB1A33" w14:textId="177FB092"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82/2024, </w:t>
      </w:r>
      <w:r w:rsidR="0025426C" w:rsidRPr="002128A6">
        <w:rPr>
          <w:rFonts w:ascii="Garamond" w:hAnsi="Garamond" w:cs="Garamond"/>
          <w:i/>
          <w:iCs/>
        </w:rPr>
        <w:t>“Për Policinë e Shtetit”</w:t>
      </w:r>
      <w:r w:rsidR="0025426C" w:rsidRPr="002128A6">
        <w:rPr>
          <w:rFonts w:ascii="Garamond" w:hAnsi="Garamond" w:cs="Garamond"/>
        </w:rPr>
        <w:t>;</w:t>
      </w:r>
    </w:p>
    <w:p w14:paraId="6DE905DE" w14:textId="254EBA49"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9917/2008, </w:t>
      </w:r>
      <w:r w:rsidR="0025426C" w:rsidRPr="002128A6">
        <w:rPr>
          <w:rFonts w:ascii="Garamond" w:hAnsi="Garamond" w:cs="Garamond"/>
          <w:i/>
          <w:iCs/>
        </w:rPr>
        <w:t>“Për Parandalimin e Pastrimit të Parave dhe Financimit të Terrorizmit”</w:t>
      </w:r>
      <w:r w:rsidR="0025426C" w:rsidRPr="002128A6">
        <w:rPr>
          <w:rFonts w:ascii="Garamond" w:hAnsi="Garamond" w:cs="Garamond"/>
        </w:rPr>
        <w:t>, i ndryshuar;</w:t>
      </w:r>
    </w:p>
    <w:p w14:paraId="1F9312B5" w14:textId="271452AE"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10173/2009, </w:t>
      </w:r>
      <w:r w:rsidR="0025426C" w:rsidRPr="002128A6">
        <w:rPr>
          <w:rFonts w:ascii="Garamond" w:hAnsi="Garamond" w:cs="Garamond"/>
          <w:i/>
          <w:iCs/>
        </w:rPr>
        <w:t>“Për Mbrojtjen e Dëshmitarëve dhe Bashkëpunëtorëve të Drejtësisë</w:t>
      </w:r>
      <w:r w:rsidR="0025426C" w:rsidRPr="002128A6">
        <w:rPr>
          <w:rFonts w:ascii="Garamond" w:hAnsi="Garamond" w:cs="Garamond"/>
        </w:rPr>
        <w:t>”;</w:t>
      </w:r>
    </w:p>
    <w:p w14:paraId="6841635F" w14:textId="18365511"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34/2019, </w:t>
      </w:r>
      <w:r w:rsidR="0025426C" w:rsidRPr="002128A6">
        <w:rPr>
          <w:rFonts w:ascii="Garamond" w:hAnsi="Garamond" w:cs="Garamond"/>
          <w:i/>
          <w:iCs/>
        </w:rPr>
        <w:t>“Për Administrimin e Pasurive të Sekuestruara dhe të Konfiskuara”</w:t>
      </w:r>
      <w:r w:rsidR="0025426C" w:rsidRPr="002128A6">
        <w:rPr>
          <w:rFonts w:ascii="Garamond" w:hAnsi="Garamond" w:cs="Garamond"/>
        </w:rPr>
        <w:t>, i ndryshuar;</w:t>
      </w:r>
    </w:p>
    <w:p w14:paraId="2F8E2781" w14:textId="40B7F2B5"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38/2025, </w:t>
      </w:r>
      <w:r w:rsidR="0025426C" w:rsidRPr="002128A6">
        <w:rPr>
          <w:rFonts w:ascii="Garamond" w:hAnsi="Garamond" w:cs="Garamond"/>
          <w:i/>
          <w:iCs/>
        </w:rPr>
        <w:t>“Për Përpunimin e Informacionit të Pasagjerëve në Republikën e Shqipërisë</w:t>
      </w:r>
      <w:r w:rsidR="0025426C" w:rsidRPr="002128A6">
        <w:rPr>
          <w:rFonts w:ascii="Garamond" w:hAnsi="Garamond" w:cs="Garamond"/>
        </w:rPr>
        <w:t>”;</w:t>
      </w:r>
    </w:p>
    <w:p w14:paraId="7B8E3A3B" w14:textId="122961BE"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10193/2009, </w:t>
      </w:r>
      <w:r w:rsidR="0025426C" w:rsidRPr="002128A6">
        <w:rPr>
          <w:rFonts w:ascii="Garamond" w:hAnsi="Garamond" w:cs="Garamond"/>
          <w:i/>
          <w:iCs/>
        </w:rPr>
        <w:t>“Për Marrëdhëniet Juridiksionale me Autoritetet e Huaja në Çështjet Penale</w:t>
      </w:r>
      <w:r w:rsidR="0025426C" w:rsidRPr="002128A6">
        <w:rPr>
          <w:rFonts w:ascii="Garamond" w:hAnsi="Garamond" w:cs="Garamond"/>
        </w:rPr>
        <w:t>”;</w:t>
      </w:r>
    </w:p>
    <w:p w14:paraId="1A5CD662" w14:textId="42A33196"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112/2020, </w:t>
      </w:r>
      <w:r w:rsidR="0025426C" w:rsidRPr="002128A6">
        <w:rPr>
          <w:rFonts w:ascii="Garamond" w:hAnsi="Garamond" w:cs="Garamond"/>
          <w:i/>
          <w:iCs/>
        </w:rPr>
        <w:t>“Për Regjistrin e Pronarëve Përfitues”</w:t>
      </w:r>
      <w:r w:rsidR="0025426C" w:rsidRPr="002128A6">
        <w:rPr>
          <w:rFonts w:ascii="Garamond" w:hAnsi="Garamond" w:cs="Garamond"/>
        </w:rPr>
        <w:t>, i ndryshuar;</w:t>
      </w:r>
    </w:p>
    <w:p w14:paraId="76992545" w14:textId="137037A3"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154/2020, </w:t>
      </w:r>
      <w:r w:rsidR="0025426C" w:rsidRPr="002128A6">
        <w:rPr>
          <w:rFonts w:ascii="Garamond" w:hAnsi="Garamond" w:cs="Garamond"/>
          <w:i/>
          <w:iCs/>
        </w:rPr>
        <w:t>“Për Regjistrin Qendror të Llogarive Bankare</w:t>
      </w:r>
      <w:r w:rsidR="0025426C" w:rsidRPr="002128A6">
        <w:rPr>
          <w:rFonts w:ascii="Garamond" w:hAnsi="Garamond" w:cs="Garamond"/>
        </w:rPr>
        <w:t>”;</w:t>
      </w:r>
    </w:p>
    <w:p w14:paraId="6C37C6B1" w14:textId="21A9897D"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00C4020D" w:rsidRPr="002128A6">
        <w:rPr>
          <w:rFonts w:ascii="Garamond" w:hAnsi="Garamond" w:cs="Garamond"/>
        </w:rPr>
        <w:t>n</w:t>
      </w:r>
      <w:r w:rsidR="0025426C" w:rsidRPr="002128A6">
        <w:rPr>
          <w:rFonts w:ascii="Garamond" w:hAnsi="Garamond" w:cs="Garamond"/>
        </w:rPr>
        <w:t xml:space="preserve">r. 79/2020, </w:t>
      </w:r>
      <w:r w:rsidR="0025426C" w:rsidRPr="002128A6">
        <w:rPr>
          <w:rFonts w:ascii="Garamond" w:hAnsi="Garamond" w:cs="Garamond"/>
          <w:i/>
          <w:iCs/>
        </w:rPr>
        <w:t>“Për Ekzekutimin e Vendimeve Penale</w:t>
      </w:r>
      <w:r w:rsidR="0025426C" w:rsidRPr="002128A6">
        <w:rPr>
          <w:rFonts w:ascii="Garamond" w:hAnsi="Garamond" w:cs="Garamond"/>
        </w:rPr>
        <w:t>”;</w:t>
      </w:r>
    </w:p>
    <w:p w14:paraId="32CE739B" w14:textId="72097C49"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Akti </w:t>
      </w:r>
      <w:r w:rsidR="00C4020D" w:rsidRPr="002128A6">
        <w:rPr>
          <w:rFonts w:ascii="Garamond" w:hAnsi="Garamond" w:cs="Garamond"/>
        </w:rPr>
        <w:t>normativ nr</w:t>
      </w:r>
      <w:r w:rsidR="0025426C" w:rsidRPr="002128A6">
        <w:rPr>
          <w:rFonts w:ascii="Garamond" w:hAnsi="Garamond" w:cs="Garamond"/>
        </w:rPr>
        <w:t xml:space="preserve">. 1/2020, </w:t>
      </w:r>
      <w:r w:rsidR="0025426C" w:rsidRPr="002128A6">
        <w:rPr>
          <w:rFonts w:ascii="Garamond" w:hAnsi="Garamond" w:cs="Garamond"/>
          <w:i/>
          <w:iCs/>
        </w:rPr>
        <w:t>“Për Masat Parandaluese në Kuadër të Forcimit të Luftës kundër Terrorizmit, Krimit të Organizuar, Krimeve të Rënda dhe Konsolidimit të Rendit Publik</w:t>
      </w:r>
      <w:r w:rsidR="0025426C" w:rsidRPr="002128A6">
        <w:rPr>
          <w:rFonts w:ascii="Garamond" w:hAnsi="Garamond" w:cs="Garamond"/>
        </w:rPr>
        <w:t>”;</w:t>
      </w:r>
    </w:p>
    <w:p w14:paraId="3535CC2A" w14:textId="75AF9AAA"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Vendimi i Këshillit Mbikëqyrës të Shqipërisë </w:t>
      </w:r>
      <w:r w:rsidR="005A318A" w:rsidRPr="002128A6">
        <w:rPr>
          <w:rFonts w:ascii="Garamond" w:hAnsi="Garamond" w:cs="Garamond"/>
        </w:rPr>
        <w:t>nr</w:t>
      </w:r>
      <w:r w:rsidR="0025426C" w:rsidRPr="002128A6">
        <w:rPr>
          <w:rFonts w:ascii="Garamond" w:hAnsi="Garamond" w:cs="Garamond"/>
        </w:rPr>
        <w:t xml:space="preserve">. 44, datë 10.6.2009, </w:t>
      </w:r>
      <w:r w:rsidR="0025426C" w:rsidRPr="002128A6">
        <w:rPr>
          <w:rFonts w:ascii="Garamond" w:hAnsi="Garamond" w:cs="Garamond"/>
          <w:i/>
          <w:iCs/>
        </w:rPr>
        <w:t xml:space="preserve">“Për </w:t>
      </w:r>
      <w:r w:rsidRPr="002128A6">
        <w:rPr>
          <w:rFonts w:ascii="Garamond" w:hAnsi="Garamond" w:cs="Garamond"/>
          <w:i/>
          <w:iCs/>
        </w:rPr>
        <w:t xml:space="preserve">miratimin e rregullores </w:t>
      </w:r>
      <w:r w:rsidR="0025426C" w:rsidRPr="002128A6">
        <w:rPr>
          <w:rFonts w:ascii="Garamond" w:hAnsi="Garamond" w:cs="Garamond"/>
          <w:i/>
          <w:iCs/>
        </w:rPr>
        <w:t xml:space="preserve">për </w:t>
      </w:r>
      <w:r w:rsidRPr="002128A6">
        <w:rPr>
          <w:rFonts w:ascii="Garamond" w:hAnsi="Garamond" w:cs="Garamond"/>
          <w:i/>
          <w:iCs/>
        </w:rPr>
        <w:t>parandalimin e pastrimit të parave dhe financimit të terrorizmit</w:t>
      </w:r>
      <w:r w:rsidR="0025426C" w:rsidRPr="002128A6">
        <w:rPr>
          <w:rFonts w:ascii="Garamond" w:hAnsi="Garamond" w:cs="Garamond"/>
          <w:i/>
          <w:iCs/>
        </w:rPr>
        <w:t>”</w:t>
      </w:r>
      <w:r w:rsidR="0025426C" w:rsidRPr="002128A6">
        <w:rPr>
          <w:rFonts w:ascii="Garamond" w:hAnsi="Garamond" w:cs="Garamond"/>
        </w:rPr>
        <w:t>;</w:t>
      </w:r>
    </w:p>
    <w:p w14:paraId="6BE62C57" w14:textId="0845945B"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Pr="002128A6">
        <w:rPr>
          <w:rFonts w:ascii="Garamond" w:hAnsi="Garamond" w:cs="Garamond"/>
        </w:rPr>
        <w:t>nr</w:t>
      </w:r>
      <w:r w:rsidR="0025426C" w:rsidRPr="002128A6">
        <w:rPr>
          <w:rFonts w:ascii="Garamond" w:hAnsi="Garamond" w:cs="Garamond"/>
        </w:rPr>
        <w:t xml:space="preserve">. 95/2016, </w:t>
      </w:r>
      <w:r w:rsidR="0025426C" w:rsidRPr="002128A6">
        <w:rPr>
          <w:rFonts w:ascii="Garamond" w:hAnsi="Garamond" w:cs="Garamond"/>
          <w:i/>
          <w:iCs/>
        </w:rPr>
        <w:t xml:space="preserve">“Për </w:t>
      </w:r>
      <w:r w:rsidR="005A318A" w:rsidRPr="002128A6">
        <w:rPr>
          <w:rFonts w:ascii="Garamond" w:hAnsi="Garamond" w:cs="Garamond"/>
          <w:i/>
          <w:iCs/>
        </w:rPr>
        <w:t xml:space="preserve">organizimin dhe funksionimin e institucioneve për luftën kundër korrupsionit </w:t>
      </w:r>
      <w:r w:rsidR="0025426C" w:rsidRPr="002128A6">
        <w:rPr>
          <w:rFonts w:ascii="Garamond" w:hAnsi="Garamond" w:cs="Garamond"/>
          <w:i/>
          <w:iCs/>
        </w:rPr>
        <w:t xml:space="preserve">dhe </w:t>
      </w:r>
      <w:r w:rsidR="005A318A" w:rsidRPr="002128A6">
        <w:rPr>
          <w:rFonts w:ascii="Garamond" w:hAnsi="Garamond" w:cs="Garamond"/>
          <w:i/>
          <w:iCs/>
        </w:rPr>
        <w:t xml:space="preserve">krimit </w:t>
      </w:r>
      <w:r w:rsidR="0025426C" w:rsidRPr="002128A6">
        <w:rPr>
          <w:rFonts w:ascii="Garamond" w:hAnsi="Garamond" w:cs="Garamond"/>
          <w:i/>
          <w:iCs/>
        </w:rPr>
        <w:t xml:space="preserve">të </w:t>
      </w:r>
      <w:r w:rsidR="005A318A" w:rsidRPr="002128A6">
        <w:rPr>
          <w:rFonts w:ascii="Garamond" w:hAnsi="Garamond" w:cs="Garamond"/>
          <w:i/>
          <w:iCs/>
        </w:rPr>
        <w:t>organizuar</w:t>
      </w:r>
      <w:r w:rsidR="0025426C" w:rsidRPr="002128A6">
        <w:rPr>
          <w:rFonts w:ascii="Garamond" w:hAnsi="Garamond" w:cs="Garamond"/>
          <w:i/>
          <w:iCs/>
        </w:rPr>
        <w:t>”</w:t>
      </w:r>
      <w:r w:rsidR="0025426C" w:rsidRPr="002128A6">
        <w:rPr>
          <w:rFonts w:ascii="Garamond" w:hAnsi="Garamond" w:cs="Garamond"/>
        </w:rPr>
        <w:t>, i ndryshuar;</w:t>
      </w:r>
    </w:p>
    <w:p w14:paraId="783FF193" w14:textId="3AD184C6"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Pr="002128A6">
        <w:rPr>
          <w:rFonts w:ascii="Garamond" w:hAnsi="Garamond" w:cs="Garamond"/>
        </w:rPr>
        <w:t>nr</w:t>
      </w:r>
      <w:r w:rsidR="0025426C" w:rsidRPr="002128A6">
        <w:rPr>
          <w:rFonts w:ascii="Garamond" w:hAnsi="Garamond" w:cs="Garamond"/>
        </w:rPr>
        <w:t xml:space="preserve">. 27/2018, </w:t>
      </w:r>
      <w:r w:rsidR="0025426C" w:rsidRPr="002128A6">
        <w:rPr>
          <w:rFonts w:ascii="Garamond" w:hAnsi="Garamond" w:cs="Garamond"/>
          <w:i/>
          <w:iCs/>
        </w:rPr>
        <w:t xml:space="preserve">“Për </w:t>
      </w:r>
      <w:r w:rsidR="005A318A" w:rsidRPr="002128A6">
        <w:rPr>
          <w:rFonts w:ascii="Garamond" w:hAnsi="Garamond" w:cs="Garamond"/>
          <w:i/>
          <w:iCs/>
        </w:rPr>
        <w:t>trashëgiminë kulturore dhe muzetë</w:t>
      </w:r>
      <w:r w:rsidR="0025426C" w:rsidRPr="002128A6">
        <w:rPr>
          <w:rFonts w:ascii="Garamond" w:hAnsi="Garamond" w:cs="Garamond"/>
          <w:i/>
          <w:iCs/>
        </w:rPr>
        <w:t>”</w:t>
      </w:r>
      <w:r w:rsidR="0025426C" w:rsidRPr="002128A6">
        <w:rPr>
          <w:rFonts w:ascii="Garamond" w:hAnsi="Garamond" w:cs="Garamond"/>
        </w:rPr>
        <w:t>, i ndryshuar;</w:t>
      </w:r>
    </w:p>
    <w:p w14:paraId="48238ADD" w14:textId="0B5CA47B"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Pr="002128A6">
        <w:rPr>
          <w:rFonts w:ascii="Garamond" w:hAnsi="Garamond" w:cs="Garamond"/>
        </w:rPr>
        <w:t>nr</w:t>
      </w:r>
      <w:r w:rsidR="0025426C" w:rsidRPr="002128A6">
        <w:rPr>
          <w:rFonts w:ascii="Garamond" w:hAnsi="Garamond" w:cs="Garamond"/>
        </w:rPr>
        <w:t xml:space="preserve">. 8523, datë 09.09.1999, </w:t>
      </w:r>
      <w:r w:rsidR="0025426C" w:rsidRPr="002128A6">
        <w:rPr>
          <w:rFonts w:ascii="Garamond" w:hAnsi="Garamond" w:cs="Garamond"/>
          <w:i/>
          <w:iCs/>
        </w:rPr>
        <w:t xml:space="preserve">“Për </w:t>
      </w:r>
      <w:r w:rsidRPr="002128A6">
        <w:rPr>
          <w:rFonts w:ascii="Garamond" w:hAnsi="Garamond" w:cs="Garamond"/>
          <w:i/>
          <w:iCs/>
        </w:rPr>
        <w:t xml:space="preserve">aderimin </w:t>
      </w:r>
      <w:r w:rsidR="0025426C" w:rsidRPr="002128A6">
        <w:rPr>
          <w:rFonts w:ascii="Garamond" w:hAnsi="Garamond" w:cs="Garamond"/>
          <w:i/>
          <w:iCs/>
        </w:rPr>
        <w:t>e Republikës së Shqipërisë në Konventën për Mjetet e Ndalimit dhe Parandalimit të Importit, Eksportit dhe Transferimit të Paligjshëm të Pronësisë së Pasurive Kulturore”</w:t>
      </w:r>
      <w:r w:rsidR="0025426C" w:rsidRPr="002128A6">
        <w:rPr>
          <w:rFonts w:ascii="Garamond" w:hAnsi="Garamond" w:cs="Garamond"/>
        </w:rPr>
        <w:t>;</w:t>
      </w:r>
    </w:p>
    <w:p w14:paraId="169320DF" w14:textId="70B3E610" w:rsidR="0025426C" w:rsidRPr="002128A6" w:rsidRDefault="003043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Ligji </w:t>
      </w:r>
      <w:r w:rsidRPr="002128A6">
        <w:rPr>
          <w:rFonts w:ascii="Garamond" w:hAnsi="Garamond" w:cs="Garamond"/>
        </w:rPr>
        <w:t>nr</w:t>
      </w:r>
      <w:r w:rsidR="0025426C" w:rsidRPr="002128A6">
        <w:rPr>
          <w:rFonts w:ascii="Garamond" w:hAnsi="Garamond" w:cs="Garamond"/>
        </w:rPr>
        <w:t xml:space="preserve">. 123/2024, </w:t>
      </w:r>
      <w:r w:rsidR="0025426C" w:rsidRPr="002128A6">
        <w:rPr>
          <w:rFonts w:ascii="Garamond" w:hAnsi="Garamond" w:cs="Garamond"/>
          <w:i/>
          <w:iCs/>
        </w:rPr>
        <w:t xml:space="preserve">“Për </w:t>
      </w:r>
      <w:r w:rsidRPr="002128A6">
        <w:rPr>
          <w:rFonts w:ascii="Garamond" w:hAnsi="Garamond" w:cs="Garamond"/>
          <w:i/>
          <w:iCs/>
        </w:rPr>
        <w:t xml:space="preserve">ratifikimin </w:t>
      </w:r>
      <w:r w:rsidR="0025426C" w:rsidRPr="002128A6">
        <w:rPr>
          <w:rFonts w:ascii="Garamond" w:hAnsi="Garamond" w:cs="Garamond"/>
          <w:i/>
          <w:iCs/>
        </w:rPr>
        <w:t>e Konventës së Këshillit të Evropës për Veprat Penale që Lidhen me Pasurinë Kulturore”</w:t>
      </w:r>
      <w:r w:rsidR="0025426C" w:rsidRPr="002128A6">
        <w:rPr>
          <w:rFonts w:ascii="Garamond" w:hAnsi="Garamond" w:cs="Garamond"/>
        </w:rPr>
        <w:t>, nënshkruar në Nikozi</w:t>
      </w:r>
      <w:r w:rsidRPr="002128A6">
        <w:rPr>
          <w:rFonts w:ascii="Garamond" w:hAnsi="Garamond" w:cs="Garamond"/>
        </w:rPr>
        <w:t>,</w:t>
      </w:r>
      <w:r w:rsidR="0025426C" w:rsidRPr="002128A6">
        <w:rPr>
          <w:rFonts w:ascii="Garamond" w:hAnsi="Garamond" w:cs="Garamond"/>
        </w:rPr>
        <w:t xml:space="preserve"> më 19.5.2017.</w:t>
      </w:r>
    </w:p>
    <w:p w14:paraId="2560C3A9"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b/>
          <w:bCs/>
        </w:rPr>
        <w:t>Dokumentet strategjike përfshijnë:</w:t>
      </w:r>
    </w:p>
    <w:p w14:paraId="0C3EEA29" w14:textId="276BAD53"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e Sigurisë Kombëtare;</w:t>
      </w:r>
    </w:p>
    <w:p w14:paraId="64A9F079" w14:textId="4ACBC807"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Kombëtare për Zhvillim dhe Integrim Evropian 2024</w:t>
      </w:r>
      <w:r w:rsidR="005A318A" w:rsidRPr="002128A6">
        <w:rPr>
          <w:rFonts w:ascii="Garamond" w:hAnsi="Garamond" w:cs="Garamond"/>
        </w:rPr>
        <w:t>–</w:t>
      </w:r>
      <w:r w:rsidR="0025426C" w:rsidRPr="002128A6">
        <w:rPr>
          <w:rFonts w:ascii="Garamond" w:hAnsi="Garamond" w:cs="Garamond"/>
        </w:rPr>
        <w:t>2030;</w:t>
      </w:r>
    </w:p>
    <w:p w14:paraId="667B3A08" w14:textId="191EBE46"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Ndërsektoriale e Drejtësisë 2024</w:t>
      </w:r>
      <w:r w:rsidR="005A318A" w:rsidRPr="002128A6">
        <w:rPr>
          <w:rFonts w:ascii="Garamond" w:hAnsi="Garamond" w:cs="Garamond"/>
        </w:rPr>
        <w:t>–</w:t>
      </w:r>
      <w:r w:rsidR="0025426C" w:rsidRPr="002128A6">
        <w:rPr>
          <w:rFonts w:ascii="Garamond" w:hAnsi="Garamond" w:cs="Garamond"/>
        </w:rPr>
        <w:t>2030;</w:t>
      </w:r>
    </w:p>
    <w:p w14:paraId="206E2A36" w14:textId="7D946FD3"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Agjenda Kombëtare e Reformave 2024</w:t>
      </w:r>
      <w:r w:rsidR="005A318A" w:rsidRPr="002128A6">
        <w:rPr>
          <w:rFonts w:ascii="Garamond" w:hAnsi="Garamond" w:cs="Garamond"/>
        </w:rPr>
        <w:t>–</w:t>
      </w:r>
      <w:r w:rsidR="0025426C" w:rsidRPr="002128A6">
        <w:rPr>
          <w:rFonts w:ascii="Garamond" w:hAnsi="Garamond" w:cs="Garamond"/>
        </w:rPr>
        <w:t>2027;</w:t>
      </w:r>
    </w:p>
    <w:p w14:paraId="3D562346" w14:textId="31BC2815"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Udhërrëfyesi për Shtetin e së Drejtës Kapitullin 24;</w:t>
      </w:r>
    </w:p>
    <w:p w14:paraId="2C93FD1D" w14:textId="61C2BC46"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Ndërsektoriale për Sigurinë në Komunitet dhe Plani i Veprimit 2024</w:t>
      </w:r>
      <w:r w:rsidRPr="002128A6">
        <w:rPr>
          <w:rFonts w:ascii="Garamond" w:hAnsi="Garamond" w:cs="Garamond"/>
        </w:rPr>
        <w:t>–</w:t>
      </w:r>
      <w:r w:rsidR="0025426C" w:rsidRPr="002128A6">
        <w:rPr>
          <w:rFonts w:ascii="Garamond" w:hAnsi="Garamond" w:cs="Garamond"/>
        </w:rPr>
        <w:t>2026;</w:t>
      </w:r>
    </w:p>
    <w:p w14:paraId="4461FC5B" w14:textId="31351393"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Ndërsektoriale për Parandalimin e Ekstremizmit të Dhunshëm dhe Luftën kundër Terrorizmit dhe Planet e Veprimit 2023</w:t>
      </w:r>
      <w:r w:rsidR="005A318A" w:rsidRPr="002128A6">
        <w:rPr>
          <w:rFonts w:ascii="Garamond" w:hAnsi="Garamond" w:cs="Garamond"/>
        </w:rPr>
        <w:t>–</w:t>
      </w:r>
      <w:r w:rsidR="0025426C" w:rsidRPr="002128A6">
        <w:rPr>
          <w:rFonts w:ascii="Garamond" w:hAnsi="Garamond" w:cs="Garamond"/>
        </w:rPr>
        <w:t>2025;</w:t>
      </w:r>
    </w:p>
    <w:p w14:paraId="7E1AF916" w14:textId="6CDD8C88"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Ndërsektoriale për Mbrojtjen e Viktimave të Krimit 2024</w:t>
      </w:r>
      <w:r w:rsidRPr="002128A6">
        <w:rPr>
          <w:rFonts w:ascii="Garamond" w:hAnsi="Garamond" w:cs="Garamond"/>
        </w:rPr>
        <w:t>–</w:t>
      </w:r>
      <w:r w:rsidR="0025426C" w:rsidRPr="002128A6">
        <w:rPr>
          <w:rFonts w:ascii="Garamond" w:hAnsi="Garamond" w:cs="Garamond"/>
        </w:rPr>
        <w:t>2030;</w:t>
      </w:r>
    </w:p>
    <w:p w14:paraId="6BD2AC83" w14:textId="22D88583"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Kombëtare për Migracionin dhe Plani i Veprimit 2024</w:t>
      </w:r>
      <w:r w:rsidRPr="002128A6">
        <w:rPr>
          <w:rFonts w:ascii="Garamond" w:hAnsi="Garamond" w:cs="Garamond"/>
        </w:rPr>
        <w:t>–</w:t>
      </w:r>
      <w:r w:rsidR="0025426C" w:rsidRPr="002128A6">
        <w:rPr>
          <w:rFonts w:ascii="Garamond" w:hAnsi="Garamond" w:cs="Garamond"/>
        </w:rPr>
        <w:t>2030;</w:t>
      </w:r>
    </w:p>
    <w:p w14:paraId="0C31109C" w14:textId="1594A0DF"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Ndërsektoriale për Menaxhimin e Integruar të Kufijve dhe Plani i Veprimit 2021</w:t>
      </w:r>
      <w:r w:rsidR="005A318A" w:rsidRPr="002128A6">
        <w:rPr>
          <w:rFonts w:ascii="Garamond" w:hAnsi="Garamond" w:cs="Garamond"/>
        </w:rPr>
        <w:t>–</w:t>
      </w:r>
      <w:r w:rsidR="0025426C" w:rsidRPr="002128A6">
        <w:rPr>
          <w:rFonts w:ascii="Garamond" w:hAnsi="Garamond" w:cs="Garamond"/>
        </w:rPr>
        <w:t>2027;</w:t>
      </w:r>
    </w:p>
    <w:p w14:paraId="5156DD41" w14:textId="79987CD4"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për Kontrollin e Armëve të Vogla dhe të Lehta, Municionit dhe Lëndëve Plasëse dhe Plani i Veprimit 2019</w:t>
      </w:r>
      <w:r w:rsidR="005A318A" w:rsidRPr="002128A6">
        <w:rPr>
          <w:rFonts w:ascii="Garamond" w:hAnsi="Garamond" w:cs="Garamond"/>
        </w:rPr>
        <w:t>–</w:t>
      </w:r>
      <w:r w:rsidR="0025426C" w:rsidRPr="002128A6">
        <w:rPr>
          <w:rFonts w:ascii="Garamond" w:hAnsi="Garamond" w:cs="Garamond"/>
        </w:rPr>
        <w:t>2025;</w:t>
      </w:r>
    </w:p>
    <w:p w14:paraId="0C72E361" w14:textId="16714B31"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Plani Kombëtar për Integrim Evropian (PKIE);</w:t>
      </w:r>
    </w:p>
    <w:p w14:paraId="2E89AEC5" w14:textId="62594E39"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Ndërsektoriale Kundër Korrupsionit 2024</w:t>
      </w:r>
      <w:r w:rsidR="005A318A" w:rsidRPr="002128A6">
        <w:rPr>
          <w:rFonts w:ascii="Garamond" w:hAnsi="Garamond" w:cs="Garamond"/>
        </w:rPr>
        <w:t>–</w:t>
      </w:r>
      <w:r w:rsidR="0025426C" w:rsidRPr="002128A6">
        <w:rPr>
          <w:rFonts w:ascii="Garamond" w:hAnsi="Garamond" w:cs="Garamond"/>
        </w:rPr>
        <w:t>2030;</w:t>
      </w:r>
    </w:p>
    <w:p w14:paraId="73028DAF" w14:textId="1C4AE60C"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Strategjia Kombëtare për Parandalimin e Pastrimit të Parave dhe Financimit të Terrorizmit;</w:t>
      </w:r>
    </w:p>
    <w:p w14:paraId="440275C6" w14:textId="21F58B6B"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Marrëveshjet me </w:t>
      </w:r>
      <w:r w:rsidR="00956886" w:rsidRPr="002128A6">
        <w:rPr>
          <w:rFonts w:ascii="Garamond" w:hAnsi="Garamond" w:cs="Garamond"/>
        </w:rPr>
        <w:t xml:space="preserve">Europol </w:t>
      </w:r>
      <w:r w:rsidR="0025426C" w:rsidRPr="002128A6">
        <w:rPr>
          <w:rFonts w:ascii="Garamond" w:hAnsi="Garamond" w:cs="Garamond"/>
        </w:rPr>
        <w:t xml:space="preserve">dhe </w:t>
      </w:r>
      <w:r w:rsidR="00A634DB" w:rsidRPr="002128A6">
        <w:rPr>
          <w:rFonts w:ascii="Garamond" w:hAnsi="Garamond" w:cs="Garamond"/>
        </w:rPr>
        <w:t>INTERPOL</w:t>
      </w:r>
      <w:r w:rsidR="0025426C" w:rsidRPr="002128A6">
        <w:rPr>
          <w:rFonts w:ascii="Garamond" w:hAnsi="Garamond" w:cs="Garamond"/>
        </w:rPr>
        <w:t>.</w:t>
      </w:r>
    </w:p>
    <w:p w14:paraId="2D6D08DE" w14:textId="77777777" w:rsidR="0025426C" w:rsidRPr="002128A6" w:rsidRDefault="0025426C" w:rsidP="0025426C">
      <w:pPr>
        <w:pStyle w:val="NormalWeb"/>
        <w:spacing w:before="0" w:beforeAutospacing="0" w:after="0" w:afterAutospacing="0"/>
        <w:ind w:firstLine="284"/>
        <w:jc w:val="both"/>
        <w:rPr>
          <w:rFonts w:ascii="Garamond" w:hAnsi="Garamond" w:cs="Garamond"/>
        </w:rPr>
      </w:pPr>
      <w:r w:rsidRPr="002128A6">
        <w:rPr>
          <w:rFonts w:ascii="Garamond" w:hAnsi="Garamond" w:cs="Garamond"/>
        </w:rPr>
        <w:lastRenderedPageBreak/>
        <w:t>Shqipëria është gjithashtu palë në instrumente të rëndësishme ndërkombëtare të lidhura me luftën kundër krimit të organizuar, përfshirë:</w:t>
      </w:r>
    </w:p>
    <w:p w14:paraId="4AFA019E" w14:textId="719C058E"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Konventa e Kombeve të Bashkuara kundër Krimit të Organizuar Transnacional (UNTOC) dhe protokollet e saj plotësuese:</w:t>
      </w:r>
    </w:p>
    <w:p w14:paraId="741CE37C" w14:textId="17FA3701" w:rsidR="0025426C" w:rsidRPr="002128A6" w:rsidRDefault="00446382" w:rsidP="0025426C">
      <w:pPr>
        <w:pStyle w:val="NormalWeb"/>
        <w:tabs>
          <w:tab w:val="left" w:pos="144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Courier New"/>
        </w:rPr>
        <w:t xml:space="preserve"> </w:t>
      </w:r>
      <w:r w:rsidR="0025426C" w:rsidRPr="002128A6">
        <w:rPr>
          <w:rFonts w:ascii="Garamond" w:hAnsi="Garamond" w:cs="Garamond"/>
        </w:rPr>
        <w:t>Protokolli për Parandalimin, Goditjen dhe Ndëshkimin e Trafikimit të Personave;</w:t>
      </w:r>
    </w:p>
    <w:p w14:paraId="13500B21" w14:textId="091A6A5B" w:rsidR="0025426C" w:rsidRPr="002128A6" w:rsidRDefault="00446382" w:rsidP="0025426C">
      <w:pPr>
        <w:pStyle w:val="NormalWeb"/>
        <w:tabs>
          <w:tab w:val="left" w:pos="144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Courier New"/>
        </w:rPr>
        <w:t xml:space="preserve"> </w:t>
      </w:r>
      <w:r w:rsidR="0025426C" w:rsidRPr="002128A6">
        <w:rPr>
          <w:rFonts w:ascii="Garamond" w:hAnsi="Garamond" w:cs="Garamond"/>
        </w:rPr>
        <w:t>Protokolli kundër Kontrabandës së Migrantëve nga Toka, Deti dhe Ajri;</w:t>
      </w:r>
    </w:p>
    <w:p w14:paraId="00C7A6DE" w14:textId="24240A65" w:rsidR="0025426C" w:rsidRPr="002128A6" w:rsidRDefault="00446382" w:rsidP="0025426C">
      <w:pPr>
        <w:pStyle w:val="NormalWeb"/>
        <w:tabs>
          <w:tab w:val="left" w:pos="144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Courier New"/>
        </w:rPr>
        <w:t xml:space="preserve"> </w:t>
      </w:r>
      <w:r w:rsidR="0025426C" w:rsidRPr="002128A6">
        <w:rPr>
          <w:rFonts w:ascii="Garamond" w:hAnsi="Garamond" w:cs="Garamond"/>
        </w:rPr>
        <w:t>Protokolli kundër Prodhimit të Paligjshëm dhe Trafikimit të Armëve të Zjarrit, Pjesëve dhe Komponentëve të Tyre dhe Municionit;</w:t>
      </w:r>
    </w:p>
    <w:p w14:paraId="065936C5" w14:textId="65E80D7B"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Konventa e Këshillit të Evropës për Veprimet kundër Trafikimit të Qenieve Njerëzore (GRETA);</w:t>
      </w:r>
    </w:p>
    <w:p w14:paraId="2796C5D0" w14:textId="47D8F9FD"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Konventa Evropiane për Ekstradimin dhe protokollet e saj plotësuese;</w:t>
      </w:r>
    </w:p>
    <w:p w14:paraId="5E2F7BE8" w14:textId="4ABC3F39"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Konventa e Këshillit të Evropës për Pastrimin, Kërkimin, Sekuestrimin dhe Konfiskimin e të Ardhurave nga Krimi dhe për Financimin e Terrorizmit (Konventa e Varshavës);</w:t>
      </w:r>
    </w:p>
    <w:p w14:paraId="5EB16ECD" w14:textId="1ADA7EE2" w:rsidR="0025426C" w:rsidRPr="002128A6" w:rsidRDefault="00446382"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Konventa e Këshillit të Evropës për Parandalimin dhe Luftimin e Dhunës ndaj Grave dhe Dhunës në Familje (Konventa e Stambollit);</w:t>
      </w:r>
    </w:p>
    <w:p w14:paraId="57F485D7" w14:textId="7EC68399" w:rsidR="0025426C" w:rsidRPr="002128A6" w:rsidRDefault="000472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Koalicioni Global për Adresimin e Kërcënimeve të Drogave Sintetike;</w:t>
      </w:r>
    </w:p>
    <w:p w14:paraId="5ABF5B00" w14:textId="54509218" w:rsidR="0025426C" w:rsidRPr="002128A6" w:rsidRDefault="000472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Rregulloret dhe Direktivat e BE-së në fushën e bashkëpunimit gjyqësor dhe policor në çështjet penale;</w:t>
      </w:r>
    </w:p>
    <w:p w14:paraId="7A12FD4B" w14:textId="7DF250C8" w:rsidR="0025426C" w:rsidRPr="002128A6" w:rsidRDefault="000472AB" w:rsidP="005C084B">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Rekomandimet e Task</w:t>
      </w:r>
      <w:r w:rsidR="005C084B" w:rsidRPr="002128A6">
        <w:rPr>
          <w:rFonts w:ascii="Garamond" w:hAnsi="Garamond" w:cs="Garamond"/>
        </w:rPr>
        <w:t>-</w:t>
      </w:r>
      <w:r w:rsidR="0025426C" w:rsidRPr="002128A6">
        <w:rPr>
          <w:rFonts w:ascii="Garamond" w:hAnsi="Garamond" w:cs="Garamond"/>
        </w:rPr>
        <w:t>Forcës për Veprimin Financiar (FATF/ICRG);</w:t>
      </w:r>
    </w:p>
    <w:p w14:paraId="458C0E79" w14:textId="23C7F500" w:rsidR="0025426C" w:rsidRPr="002128A6" w:rsidRDefault="000472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Raportet vjetore të Departamentit të Shtetit të SHBA (DASH);</w:t>
      </w:r>
    </w:p>
    <w:p w14:paraId="291404E9" w14:textId="36E8025E" w:rsidR="0025426C" w:rsidRPr="002128A6" w:rsidRDefault="000472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Marrëveshjet operacionale me </w:t>
      </w:r>
      <w:r w:rsidR="005C084B" w:rsidRPr="002128A6">
        <w:rPr>
          <w:rFonts w:ascii="Garamond" w:hAnsi="Garamond" w:cs="Garamond"/>
        </w:rPr>
        <w:t>Europol</w:t>
      </w:r>
      <w:r w:rsidR="00A634DB" w:rsidRPr="002128A6">
        <w:rPr>
          <w:rFonts w:ascii="Garamond" w:hAnsi="Garamond" w:cs="Garamond"/>
        </w:rPr>
        <w:t>in</w:t>
      </w:r>
      <w:r w:rsidR="005C084B" w:rsidRPr="002128A6">
        <w:rPr>
          <w:rFonts w:ascii="Garamond" w:hAnsi="Garamond" w:cs="Garamond"/>
        </w:rPr>
        <w:t xml:space="preserve"> </w:t>
      </w:r>
      <w:r w:rsidR="0025426C" w:rsidRPr="002128A6">
        <w:rPr>
          <w:rFonts w:ascii="Garamond" w:hAnsi="Garamond" w:cs="Garamond"/>
        </w:rPr>
        <w:t xml:space="preserve">dhe </w:t>
      </w:r>
      <w:r w:rsidR="00A634DB" w:rsidRPr="002128A6">
        <w:rPr>
          <w:rFonts w:ascii="Garamond" w:hAnsi="Garamond" w:cs="Garamond"/>
        </w:rPr>
        <w:t>INTERPOL-in</w:t>
      </w:r>
      <w:r w:rsidR="0025426C" w:rsidRPr="002128A6">
        <w:rPr>
          <w:rFonts w:ascii="Garamond" w:hAnsi="Garamond" w:cs="Garamond"/>
        </w:rPr>
        <w:t>;</w:t>
      </w:r>
    </w:p>
    <w:p w14:paraId="000D2708" w14:textId="360F1816" w:rsidR="0025426C" w:rsidRPr="002128A6" w:rsidRDefault="000472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Nisma Globale kundër Krimit të Organizuar Transnacional (GI-TOC);</w:t>
      </w:r>
    </w:p>
    <w:p w14:paraId="139EFCDB" w14:textId="257CF049" w:rsidR="0025426C" w:rsidRPr="002128A6" w:rsidRDefault="000472AB"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Symbol"/>
        </w:rPr>
        <w:t>-</w:t>
      </w:r>
      <w:r w:rsidR="0025426C" w:rsidRPr="002128A6">
        <w:rPr>
          <w:rFonts w:ascii="Garamond" w:hAnsi="Garamond" w:cs="Symbol"/>
        </w:rPr>
        <w:t xml:space="preserve"> </w:t>
      </w:r>
      <w:r w:rsidR="0025426C" w:rsidRPr="002128A6">
        <w:rPr>
          <w:rFonts w:ascii="Garamond" w:hAnsi="Garamond" w:cs="Garamond"/>
        </w:rPr>
        <w:t xml:space="preserve">Deklaratat dhe </w:t>
      </w:r>
      <w:r w:rsidR="00E32A1B" w:rsidRPr="002128A6">
        <w:rPr>
          <w:rFonts w:ascii="Garamond" w:hAnsi="Garamond" w:cs="Garamond"/>
        </w:rPr>
        <w:t>agjend</w:t>
      </w:r>
      <w:r w:rsidR="0025426C" w:rsidRPr="002128A6">
        <w:rPr>
          <w:rFonts w:ascii="Garamond" w:hAnsi="Garamond" w:cs="Garamond"/>
        </w:rPr>
        <w:t>at e Procesit të Berlinit dhe Konferencave Ministrore të Ballkanit Perëndimor mbi Sigurinë.</w:t>
      </w:r>
    </w:p>
    <w:p w14:paraId="555711B6" w14:textId="77777777" w:rsidR="0025426C" w:rsidRPr="002128A6" w:rsidRDefault="0025426C" w:rsidP="0025426C">
      <w:pPr>
        <w:spacing w:after="0" w:line="240" w:lineRule="auto"/>
        <w:ind w:firstLine="284"/>
        <w:jc w:val="both"/>
        <w:rPr>
          <w:rFonts w:ascii="Garamond" w:hAnsi="Garamond" w:cs="Garamond"/>
        </w:rPr>
      </w:pPr>
      <w:r w:rsidRPr="002128A6">
        <w:rPr>
          <w:rFonts w:ascii="Garamond" w:hAnsi="Garamond" w:cs="Garamond"/>
        </w:rPr>
        <w:t>KORNIZA LIGJORE PËR MBROJTJEN E TË DHËNAVE NË INSTITUCIONET E ZBATIMIT TË LIGJIT NË SHQIPËRI</w:t>
      </w:r>
    </w:p>
    <w:p w14:paraId="084F4470" w14:textId="77777777" w:rsidR="0025426C" w:rsidRPr="002128A6" w:rsidRDefault="0025426C" w:rsidP="0025426C">
      <w:pPr>
        <w:tabs>
          <w:tab w:val="left" w:pos="720"/>
        </w:tabs>
        <w:spacing w:after="0" w:line="240" w:lineRule="auto"/>
        <w:ind w:firstLine="284"/>
        <w:jc w:val="both"/>
        <w:rPr>
          <w:rFonts w:ascii="Garamond" w:hAnsi="Garamond" w:cs="Garamond"/>
          <w:b/>
          <w:bCs/>
        </w:rPr>
      </w:pPr>
      <w:r w:rsidRPr="002128A6">
        <w:rPr>
          <w:rFonts w:ascii="Garamond" w:hAnsi="Garamond" w:cs="Garamond"/>
          <w:b/>
          <w:bCs/>
        </w:rPr>
        <w:t>1. Themelet Kushtetuese dhe Ndërkombëtare</w:t>
      </w:r>
    </w:p>
    <w:p w14:paraId="64012B5E" w14:textId="77777777"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E drejta për mbrojtjen e të dhënave personale garantohet nga neni 35 i Kushtetutës së Republikës së Shqipërisë, e cila e njeh privatësinë dhe mbrojtjen e të dhënave personale si të drejta themelore. Ky parim kushtetues ofron themelin për të gjithë legjislacionin e mëvonshëm që rregullon përpunimin e të dhënave personale nga autoritetet publike, përfshirë institucionet e zbatimit të ligjit.</w:t>
      </w:r>
    </w:p>
    <w:p w14:paraId="1BE99536" w14:textId="69C7D5E6"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 xml:space="preserve">Shqipëria ka ratifikuar gjithashtu instrumente të rëndësishme ndërkombëtare që vendosin parime për mbrojtjen e të dhënave personale, përfshirë Konventën Evropiane për të Drejtat e Njeriut (KEDNJ) dhe Konventën për Mbrojtjen e Individëve në lidhje me Përpunimin Automatik të të Dhënave Personale (Konventa 108 dhe 108+). Këto instrumente sigurojnë që të dhënat personale të përpunohen sipas ligjit, drejtë dhe me </w:t>
      </w:r>
      <w:r w:rsidR="000472AB" w:rsidRPr="002128A6">
        <w:rPr>
          <w:rFonts w:ascii="Garamond" w:hAnsi="Garamond" w:cs="Garamond"/>
        </w:rPr>
        <w:t>transparencë</w:t>
      </w:r>
      <w:r w:rsidRPr="002128A6">
        <w:rPr>
          <w:rFonts w:ascii="Garamond" w:hAnsi="Garamond" w:cs="Garamond"/>
        </w:rPr>
        <w:t>, si dhe në kuadër të hetimeve penale dhe sistemit të drejtësisë.</w:t>
      </w:r>
    </w:p>
    <w:p w14:paraId="6B0DE6D8" w14:textId="77777777" w:rsidR="0025426C" w:rsidRPr="002128A6" w:rsidRDefault="0025426C" w:rsidP="0025426C">
      <w:pPr>
        <w:tabs>
          <w:tab w:val="left" w:pos="720"/>
        </w:tabs>
        <w:spacing w:after="0" w:line="240" w:lineRule="auto"/>
        <w:ind w:firstLine="284"/>
        <w:jc w:val="both"/>
        <w:rPr>
          <w:rFonts w:ascii="Garamond" w:hAnsi="Garamond" w:cs="Garamond"/>
          <w:b/>
          <w:bCs/>
        </w:rPr>
      </w:pPr>
      <w:r w:rsidRPr="002128A6">
        <w:rPr>
          <w:rFonts w:ascii="Garamond" w:hAnsi="Garamond" w:cs="Garamond"/>
          <w:b/>
          <w:bCs/>
        </w:rPr>
        <w:t>2. Legjislacioni Kombëtar për Mbrojtjen e të Dhënave Personale</w:t>
      </w:r>
    </w:p>
    <w:p w14:paraId="0F5DEF72" w14:textId="77777777"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Korniza ligjore parësore që rregullon mbrojtjen e të dhënave personale në Shqipëri është Ligji Nr. 124/2024 “Për Mbrojtjen e të Dhënave Personale”, i cili është plotësisht i harmonizuar me standardet ndërkombëtare dhe ato të BE-së. Ky ligj zëvendëson Ligjin Nr. 9887/2008, duke zgjeruar dispozitat e mbrojtjes së të dhënave, duke sqaruar përgjegjësitë e kontrolluesve dhe përpunuesve të të dhënave dhe duke vendosur masa të avancuara për të mbrojtur të drejtat e individëve.</w:t>
      </w:r>
    </w:p>
    <w:p w14:paraId="21B7AF60" w14:textId="77777777"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Veçoritë kryesore të ligjit përfshijnë:</w:t>
      </w:r>
    </w:p>
    <w:p w14:paraId="1ECFA9E1" w14:textId="717F8984"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Përpunim i ligjshëm, proporcional dhe i kufizuar nga qëllimi i të dhënave personale;</w:t>
      </w:r>
    </w:p>
    <w:p w14:paraId="1FB4D277" w14:textId="4D0D6AA5"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Detyrime për zbatimin e masave teknike dhe organizative për të siguruar sigurinë e të dhënave;</w:t>
      </w:r>
    </w:p>
    <w:p w14:paraId="76FADBC5" w14:textId="07C3D2F6"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Të drejta individuale për akses, korrigjim dhe apelim të vendimeve në lidhje me të dhënat e tyre;</w:t>
      </w:r>
    </w:p>
    <w:p w14:paraId="10CE0BC8" w14:textId="32386C8B"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Mbikëqyrje dhe zbatim nga Komisioneri për të Drejtën e Informimit dhe Mbrojtjen e të Dhënave Personale (KDIMDHP).</w:t>
      </w:r>
    </w:p>
    <w:p w14:paraId="4BA6AAD5" w14:textId="77777777"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lastRenderedPageBreak/>
        <w:t>Kjo kornizë mbështet drejtpërdrejt institucionet e zbatimit të ligjit që përpunojnë të dhëna personale gjatë hetimeve ose ndjekjeve penale të krimit të organizuar dhe veprave të rënda.</w:t>
      </w:r>
    </w:p>
    <w:p w14:paraId="53F4898A" w14:textId="4617DA03" w:rsidR="0025426C" w:rsidRPr="002128A6" w:rsidRDefault="0025426C" w:rsidP="0025426C">
      <w:pPr>
        <w:tabs>
          <w:tab w:val="left" w:pos="720"/>
        </w:tabs>
        <w:spacing w:after="0" w:line="240" w:lineRule="auto"/>
        <w:ind w:firstLine="284"/>
        <w:jc w:val="both"/>
        <w:rPr>
          <w:rFonts w:ascii="Garamond" w:hAnsi="Garamond" w:cs="Garamond"/>
          <w:b/>
          <w:bCs/>
        </w:rPr>
      </w:pPr>
      <w:r w:rsidRPr="002128A6">
        <w:rPr>
          <w:rFonts w:ascii="Garamond" w:hAnsi="Garamond" w:cs="Garamond"/>
          <w:b/>
          <w:bCs/>
        </w:rPr>
        <w:t xml:space="preserve">3. Pajtueshmëria me </w:t>
      </w:r>
      <w:r w:rsidR="00AF290B" w:rsidRPr="002128A6">
        <w:rPr>
          <w:rFonts w:ascii="Garamond" w:hAnsi="Garamond" w:cs="Garamond"/>
          <w:b/>
          <w:bCs/>
        </w:rPr>
        <w:t xml:space="preserve">standardet </w:t>
      </w:r>
      <w:r w:rsidRPr="002128A6">
        <w:rPr>
          <w:rFonts w:ascii="Garamond" w:hAnsi="Garamond" w:cs="Garamond"/>
          <w:b/>
          <w:bCs/>
        </w:rPr>
        <w:t>e BE-së</w:t>
      </w:r>
    </w:p>
    <w:p w14:paraId="674D5D01" w14:textId="77777777"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Korniza ligjore shqiptare është dizajnuar të jetë plotësisht në pajtim me standardet e BE-së, përfshirë:</w:t>
      </w:r>
    </w:p>
    <w:p w14:paraId="1DF5E275" w14:textId="207D738E"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Parimet e Rregullores së Përgjithshme të Mbrojtjes së të Dhënave (GDPR, Reg. (BE) 2016/679) për përpunimin e ligjshëm të të dhënave personale;</w:t>
      </w:r>
    </w:p>
    <w:p w14:paraId="7CFD55FA" w14:textId="702F248D"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Direktiva (BE) 2016/680 për përpunimin e të dhënave personale nga autoritetet përgjegjëse për qëllime të zbatimit të ligjit;</w:t>
      </w:r>
    </w:p>
    <w:p w14:paraId="1DD84FDC" w14:textId="41AADA44"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Zbatimi i masave të sigurta teknike dhe organizative, përfshirë enkriptim, VPN dhe kontrolle të aksesit për të dhënat e ndjeshme të zbatimit të ligjit;</w:t>
      </w:r>
    </w:p>
    <w:p w14:paraId="0E7C5E1A" w14:textId="33F9EA5A"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Politikat për ruajtjen dhe fshirjen e të dhënave, në përputhje me udhëzimet e BE-së për transparencën, llogaridhënien dhe mbrojtjen e të drejtave të individëve.</w:t>
      </w:r>
    </w:p>
    <w:p w14:paraId="5432C13E" w14:textId="53E8C54F"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 xml:space="preserve">Kjo pajtueshmëri siguron ndërveprueshmëri të plotë me mekanizmat e bashkëpunimit të BE-së për zbatimin e ligjit si SIENA, Europol dhe </w:t>
      </w:r>
      <w:r w:rsidR="00A634DB" w:rsidRPr="002128A6">
        <w:rPr>
          <w:rFonts w:ascii="Garamond" w:hAnsi="Garamond" w:cs="Garamond"/>
        </w:rPr>
        <w:t>INTERPOL</w:t>
      </w:r>
      <w:r w:rsidRPr="002128A6">
        <w:rPr>
          <w:rFonts w:ascii="Garamond" w:hAnsi="Garamond" w:cs="Garamond"/>
        </w:rPr>
        <w:t>, duke garantuar respektimin e standardeve të mbrojtjes së të dhënave në operacionet ndërkufitare.</w:t>
      </w:r>
    </w:p>
    <w:p w14:paraId="3A2C5166" w14:textId="77777777" w:rsidR="0025426C" w:rsidRPr="002128A6" w:rsidRDefault="0025426C" w:rsidP="0025426C">
      <w:pPr>
        <w:tabs>
          <w:tab w:val="left" w:pos="720"/>
        </w:tabs>
        <w:spacing w:after="0" w:line="240" w:lineRule="auto"/>
        <w:ind w:firstLine="284"/>
        <w:jc w:val="both"/>
        <w:rPr>
          <w:rFonts w:ascii="Garamond" w:hAnsi="Garamond" w:cs="Garamond"/>
          <w:b/>
          <w:bCs/>
        </w:rPr>
      </w:pPr>
      <w:r w:rsidRPr="002128A6">
        <w:rPr>
          <w:rFonts w:ascii="Garamond" w:hAnsi="Garamond" w:cs="Garamond"/>
          <w:b/>
          <w:bCs/>
        </w:rPr>
        <w:t>4. Roli i Autoritetit të Pavarur të Mbrojtjes së të Dhënave</w:t>
      </w:r>
    </w:p>
    <w:p w14:paraId="513B82C8" w14:textId="77777777"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Komisioneri për të Drejtën e Informimit dhe Mbrojtjen e të Dhënave Personale është autoriteti i pavarur mbikëqyrës që siguron pajtueshmërinë me legjislacionin e mbrojtjes së të dhënave në sektorët publikë dhe privatë. Për institucionet e zbatimit të ligjit, Komisioneri:</w:t>
      </w:r>
    </w:p>
    <w:p w14:paraId="73150C7E" w14:textId="43E16C66"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Monitoron aktivitetet e përpunimit të të dhënave;</w:t>
      </w:r>
    </w:p>
    <w:p w14:paraId="098D35D0" w14:textId="6D05362E"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Ofron udhëzime për garancitë teknike dhe procedurale;</w:t>
      </w:r>
    </w:p>
    <w:p w14:paraId="09561FBE" w14:textId="2184B957"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Kryen auditime të pajtueshmërisë;</w:t>
      </w:r>
    </w:p>
    <w:p w14:paraId="480C71D2" w14:textId="02971B68"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 xml:space="preserve">Bashkëpunon me autoritetet e BE-së dhe ato ndërkombëtare të mbrojtjes së të dhënave për të siguruar harmonizim me </w:t>
      </w:r>
      <w:r w:rsidR="006815D8" w:rsidRPr="002128A6">
        <w:rPr>
          <w:rFonts w:ascii="Garamond" w:hAnsi="Garamond" w:cs="Garamond"/>
          <w:i/>
          <w:iCs/>
        </w:rPr>
        <w:t>Acquis</w:t>
      </w:r>
      <w:r w:rsidR="006815D8" w:rsidRPr="002128A6">
        <w:rPr>
          <w:rFonts w:ascii="Garamond" w:hAnsi="Garamond" w:cs="Garamond"/>
        </w:rPr>
        <w:t xml:space="preserve"> </w:t>
      </w:r>
      <w:r w:rsidRPr="002128A6">
        <w:rPr>
          <w:rFonts w:ascii="Garamond" w:hAnsi="Garamond" w:cs="Garamond"/>
        </w:rPr>
        <w:t>të BE-së.</w:t>
      </w:r>
    </w:p>
    <w:p w14:paraId="20776F2A" w14:textId="77777777" w:rsidR="0025426C" w:rsidRPr="002128A6" w:rsidRDefault="0025426C" w:rsidP="0025426C">
      <w:pPr>
        <w:tabs>
          <w:tab w:val="left" w:pos="720"/>
        </w:tabs>
        <w:spacing w:after="0" w:line="240" w:lineRule="auto"/>
        <w:ind w:firstLine="284"/>
        <w:jc w:val="both"/>
        <w:rPr>
          <w:rFonts w:ascii="Garamond" w:hAnsi="Garamond" w:cs="Garamond"/>
          <w:b/>
          <w:bCs/>
        </w:rPr>
      </w:pPr>
      <w:r w:rsidRPr="002128A6">
        <w:rPr>
          <w:rFonts w:ascii="Garamond" w:hAnsi="Garamond" w:cs="Garamond"/>
          <w:b/>
          <w:bCs/>
        </w:rPr>
        <w:t>5. Mbrojtja e të Dhënave nga Zbatimi i Ligjit në Luftën kundër Krimit të Organizuar dhe të Rëndë</w:t>
      </w:r>
    </w:p>
    <w:p w14:paraId="20F06AFD" w14:textId="77777777" w:rsidR="0025426C" w:rsidRPr="002128A6" w:rsidRDefault="0025426C" w:rsidP="0025426C">
      <w:pPr>
        <w:tabs>
          <w:tab w:val="left" w:pos="720"/>
        </w:tabs>
        <w:spacing w:after="0" w:line="240" w:lineRule="auto"/>
        <w:ind w:firstLine="284"/>
        <w:jc w:val="both"/>
        <w:rPr>
          <w:rFonts w:ascii="Garamond" w:hAnsi="Garamond" w:cs="Garamond"/>
        </w:rPr>
      </w:pPr>
      <w:r w:rsidRPr="002128A6">
        <w:rPr>
          <w:rFonts w:ascii="Garamond" w:hAnsi="Garamond" w:cs="Garamond"/>
        </w:rPr>
        <w:t>Institucionet e zbatimit të ligjit që veprojnë në fushat e krimit të organizuar dhe veprave të rënda (p.sh., Policia e Shtetit, SPAK, autoritetet gjyqësore, agjencitë e inteligjencës) veprojnë brenda kësaj kornize ligjore për të siguruar:</w:t>
      </w:r>
    </w:p>
    <w:p w14:paraId="42451F63" w14:textId="2EADCCCB"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Përpunim të ligjshëm, të nevojshëm dhe proporcional të të dhënave personale;</w:t>
      </w:r>
    </w:p>
    <w:p w14:paraId="70D1EAA2" w14:textId="10DCC126"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Masa të sigurta teknike, përfshirë enkriptim, VPN dhe kontrolle të aksesit;</w:t>
      </w:r>
    </w:p>
    <w:p w14:paraId="4023489B" w14:textId="086FAE5E"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Pajtueshmëri ligjore në ndarjen ndërinstitucionale dhe ndërkufitare të të dhënave;</w:t>
      </w:r>
    </w:p>
    <w:p w14:paraId="24A5309C" w14:textId="54F4F69D" w:rsidR="0025426C" w:rsidRPr="002128A6" w:rsidRDefault="0025426C" w:rsidP="0025426C">
      <w:pPr>
        <w:pStyle w:val="ListParagraph"/>
        <w:tabs>
          <w:tab w:val="left" w:pos="720"/>
        </w:tabs>
        <w:spacing w:after="0" w:line="240" w:lineRule="auto"/>
        <w:ind w:left="0" w:firstLine="284"/>
        <w:jc w:val="both"/>
        <w:rPr>
          <w:rFonts w:ascii="Garamond" w:hAnsi="Garamond" w:cs="Garamond"/>
        </w:rPr>
      </w:pPr>
      <w:r w:rsidRPr="002128A6">
        <w:rPr>
          <w:rFonts w:ascii="Garamond" w:hAnsi="Garamond"/>
        </w:rPr>
        <w:t xml:space="preserve">- </w:t>
      </w:r>
      <w:r w:rsidRPr="002128A6">
        <w:rPr>
          <w:rFonts w:ascii="Garamond" w:hAnsi="Garamond" w:cs="Garamond"/>
        </w:rPr>
        <w:t>Ruajtja dhe fshirja e të dhënave sipas kërkesave ligjore, duke shmangur ruajtjen e tepërt ose të panevojshme.</w:t>
      </w:r>
    </w:p>
    <w:p w14:paraId="7046A364" w14:textId="77777777" w:rsidR="0025426C" w:rsidRPr="002128A6" w:rsidRDefault="0025426C" w:rsidP="0025426C">
      <w:pPr>
        <w:pStyle w:val="NormalWeb"/>
        <w:tabs>
          <w:tab w:val="left" w:pos="720"/>
        </w:tabs>
        <w:spacing w:before="0" w:beforeAutospacing="0" w:after="0" w:afterAutospacing="0"/>
        <w:ind w:firstLine="284"/>
        <w:jc w:val="both"/>
        <w:rPr>
          <w:rFonts w:ascii="Garamond" w:hAnsi="Garamond" w:cs="Garamond"/>
        </w:rPr>
      </w:pPr>
      <w:r w:rsidRPr="002128A6">
        <w:rPr>
          <w:rFonts w:ascii="Garamond" w:hAnsi="Garamond" w:cs="Garamond"/>
        </w:rPr>
        <w:t>Kjo kornizë garanton që operacionet e zbatimit të ligjit mbrojnë privatësinë individuale duke ruajtur pajtueshmërinë e plotë me standardet e BE-së dhe ndërkombëtare për mbrojtjen e të dhënave personale</w:t>
      </w:r>
    </w:p>
    <w:p w14:paraId="03CED932" w14:textId="4C75D0B9" w:rsidR="0025426C" w:rsidRPr="002128A6" w:rsidRDefault="0025426C" w:rsidP="0025426C">
      <w:pPr>
        <w:pStyle w:val="Heading1"/>
        <w:spacing w:before="0" w:after="0" w:line="240" w:lineRule="auto"/>
        <w:ind w:firstLine="284"/>
        <w:jc w:val="both"/>
        <w:rPr>
          <w:rFonts w:ascii="Garamond" w:hAnsi="Garamond" w:cs="Garamond"/>
          <w:b/>
          <w:bCs/>
          <w:color w:val="auto"/>
          <w:sz w:val="24"/>
          <w:szCs w:val="24"/>
        </w:rPr>
      </w:pPr>
      <w:r w:rsidRPr="002128A6">
        <w:rPr>
          <w:rFonts w:ascii="Garamond" w:hAnsi="Garamond" w:cs="Garamond"/>
          <w:b/>
          <w:bCs/>
          <w:color w:val="auto"/>
          <w:sz w:val="24"/>
          <w:szCs w:val="24"/>
        </w:rPr>
        <w:t>ANEKSI 2: Plani i Veprimit për periudhën 2026</w:t>
      </w:r>
      <w:r w:rsidR="004F4BEA" w:rsidRPr="002128A6">
        <w:rPr>
          <w:rFonts w:ascii="Garamond" w:hAnsi="Garamond" w:cs="Garamond"/>
          <w:b/>
          <w:bCs/>
          <w:color w:val="auto"/>
          <w:sz w:val="24"/>
          <w:szCs w:val="24"/>
        </w:rPr>
        <w:t>–</w:t>
      </w:r>
      <w:r w:rsidRPr="002128A6">
        <w:rPr>
          <w:rFonts w:ascii="Garamond" w:hAnsi="Garamond" w:cs="Garamond"/>
          <w:b/>
          <w:bCs/>
          <w:color w:val="auto"/>
          <w:sz w:val="24"/>
          <w:szCs w:val="24"/>
        </w:rPr>
        <w:t xml:space="preserve">2028 </w:t>
      </w:r>
    </w:p>
    <w:p w14:paraId="316F04C5" w14:textId="5ED51C13" w:rsidR="0025426C" w:rsidRPr="002128A6" w:rsidRDefault="0025426C" w:rsidP="0025426C">
      <w:pPr>
        <w:pStyle w:val="Heading1"/>
        <w:keepLines w:val="0"/>
        <w:spacing w:before="0" w:after="0" w:line="240" w:lineRule="auto"/>
        <w:ind w:firstLine="284"/>
        <w:jc w:val="both"/>
        <w:rPr>
          <w:rFonts w:ascii="Garamond" w:hAnsi="Garamond" w:cs="Garamond"/>
          <w:b/>
          <w:bCs/>
          <w:color w:val="auto"/>
          <w:sz w:val="24"/>
          <w:szCs w:val="24"/>
        </w:rPr>
      </w:pPr>
      <w:r w:rsidRPr="002128A6">
        <w:rPr>
          <w:rFonts w:ascii="Garamond" w:hAnsi="Garamond" w:cs="Garamond"/>
          <w:b/>
          <w:bCs/>
          <w:color w:val="auto"/>
          <w:sz w:val="24"/>
          <w:szCs w:val="24"/>
        </w:rPr>
        <w:t>ANEKSI 3: Pasaporta e treguesve të performancës</w:t>
      </w:r>
    </w:p>
    <w:p w14:paraId="0B16B67D" w14:textId="77777777" w:rsidR="0025426C" w:rsidRPr="002128A6" w:rsidRDefault="0025426C" w:rsidP="0025426C">
      <w:pPr>
        <w:pStyle w:val="NormalWeb"/>
        <w:tabs>
          <w:tab w:val="left" w:pos="720"/>
        </w:tabs>
        <w:spacing w:before="0" w:beforeAutospacing="0" w:after="0" w:afterAutospacing="0"/>
        <w:ind w:firstLine="284"/>
        <w:jc w:val="both"/>
        <w:rPr>
          <w:rFonts w:ascii="Garamond" w:hAnsi="Garamond" w:cs="Garamond"/>
          <w:b/>
          <w:bCs/>
        </w:rPr>
      </w:pPr>
    </w:p>
    <w:p w14:paraId="54C62953" w14:textId="5BF1C498" w:rsidR="00BE490C" w:rsidRPr="002128A6" w:rsidRDefault="0091449A" w:rsidP="0091449A">
      <w:pPr>
        <w:pStyle w:val="NormalWeb"/>
        <w:spacing w:before="0" w:beforeAutospacing="0" w:after="0" w:afterAutospacing="0"/>
        <w:ind w:left="284"/>
        <w:jc w:val="center"/>
        <w:rPr>
          <w:rFonts w:ascii="Garamond" w:hAnsi="Garamond" w:cstheme="majorBidi"/>
          <w:b/>
          <w:bCs/>
        </w:rPr>
      </w:pPr>
      <w:r w:rsidRPr="002128A6">
        <w:rPr>
          <w:rFonts w:ascii="Garamond" w:hAnsi="Garamond" w:cstheme="majorBidi"/>
          <w:b/>
          <w:bCs/>
          <w:noProof/>
          <w14:ligatures w14:val="standardContextual"/>
        </w:rPr>
        <w:lastRenderedPageBreak/>
        <w:drawing>
          <wp:inline distT="0" distB="0" distL="0" distR="0" wp14:anchorId="651FFC1D" wp14:editId="08E342C3">
            <wp:extent cx="5514975" cy="8297216"/>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saporta e indikatoreve 26062026 fin_Page_01.jpg"/>
                    <pic:cNvPicPr/>
                  </pic:nvPicPr>
                  <pic:blipFill rotWithShape="1">
                    <a:blip r:embed="rId16" cstate="print">
                      <a:extLst>
                        <a:ext uri="{28A0092B-C50C-407E-A947-70E740481C1C}">
                          <a14:useLocalDpi xmlns:a14="http://schemas.microsoft.com/office/drawing/2010/main" val="0"/>
                        </a:ext>
                      </a:extLst>
                    </a:blip>
                    <a:srcRect l="3929" r="4900" b="3009"/>
                    <a:stretch/>
                  </pic:blipFill>
                  <pic:spPr bwMode="auto">
                    <a:xfrm>
                      <a:off x="0" y="0"/>
                      <a:ext cx="5517500" cy="8301014"/>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C32B8C0" wp14:editId="4D2D9B95">
            <wp:extent cx="5753100" cy="83662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saporta e indikatoreve 26062026 fin_Page_02.jpg"/>
                    <pic:cNvPicPr/>
                  </pic:nvPicPr>
                  <pic:blipFill rotWithShape="1">
                    <a:blip r:embed="rId17" cstate="print">
                      <a:extLst>
                        <a:ext uri="{28A0092B-C50C-407E-A947-70E740481C1C}">
                          <a14:useLocalDpi xmlns:a14="http://schemas.microsoft.com/office/drawing/2010/main" val="0"/>
                        </a:ext>
                      </a:extLst>
                    </a:blip>
                    <a:srcRect l="4583" t="5324" r="6045" b="2778"/>
                    <a:stretch/>
                  </pic:blipFill>
                  <pic:spPr bwMode="auto">
                    <a:xfrm>
                      <a:off x="0" y="0"/>
                      <a:ext cx="5758869" cy="837462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78ACCD1" wp14:editId="0E93975B">
            <wp:extent cx="5403740" cy="825817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aporta e indikatoreve 26062026 fin_Page_03.jpg"/>
                    <pic:cNvPicPr/>
                  </pic:nvPicPr>
                  <pic:blipFill rotWithShape="1">
                    <a:blip r:embed="rId18" cstate="print">
                      <a:extLst>
                        <a:ext uri="{28A0092B-C50C-407E-A947-70E740481C1C}">
                          <a14:useLocalDpi xmlns:a14="http://schemas.microsoft.com/office/drawing/2010/main" val="0"/>
                        </a:ext>
                      </a:extLst>
                    </a:blip>
                    <a:srcRect l="4092" r="6046" b="2894"/>
                    <a:stretch/>
                  </pic:blipFill>
                  <pic:spPr bwMode="auto">
                    <a:xfrm>
                      <a:off x="0" y="0"/>
                      <a:ext cx="5404588" cy="8259471"/>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EE54994" wp14:editId="06E5283F">
            <wp:extent cx="5685628" cy="8201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saporta e indikatoreve 26062026 fin_Page_04.jpg"/>
                    <pic:cNvPicPr/>
                  </pic:nvPicPr>
                  <pic:blipFill rotWithShape="1">
                    <a:blip r:embed="rId19" cstate="print">
                      <a:extLst>
                        <a:ext uri="{28A0092B-C50C-407E-A947-70E740481C1C}">
                          <a14:useLocalDpi xmlns:a14="http://schemas.microsoft.com/office/drawing/2010/main" val="0"/>
                        </a:ext>
                      </a:extLst>
                    </a:blip>
                    <a:srcRect l="4748" t="5440" r="5718" b="3241"/>
                    <a:stretch/>
                  </pic:blipFill>
                  <pic:spPr bwMode="auto">
                    <a:xfrm>
                      <a:off x="0" y="0"/>
                      <a:ext cx="5688114" cy="8204611"/>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78AD3A9" wp14:editId="77F568DD">
            <wp:extent cx="5677222" cy="81629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saporta e indikatoreve 26062026 fin_Page_05.jpg"/>
                    <pic:cNvPicPr/>
                  </pic:nvPicPr>
                  <pic:blipFill rotWithShape="1">
                    <a:blip r:embed="rId20" cstate="print">
                      <a:extLst>
                        <a:ext uri="{28A0092B-C50C-407E-A947-70E740481C1C}">
                          <a14:useLocalDpi xmlns:a14="http://schemas.microsoft.com/office/drawing/2010/main" val="0"/>
                        </a:ext>
                      </a:extLst>
                    </a:blip>
                    <a:srcRect l="3765" t="4630" r="5391" b="3008"/>
                    <a:stretch/>
                  </pic:blipFill>
                  <pic:spPr bwMode="auto">
                    <a:xfrm>
                      <a:off x="0" y="0"/>
                      <a:ext cx="5681869" cy="816960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8BD2966" wp14:editId="37C58329">
            <wp:extent cx="5824381" cy="84582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saporta e indikatoreve 26062026 fin_Page_06.jpg"/>
                    <pic:cNvPicPr/>
                  </pic:nvPicPr>
                  <pic:blipFill rotWithShape="1">
                    <a:blip r:embed="rId21" cstate="print">
                      <a:extLst>
                        <a:ext uri="{28A0092B-C50C-407E-A947-70E740481C1C}">
                          <a14:useLocalDpi xmlns:a14="http://schemas.microsoft.com/office/drawing/2010/main" val="0"/>
                        </a:ext>
                      </a:extLst>
                    </a:blip>
                    <a:srcRect l="4911" t="5555" r="6045" b="3010"/>
                    <a:stretch/>
                  </pic:blipFill>
                  <pic:spPr bwMode="auto">
                    <a:xfrm>
                      <a:off x="0" y="0"/>
                      <a:ext cx="5829880" cy="846618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A5FA6E4" wp14:editId="74D6EB6D">
            <wp:extent cx="6087102" cy="82486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saporta e indikatoreve 26062026 fin_Page_07.jpg"/>
                    <pic:cNvPicPr/>
                  </pic:nvPicPr>
                  <pic:blipFill rotWithShape="1">
                    <a:blip r:embed="rId22" cstate="print">
                      <a:extLst>
                        <a:ext uri="{28A0092B-C50C-407E-A947-70E740481C1C}">
                          <a14:useLocalDpi xmlns:a14="http://schemas.microsoft.com/office/drawing/2010/main" val="0"/>
                        </a:ext>
                      </a:extLst>
                    </a:blip>
                    <a:srcRect l="4092" t="5208" b="2894"/>
                    <a:stretch/>
                  </pic:blipFill>
                  <pic:spPr bwMode="auto">
                    <a:xfrm>
                      <a:off x="0" y="0"/>
                      <a:ext cx="6091043" cy="8253991"/>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0D92ED13" wp14:editId="0C57A9B0">
            <wp:extent cx="5550676" cy="823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saporta e indikatoreve 26062026 fin_Page_08.jpg"/>
                    <pic:cNvPicPr/>
                  </pic:nvPicPr>
                  <pic:blipFill rotWithShape="1">
                    <a:blip r:embed="rId23" cstate="print">
                      <a:extLst>
                        <a:ext uri="{28A0092B-C50C-407E-A947-70E740481C1C}">
                          <a14:useLocalDpi xmlns:a14="http://schemas.microsoft.com/office/drawing/2010/main" val="0"/>
                        </a:ext>
                      </a:extLst>
                    </a:blip>
                    <a:srcRect l="3929" t="4746" r="7190" b="1967"/>
                    <a:stretch/>
                  </pic:blipFill>
                  <pic:spPr bwMode="auto">
                    <a:xfrm>
                      <a:off x="0" y="0"/>
                      <a:ext cx="5554585" cy="824492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E2CAA99" wp14:editId="78545A2A">
            <wp:extent cx="5657850" cy="8188452"/>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saporta e indikatoreve 26062026 fin_Page_09.jpg"/>
                    <pic:cNvPicPr/>
                  </pic:nvPicPr>
                  <pic:blipFill rotWithShape="1">
                    <a:blip r:embed="rId24" cstate="print">
                      <a:extLst>
                        <a:ext uri="{28A0092B-C50C-407E-A947-70E740481C1C}">
                          <a14:useLocalDpi xmlns:a14="http://schemas.microsoft.com/office/drawing/2010/main" val="0"/>
                        </a:ext>
                      </a:extLst>
                    </a:blip>
                    <a:srcRect l="4255" t="4514" r="5719" b="3355"/>
                    <a:stretch/>
                  </pic:blipFill>
                  <pic:spPr bwMode="auto">
                    <a:xfrm>
                      <a:off x="0" y="0"/>
                      <a:ext cx="5662388" cy="819502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748576E" wp14:editId="0055BAC3">
            <wp:extent cx="5560608" cy="799147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saporta e indikatoreve 26062026 fin_Page_10.jpg"/>
                    <pic:cNvPicPr/>
                  </pic:nvPicPr>
                  <pic:blipFill rotWithShape="1">
                    <a:blip r:embed="rId25" cstate="print">
                      <a:extLst>
                        <a:ext uri="{28A0092B-C50C-407E-A947-70E740481C1C}">
                          <a14:useLocalDpi xmlns:a14="http://schemas.microsoft.com/office/drawing/2010/main" val="0"/>
                        </a:ext>
                      </a:extLst>
                    </a:blip>
                    <a:srcRect l="4911" t="5671" r="5227" b="3009"/>
                    <a:stretch/>
                  </pic:blipFill>
                  <pic:spPr bwMode="auto">
                    <a:xfrm>
                      <a:off x="0" y="0"/>
                      <a:ext cx="5563604" cy="7995781"/>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8730967" wp14:editId="4880861A">
            <wp:extent cx="5795667" cy="8201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saporta e indikatoreve 26062026 fin_Page_11.jpg"/>
                    <pic:cNvPicPr/>
                  </pic:nvPicPr>
                  <pic:blipFill rotWithShape="1">
                    <a:blip r:embed="rId26" cstate="print">
                      <a:extLst>
                        <a:ext uri="{28A0092B-C50C-407E-A947-70E740481C1C}">
                          <a14:useLocalDpi xmlns:a14="http://schemas.microsoft.com/office/drawing/2010/main" val="0"/>
                        </a:ext>
                      </a:extLst>
                    </a:blip>
                    <a:srcRect l="4092" t="5440" r="4409" b="3008"/>
                    <a:stretch/>
                  </pic:blipFill>
                  <pic:spPr bwMode="auto">
                    <a:xfrm>
                      <a:off x="0" y="0"/>
                      <a:ext cx="5797606" cy="8203769"/>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EE8A874" wp14:editId="3076C5E6">
            <wp:extent cx="5553075" cy="8450771"/>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saporta e indikatoreve 26062026 fin_Page_12.jpg"/>
                    <pic:cNvPicPr/>
                  </pic:nvPicPr>
                  <pic:blipFill rotWithShape="1">
                    <a:blip r:embed="rId27" cstate="print">
                      <a:extLst>
                        <a:ext uri="{28A0092B-C50C-407E-A947-70E740481C1C}">
                          <a14:useLocalDpi xmlns:a14="http://schemas.microsoft.com/office/drawing/2010/main" val="0"/>
                        </a:ext>
                      </a:extLst>
                    </a:blip>
                    <a:srcRect l="4256" r="5718" b="3125"/>
                    <a:stretch/>
                  </pic:blipFill>
                  <pic:spPr bwMode="auto">
                    <a:xfrm>
                      <a:off x="0" y="0"/>
                      <a:ext cx="5554306" cy="8452644"/>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9421DBA" wp14:editId="62C54B5C">
            <wp:extent cx="5667375" cy="851121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saporta e indikatoreve 26062026 fin_Page_13.jpg"/>
                    <pic:cNvPicPr/>
                  </pic:nvPicPr>
                  <pic:blipFill rotWithShape="1">
                    <a:blip r:embed="rId28" cstate="print">
                      <a:extLst>
                        <a:ext uri="{28A0092B-C50C-407E-A947-70E740481C1C}">
                          <a14:useLocalDpi xmlns:a14="http://schemas.microsoft.com/office/drawing/2010/main" val="0"/>
                        </a:ext>
                      </a:extLst>
                    </a:blip>
                    <a:srcRect l="4255" r="4409" b="3009"/>
                    <a:stretch/>
                  </pic:blipFill>
                  <pic:spPr bwMode="auto">
                    <a:xfrm>
                      <a:off x="0" y="0"/>
                      <a:ext cx="5669817" cy="851488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09C8651" wp14:editId="0E7B156F">
            <wp:extent cx="5695950" cy="8323232"/>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saporta e indikatoreve 26062026 fin_Page_14.jpg"/>
                    <pic:cNvPicPr/>
                  </pic:nvPicPr>
                  <pic:blipFill rotWithShape="1">
                    <a:blip r:embed="rId29" cstate="print">
                      <a:extLst>
                        <a:ext uri="{28A0092B-C50C-407E-A947-70E740481C1C}">
                          <a14:useLocalDpi xmlns:a14="http://schemas.microsoft.com/office/drawing/2010/main" val="0"/>
                        </a:ext>
                      </a:extLst>
                    </a:blip>
                    <a:srcRect l="4910" t="5671" r="6373" b="2662"/>
                    <a:stretch/>
                  </pic:blipFill>
                  <pic:spPr bwMode="auto">
                    <a:xfrm>
                      <a:off x="0" y="0"/>
                      <a:ext cx="5698632" cy="8327151"/>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65DC20F2" wp14:editId="5FBA07BE">
            <wp:extent cx="5691895" cy="827722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saporta e indikatoreve 26062026 fin_Page_15.jpg"/>
                    <pic:cNvPicPr/>
                  </pic:nvPicPr>
                  <pic:blipFill rotWithShape="1">
                    <a:blip r:embed="rId30" cstate="print">
                      <a:extLst>
                        <a:ext uri="{28A0092B-C50C-407E-A947-70E740481C1C}">
                          <a14:useLocalDpi xmlns:a14="http://schemas.microsoft.com/office/drawing/2010/main" val="0"/>
                        </a:ext>
                      </a:extLst>
                    </a:blip>
                    <a:srcRect l="5075" t="5093" r="5554" b="3008"/>
                    <a:stretch/>
                  </pic:blipFill>
                  <pic:spPr bwMode="auto">
                    <a:xfrm>
                      <a:off x="0" y="0"/>
                      <a:ext cx="5693132" cy="8279024"/>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3BB1FE5" wp14:editId="290A0FE5">
            <wp:extent cx="5781675" cy="838868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asaporta e indikatoreve 26062026 fin_Page_16.jpg"/>
                    <pic:cNvPicPr/>
                  </pic:nvPicPr>
                  <pic:blipFill rotWithShape="1">
                    <a:blip r:embed="rId31" cstate="print">
                      <a:extLst>
                        <a:ext uri="{28A0092B-C50C-407E-A947-70E740481C1C}">
                          <a14:useLocalDpi xmlns:a14="http://schemas.microsoft.com/office/drawing/2010/main" val="0"/>
                        </a:ext>
                      </a:extLst>
                    </a:blip>
                    <a:srcRect l="3438" t="5093" r="6536" b="2546"/>
                    <a:stretch/>
                  </pic:blipFill>
                  <pic:spPr bwMode="auto">
                    <a:xfrm>
                      <a:off x="0" y="0"/>
                      <a:ext cx="5784460" cy="839272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6AE81B87" wp14:editId="5754FDBE">
            <wp:extent cx="5774531" cy="83153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saporta e indikatoreve 26062026 fin_Page_17.jpg"/>
                    <pic:cNvPicPr/>
                  </pic:nvPicPr>
                  <pic:blipFill rotWithShape="1">
                    <a:blip r:embed="rId32" cstate="print">
                      <a:extLst>
                        <a:ext uri="{28A0092B-C50C-407E-A947-70E740481C1C}">
                          <a14:useLocalDpi xmlns:a14="http://schemas.microsoft.com/office/drawing/2010/main" val="0"/>
                        </a:ext>
                      </a:extLst>
                    </a:blip>
                    <a:srcRect l="4255" t="5672" r="5719" b="2662"/>
                    <a:stretch/>
                  </pic:blipFill>
                  <pic:spPr bwMode="auto">
                    <a:xfrm>
                      <a:off x="0" y="0"/>
                      <a:ext cx="5777770" cy="831999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68DA435D" wp14:editId="5D69848B">
            <wp:extent cx="5603019" cy="8239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saporta e indikatoreve 26062026 fin_Page_18.jpg"/>
                    <pic:cNvPicPr/>
                  </pic:nvPicPr>
                  <pic:blipFill rotWithShape="1">
                    <a:blip r:embed="rId33" cstate="print">
                      <a:extLst>
                        <a:ext uri="{28A0092B-C50C-407E-A947-70E740481C1C}">
                          <a14:useLocalDpi xmlns:a14="http://schemas.microsoft.com/office/drawing/2010/main" val="0"/>
                        </a:ext>
                      </a:extLst>
                    </a:blip>
                    <a:srcRect l="4748" t="5208" r="6536" b="2546"/>
                    <a:stretch/>
                  </pic:blipFill>
                  <pic:spPr bwMode="auto">
                    <a:xfrm>
                      <a:off x="0" y="0"/>
                      <a:ext cx="5604603" cy="8241454"/>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7B819E40" wp14:editId="3C585429">
            <wp:extent cx="5679453" cy="82581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saporta e indikatoreve 26062026 fin_Page_19.jpg"/>
                    <pic:cNvPicPr/>
                  </pic:nvPicPr>
                  <pic:blipFill rotWithShape="1">
                    <a:blip r:embed="rId34" cstate="print">
                      <a:extLst>
                        <a:ext uri="{28A0092B-C50C-407E-A947-70E740481C1C}">
                          <a14:useLocalDpi xmlns:a14="http://schemas.microsoft.com/office/drawing/2010/main" val="0"/>
                        </a:ext>
                      </a:extLst>
                    </a:blip>
                    <a:srcRect l="5074" t="5556" r="5881" b="2893"/>
                    <a:stretch/>
                  </pic:blipFill>
                  <pic:spPr bwMode="auto">
                    <a:xfrm>
                      <a:off x="0" y="0"/>
                      <a:ext cx="5683342" cy="826383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B77EEA6" wp14:editId="1738F4D3">
            <wp:extent cx="5628928" cy="82772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saporta e indikatoreve 26062026 fin_Page_20.jpg"/>
                    <pic:cNvPicPr/>
                  </pic:nvPicPr>
                  <pic:blipFill rotWithShape="1">
                    <a:blip r:embed="rId35" cstate="print">
                      <a:extLst>
                        <a:ext uri="{28A0092B-C50C-407E-A947-70E740481C1C}">
                          <a14:useLocalDpi xmlns:a14="http://schemas.microsoft.com/office/drawing/2010/main" val="0"/>
                        </a:ext>
                      </a:extLst>
                    </a:blip>
                    <a:srcRect l="4910" t="4977" r="6373" b="2778"/>
                    <a:stretch/>
                  </pic:blipFill>
                  <pic:spPr bwMode="auto">
                    <a:xfrm>
                      <a:off x="0" y="0"/>
                      <a:ext cx="5631799" cy="828144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0A1D269" wp14:editId="421DC6F8">
            <wp:extent cx="5646699" cy="82105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asaporta e indikatoreve 26062026 fin_Page_21.jpg"/>
                    <pic:cNvPicPr/>
                  </pic:nvPicPr>
                  <pic:blipFill rotWithShape="1">
                    <a:blip r:embed="rId36" cstate="print">
                      <a:extLst>
                        <a:ext uri="{28A0092B-C50C-407E-A947-70E740481C1C}">
                          <a14:useLocalDpi xmlns:a14="http://schemas.microsoft.com/office/drawing/2010/main" val="0"/>
                        </a:ext>
                      </a:extLst>
                    </a:blip>
                    <a:srcRect l="4583" t="5671" r="6373" b="2778"/>
                    <a:stretch/>
                  </pic:blipFill>
                  <pic:spPr bwMode="auto">
                    <a:xfrm>
                      <a:off x="0" y="0"/>
                      <a:ext cx="5649840" cy="821511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D16764F" wp14:editId="050626C5">
            <wp:extent cx="5365293" cy="795337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asaporta e indikatoreve 26062026 fin_Page_22.jpg"/>
                    <pic:cNvPicPr/>
                  </pic:nvPicPr>
                  <pic:blipFill rotWithShape="1">
                    <a:blip r:embed="rId37" cstate="print">
                      <a:extLst>
                        <a:ext uri="{28A0092B-C50C-407E-A947-70E740481C1C}">
                          <a14:useLocalDpi xmlns:a14="http://schemas.microsoft.com/office/drawing/2010/main" val="0"/>
                        </a:ext>
                      </a:extLst>
                    </a:blip>
                    <a:srcRect l="5564" t="4398" r="6209" b="3125"/>
                    <a:stretch/>
                  </pic:blipFill>
                  <pic:spPr bwMode="auto">
                    <a:xfrm>
                      <a:off x="0" y="0"/>
                      <a:ext cx="5367086" cy="7956033"/>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AECC458" wp14:editId="74C9A373">
            <wp:extent cx="5457825" cy="7865689"/>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asaporta e indikatoreve 26062026 fin_Page_23.jpg"/>
                    <pic:cNvPicPr/>
                  </pic:nvPicPr>
                  <pic:blipFill rotWithShape="1">
                    <a:blip r:embed="rId38" cstate="print">
                      <a:extLst>
                        <a:ext uri="{28A0092B-C50C-407E-A947-70E740481C1C}">
                          <a14:useLocalDpi xmlns:a14="http://schemas.microsoft.com/office/drawing/2010/main" val="0"/>
                        </a:ext>
                      </a:extLst>
                    </a:blip>
                    <a:srcRect l="3929" t="5787" r="7028" b="3473"/>
                    <a:stretch/>
                  </pic:blipFill>
                  <pic:spPr bwMode="auto">
                    <a:xfrm>
                      <a:off x="0" y="0"/>
                      <a:ext cx="5459026" cy="786742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D1A6E8D" wp14:editId="2A8A3BF9">
            <wp:extent cx="5502163" cy="810577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asaporta e indikatoreve 26062026 fin_Page_24.jpg"/>
                    <pic:cNvPicPr/>
                  </pic:nvPicPr>
                  <pic:blipFill rotWithShape="1">
                    <a:blip r:embed="rId39" cstate="print">
                      <a:extLst>
                        <a:ext uri="{28A0092B-C50C-407E-A947-70E740481C1C}">
                          <a14:useLocalDpi xmlns:a14="http://schemas.microsoft.com/office/drawing/2010/main" val="0"/>
                        </a:ext>
                      </a:extLst>
                    </a:blip>
                    <a:srcRect l="4911" t="4861" r="6537" b="2893"/>
                    <a:stretch/>
                  </pic:blipFill>
                  <pic:spPr bwMode="auto">
                    <a:xfrm>
                      <a:off x="0" y="0"/>
                      <a:ext cx="5503163" cy="8107248"/>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3EC41809" wp14:editId="1DDBCEC1">
            <wp:extent cx="5639868" cy="8153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asaporta e indikatoreve 26062026 fin_Page_25.jpg"/>
                    <pic:cNvPicPr/>
                  </pic:nvPicPr>
                  <pic:blipFill rotWithShape="1">
                    <a:blip r:embed="rId40" cstate="print">
                      <a:extLst>
                        <a:ext uri="{28A0092B-C50C-407E-A947-70E740481C1C}">
                          <a14:useLocalDpi xmlns:a14="http://schemas.microsoft.com/office/drawing/2010/main" val="0"/>
                        </a:ext>
                      </a:extLst>
                    </a:blip>
                    <a:srcRect l="4255" t="5672" r="6864" b="3473"/>
                    <a:stretch/>
                  </pic:blipFill>
                  <pic:spPr bwMode="auto">
                    <a:xfrm>
                      <a:off x="0" y="0"/>
                      <a:ext cx="5641545" cy="8155825"/>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609458DB" wp14:editId="12A8352E">
            <wp:extent cx="5641001" cy="82581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asaporta e indikatoreve 26062026 fin_Page_26.jpg"/>
                    <pic:cNvPicPr/>
                  </pic:nvPicPr>
                  <pic:blipFill rotWithShape="1">
                    <a:blip r:embed="rId41" cstate="print">
                      <a:extLst>
                        <a:ext uri="{28A0092B-C50C-407E-A947-70E740481C1C}">
                          <a14:useLocalDpi xmlns:a14="http://schemas.microsoft.com/office/drawing/2010/main" val="0"/>
                        </a:ext>
                      </a:extLst>
                    </a:blip>
                    <a:srcRect l="4746" t="5672" r="6700" b="2662"/>
                    <a:stretch/>
                  </pic:blipFill>
                  <pic:spPr bwMode="auto">
                    <a:xfrm>
                      <a:off x="0" y="0"/>
                      <a:ext cx="5644619" cy="8263472"/>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716DDDCD" wp14:editId="5CF02E7C">
            <wp:extent cx="5785382" cy="834390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asaporta e indikatoreve 26062026 fin_Page_27.jpg"/>
                    <pic:cNvPicPr/>
                  </pic:nvPicPr>
                  <pic:blipFill rotWithShape="1">
                    <a:blip r:embed="rId42" cstate="print">
                      <a:extLst>
                        <a:ext uri="{28A0092B-C50C-407E-A947-70E740481C1C}">
                          <a14:useLocalDpi xmlns:a14="http://schemas.microsoft.com/office/drawing/2010/main" val="0"/>
                        </a:ext>
                      </a:extLst>
                    </a:blip>
                    <a:srcRect l="3824" t="5312" r="5704" b="2426"/>
                    <a:stretch/>
                  </pic:blipFill>
                  <pic:spPr bwMode="auto">
                    <a:xfrm>
                      <a:off x="0" y="0"/>
                      <a:ext cx="5787189" cy="834650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6306D09E" wp14:editId="290FF7A9">
            <wp:extent cx="5791200" cy="835330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asaporta e indikatoreve 26062026 fin_Page_28.jpg"/>
                    <pic:cNvPicPr/>
                  </pic:nvPicPr>
                  <pic:blipFill rotWithShape="1">
                    <a:blip r:embed="rId43" cstate="print">
                      <a:extLst>
                        <a:ext uri="{28A0092B-C50C-407E-A947-70E740481C1C}">
                          <a14:useLocalDpi xmlns:a14="http://schemas.microsoft.com/office/drawing/2010/main" val="0"/>
                        </a:ext>
                      </a:extLst>
                    </a:blip>
                    <a:srcRect l="4419" t="5904" r="6045" b="2777"/>
                    <a:stretch/>
                  </pic:blipFill>
                  <pic:spPr bwMode="auto">
                    <a:xfrm>
                      <a:off x="0" y="0"/>
                      <a:ext cx="5794539" cy="8358119"/>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E9262A1" wp14:editId="1E8C98F7">
            <wp:extent cx="5740192" cy="8286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asaporta e indikatoreve 26062026 fin_Page_29.jpg"/>
                    <pic:cNvPicPr/>
                  </pic:nvPicPr>
                  <pic:blipFill rotWithShape="1">
                    <a:blip r:embed="rId44" cstate="print">
                      <a:extLst>
                        <a:ext uri="{28A0092B-C50C-407E-A947-70E740481C1C}">
                          <a14:useLocalDpi xmlns:a14="http://schemas.microsoft.com/office/drawing/2010/main" val="0"/>
                        </a:ext>
                      </a:extLst>
                    </a:blip>
                    <a:srcRect l="4092" t="5324" r="5882" b="2778"/>
                    <a:stretch/>
                  </pic:blipFill>
                  <pic:spPr bwMode="auto">
                    <a:xfrm>
                      <a:off x="0" y="0"/>
                      <a:ext cx="5743395" cy="8291374"/>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7308EFF" wp14:editId="79280D65">
            <wp:extent cx="5572125" cy="823436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saporta e indikatoreve 26062026 fin_Page_30.jpg"/>
                    <pic:cNvPicPr/>
                  </pic:nvPicPr>
                  <pic:blipFill rotWithShape="1">
                    <a:blip r:embed="rId45" cstate="print">
                      <a:extLst>
                        <a:ext uri="{28A0092B-C50C-407E-A947-70E740481C1C}">
                          <a14:useLocalDpi xmlns:a14="http://schemas.microsoft.com/office/drawing/2010/main" val="0"/>
                        </a:ext>
                      </a:extLst>
                    </a:blip>
                    <a:srcRect l="5073" t="4398" r="6536" b="3240"/>
                    <a:stretch/>
                  </pic:blipFill>
                  <pic:spPr bwMode="auto">
                    <a:xfrm>
                      <a:off x="0" y="0"/>
                      <a:ext cx="5573447" cy="823631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384AA89F" wp14:editId="740A0D55">
            <wp:extent cx="5839993" cy="8429625"/>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asaporta e indikatoreve 26062026 fin_Page_31.jpg"/>
                    <pic:cNvPicPr/>
                  </pic:nvPicPr>
                  <pic:blipFill rotWithShape="1">
                    <a:blip r:embed="rId46" cstate="print">
                      <a:extLst>
                        <a:ext uri="{28A0092B-C50C-407E-A947-70E740481C1C}">
                          <a14:useLocalDpi xmlns:a14="http://schemas.microsoft.com/office/drawing/2010/main" val="0"/>
                        </a:ext>
                      </a:extLst>
                    </a:blip>
                    <a:srcRect l="4419" t="5324" r="5882" b="3125"/>
                    <a:stretch/>
                  </pic:blipFill>
                  <pic:spPr bwMode="auto">
                    <a:xfrm>
                      <a:off x="0" y="0"/>
                      <a:ext cx="5843085" cy="8434088"/>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713A1275" wp14:editId="432FE762">
            <wp:extent cx="5707510" cy="8391525"/>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asaporta e indikatoreve 26062026 fin_Page_32.jpg"/>
                    <pic:cNvPicPr/>
                  </pic:nvPicPr>
                  <pic:blipFill rotWithShape="1">
                    <a:blip r:embed="rId47" cstate="print">
                      <a:extLst>
                        <a:ext uri="{28A0092B-C50C-407E-A947-70E740481C1C}">
                          <a14:useLocalDpi xmlns:a14="http://schemas.microsoft.com/office/drawing/2010/main" val="0"/>
                        </a:ext>
                      </a:extLst>
                    </a:blip>
                    <a:srcRect l="5401" t="5786" r="6536" b="2662"/>
                    <a:stretch/>
                  </pic:blipFill>
                  <pic:spPr bwMode="auto">
                    <a:xfrm>
                      <a:off x="0" y="0"/>
                      <a:ext cx="5709368" cy="839425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F79D52A" wp14:editId="09232AA6">
            <wp:extent cx="5847634" cy="8515350"/>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asaporta e indikatoreve 26062026 fin_Page_33.jpg"/>
                    <pic:cNvPicPr/>
                  </pic:nvPicPr>
                  <pic:blipFill rotWithShape="1">
                    <a:blip r:embed="rId48" cstate="print">
                      <a:extLst>
                        <a:ext uri="{28A0092B-C50C-407E-A947-70E740481C1C}">
                          <a14:useLocalDpi xmlns:a14="http://schemas.microsoft.com/office/drawing/2010/main" val="0"/>
                        </a:ext>
                      </a:extLst>
                    </a:blip>
                    <a:srcRect l="4092" t="5093" r="6209" b="2546"/>
                    <a:stretch/>
                  </pic:blipFill>
                  <pic:spPr bwMode="auto">
                    <a:xfrm>
                      <a:off x="0" y="0"/>
                      <a:ext cx="5849090" cy="851747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B0B730A" wp14:editId="33A028DC">
            <wp:extent cx="5592220" cy="8181975"/>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asaporta e indikatoreve 26062026 fin_Page_34.jpg"/>
                    <pic:cNvPicPr/>
                  </pic:nvPicPr>
                  <pic:blipFill rotWithShape="1">
                    <a:blip r:embed="rId49" cstate="print">
                      <a:extLst>
                        <a:ext uri="{28A0092B-C50C-407E-A947-70E740481C1C}">
                          <a14:useLocalDpi xmlns:a14="http://schemas.microsoft.com/office/drawing/2010/main" val="0"/>
                        </a:ext>
                      </a:extLst>
                    </a:blip>
                    <a:srcRect l="4748" t="5786" r="6536" b="2431"/>
                    <a:stretch/>
                  </pic:blipFill>
                  <pic:spPr bwMode="auto">
                    <a:xfrm>
                      <a:off x="0" y="0"/>
                      <a:ext cx="5595195" cy="8186328"/>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33D1417C" wp14:editId="345C6642">
            <wp:extent cx="5520791" cy="8048625"/>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asaporta e indikatoreve 26062026 fin_Page_35.jpg"/>
                    <pic:cNvPicPr/>
                  </pic:nvPicPr>
                  <pic:blipFill rotWithShape="1">
                    <a:blip r:embed="rId50" cstate="print">
                      <a:extLst>
                        <a:ext uri="{28A0092B-C50C-407E-A947-70E740481C1C}">
                          <a14:useLocalDpi xmlns:a14="http://schemas.microsoft.com/office/drawing/2010/main" val="0"/>
                        </a:ext>
                      </a:extLst>
                    </a:blip>
                    <a:srcRect l="4092" t="4746" r="6537" b="3125"/>
                    <a:stretch/>
                  </pic:blipFill>
                  <pic:spPr bwMode="auto">
                    <a:xfrm>
                      <a:off x="0" y="0"/>
                      <a:ext cx="5523816" cy="8053035"/>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6E66873F" wp14:editId="09A5348E">
            <wp:extent cx="5656352" cy="834390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asaporta e indikatoreve 26062026 fin_Page_36.jpg"/>
                    <pic:cNvPicPr/>
                  </pic:nvPicPr>
                  <pic:blipFill rotWithShape="1">
                    <a:blip r:embed="rId51" cstate="print">
                      <a:extLst>
                        <a:ext uri="{28A0092B-C50C-407E-A947-70E740481C1C}">
                          <a14:useLocalDpi xmlns:a14="http://schemas.microsoft.com/office/drawing/2010/main" val="0"/>
                        </a:ext>
                      </a:extLst>
                    </a:blip>
                    <a:srcRect l="5402" t="4514" r="5718" b="2777"/>
                    <a:stretch/>
                  </pic:blipFill>
                  <pic:spPr bwMode="auto">
                    <a:xfrm>
                      <a:off x="0" y="0"/>
                      <a:ext cx="5658384" cy="8346898"/>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3CEA965B" wp14:editId="2D712D74">
            <wp:extent cx="5832216" cy="83439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asaporta e indikatoreve 26062026 fin_Page_37.jpg"/>
                    <pic:cNvPicPr/>
                  </pic:nvPicPr>
                  <pic:blipFill rotWithShape="1">
                    <a:blip r:embed="rId52" cstate="print">
                      <a:extLst>
                        <a:ext uri="{28A0092B-C50C-407E-A947-70E740481C1C}">
                          <a14:useLocalDpi xmlns:a14="http://schemas.microsoft.com/office/drawing/2010/main" val="0"/>
                        </a:ext>
                      </a:extLst>
                    </a:blip>
                    <a:srcRect l="3929" t="6018" r="6373" b="3242"/>
                    <a:stretch/>
                  </pic:blipFill>
                  <pic:spPr bwMode="auto">
                    <a:xfrm>
                      <a:off x="0" y="0"/>
                      <a:ext cx="5834605" cy="8347318"/>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7B535F4F" wp14:editId="1B5CF182">
            <wp:extent cx="5719034" cy="81819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asaporta e indikatoreve 26062026 fin_Page_38.jpg"/>
                    <pic:cNvPicPr/>
                  </pic:nvPicPr>
                  <pic:blipFill rotWithShape="1">
                    <a:blip r:embed="rId53" cstate="print">
                      <a:extLst>
                        <a:ext uri="{28A0092B-C50C-407E-A947-70E740481C1C}">
                          <a14:useLocalDpi xmlns:a14="http://schemas.microsoft.com/office/drawing/2010/main" val="0"/>
                        </a:ext>
                      </a:extLst>
                    </a:blip>
                    <a:srcRect l="4584" t="5903" r="5717" b="3357"/>
                    <a:stretch/>
                  </pic:blipFill>
                  <pic:spPr bwMode="auto">
                    <a:xfrm>
                      <a:off x="0" y="0"/>
                      <a:ext cx="5720903" cy="8184649"/>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BCE1E5F" wp14:editId="0A589FF2">
            <wp:extent cx="5679683" cy="8286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asaporta e indikatoreve 26062026 fin_Page_39.jpg"/>
                    <pic:cNvPicPr/>
                  </pic:nvPicPr>
                  <pic:blipFill rotWithShape="1">
                    <a:blip r:embed="rId54" cstate="print">
                      <a:extLst>
                        <a:ext uri="{28A0092B-C50C-407E-A947-70E740481C1C}">
                          <a14:useLocalDpi xmlns:a14="http://schemas.microsoft.com/office/drawing/2010/main" val="0"/>
                        </a:ext>
                      </a:extLst>
                    </a:blip>
                    <a:srcRect l="3930" t="4398" r="6209" b="2894"/>
                    <a:stretch/>
                  </pic:blipFill>
                  <pic:spPr bwMode="auto">
                    <a:xfrm>
                      <a:off x="0" y="0"/>
                      <a:ext cx="5680265" cy="8287599"/>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CA94DC2" wp14:editId="7DBBBF8C">
            <wp:extent cx="5737121" cy="82962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asaporta e indikatoreve 26062026 fin_Page_40.jpg"/>
                    <pic:cNvPicPr/>
                  </pic:nvPicPr>
                  <pic:blipFill rotWithShape="1">
                    <a:blip r:embed="rId55" cstate="print">
                      <a:extLst>
                        <a:ext uri="{28A0092B-C50C-407E-A947-70E740481C1C}">
                          <a14:useLocalDpi xmlns:a14="http://schemas.microsoft.com/office/drawing/2010/main" val="0"/>
                        </a:ext>
                      </a:extLst>
                    </a:blip>
                    <a:srcRect l="4256" t="5555" r="6209" b="2893"/>
                    <a:stretch/>
                  </pic:blipFill>
                  <pic:spPr bwMode="auto">
                    <a:xfrm>
                      <a:off x="0" y="0"/>
                      <a:ext cx="5739746" cy="8300071"/>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8009068" wp14:editId="480CDD34">
            <wp:extent cx="5727067" cy="8305800"/>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asaporta e indikatoreve 26062026 fin_Page_41.jpg"/>
                    <pic:cNvPicPr/>
                  </pic:nvPicPr>
                  <pic:blipFill rotWithShape="1">
                    <a:blip r:embed="rId56" cstate="print">
                      <a:extLst>
                        <a:ext uri="{28A0092B-C50C-407E-A947-70E740481C1C}">
                          <a14:useLocalDpi xmlns:a14="http://schemas.microsoft.com/office/drawing/2010/main" val="0"/>
                        </a:ext>
                      </a:extLst>
                    </a:blip>
                    <a:srcRect l="3928" t="4167" r="5554" b="3008"/>
                    <a:stretch/>
                  </pic:blipFill>
                  <pic:spPr bwMode="auto">
                    <a:xfrm>
                      <a:off x="0" y="0"/>
                      <a:ext cx="5729115" cy="830877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75AE057" wp14:editId="00948806">
            <wp:extent cx="5762554" cy="84391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asaporta e indikatoreve 26062026 fin_Page_42.jpg"/>
                    <pic:cNvPicPr/>
                  </pic:nvPicPr>
                  <pic:blipFill rotWithShape="1">
                    <a:blip r:embed="rId57" cstate="print">
                      <a:extLst>
                        <a:ext uri="{28A0092B-C50C-407E-A947-70E740481C1C}">
                          <a14:useLocalDpi xmlns:a14="http://schemas.microsoft.com/office/drawing/2010/main" val="0"/>
                        </a:ext>
                      </a:extLst>
                    </a:blip>
                    <a:srcRect l="4583" t="4283" r="5554" b="2662"/>
                    <a:stretch/>
                  </pic:blipFill>
                  <pic:spPr bwMode="auto">
                    <a:xfrm>
                      <a:off x="0" y="0"/>
                      <a:ext cx="5765840" cy="8443963"/>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1D51D86" wp14:editId="204F4BAF">
            <wp:extent cx="5741993" cy="84391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asaporta e indikatoreve 26062026 fin_Page_43.jpg"/>
                    <pic:cNvPicPr/>
                  </pic:nvPicPr>
                  <pic:blipFill rotWithShape="1">
                    <a:blip r:embed="rId58" cstate="print">
                      <a:extLst>
                        <a:ext uri="{28A0092B-C50C-407E-A947-70E740481C1C}">
                          <a14:useLocalDpi xmlns:a14="http://schemas.microsoft.com/office/drawing/2010/main" val="0"/>
                        </a:ext>
                      </a:extLst>
                    </a:blip>
                    <a:srcRect l="4747" t="4283" r="6046" b="3009"/>
                    <a:stretch/>
                  </pic:blipFill>
                  <pic:spPr bwMode="auto">
                    <a:xfrm>
                      <a:off x="0" y="0"/>
                      <a:ext cx="5743883" cy="8441928"/>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3624D307" wp14:editId="6F1D2347">
            <wp:extent cx="5678871" cy="81438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asaporta e indikatoreve 26062026 fin_Page_44.jpg"/>
                    <pic:cNvPicPr/>
                  </pic:nvPicPr>
                  <pic:blipFill rotWithShape="1">
                    <a:blip r:embed="rId59" cstate="print">
                      <a:extLst>
                        <a:ext uri="{28A0092B-C50C-407E-A947-70E740481C1C}">
                          <a14:useLocalDpi xmlns:a14="http://schemas.microsoft.com/office/drawing/2010/main" val="0"/>
                        </a:ext>
                      </a:extLst>
                    </a:blip>
                    <a:srcRect l="4256" t="6366" r="6373" b="3009"/>
                    <a:stretch/>
                  </pic:blipFill>
                  <pic:spPr bwMode="auto">
                    <a:xfrm>
                      <a:off x="0" y="0"/>
                      <a:ext cx="5679443" cy="8144695"/>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6D15CA6" wp14:editId="0BBC50D0">
            <wp:extent cx="5384478" cy="8086725"/>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asaporta e indikatoreve 26062026 fin_Page_45.jpg"/>
                    <pic:cNvPicPr/>
                  </pic:nvPicPr>
                  <pic:blipFill rotWithShape="1">
                    <a:blip r:embed="rId60" cstate="print">
                      <a:extLst>
                        <a:ext uri="{28A0092B-C50C-407E-A947-70E740481C1C}">
                          <a14:useLocalDpi xmlns:a14="http://schemas.microsoft.com/office/drawing/2010/main" val="0"/>
                        </a:ext>
                      </a:extLst>
                    </a:blip>
                    <a:srcRect l="5238" t="3357" r="6700" b="3125"/>
                    <a:stretch/>
                  </pic:blipFill>
                  <pic:spPr bwMode="auto">
                    <a:xfrm>
                      <a:off x="0" y="0"/>
                      <a:ext cx="5386432" cy="808966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AE71465" wp14:editId="33A80F0C">
            <wp:extent cx="5773890" cy="8534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asaporta e indikatoreve 26062026 fin_Page_46.jpg"/>
                    <pic:cNvPicPr/>
                  </pic:nvPicPr>
                  <pic:blipFill rotWithShape="1">
                    <a:blip r:embed="rId61" cstate="print">
                      <a:extLst>
                        <a:ext uri="{28A0092B-C50C-407E-A947-70E740481C1C}">
                          <a14:useLocalDpi xmlns:a14="http://schemas.microsoft.com/office/drawing/2010/main" val="0"/>
                        </a:ext>
                      </a:extLst>
                    </a:blip>
                    <a:srcRect l="4419" t="3473" r="5882" b="2778"/>
                    <a:stretch/>
                  </pic:blipFill>
                  <pic:spPr bwMode="auto">
                    <a:xfrm>
                      <a:off x="0" y="0"/>
                      <a:ext cx="5775117" cy="8536214"/>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7CC33DD9" wp14:editId="5AC725E7">
            <wp:extent cx="5743327" cy="84677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asaporta e indikatoreve 26062026 fin_Page_47.jpg"/>
                    <pic:cNvPicPr/>
                  </pic:nvPicPr>
                  <pic:blipFill rotWithShape="1">
                    <a:blip r:embed="rId62" cstate="print">
                      <a:extLst>
                        <a:ext uri="{28A0092B-C50C-407E-A947-70E740481C1C}">
                          <a14:useLocalDpi xmlns:a14="http://schemas.microsoft.com/office/drawing/2010/main" val="0"/>
                        </a:ext>
                      </a:extLst>
                    </a:blip>
                    <a:srcRect l="3930" t="3820" r="6700" b="3009"/>
                    <a:stretch/>
                  </pic:blipFill>
                  <pic:spPr bwMode="auto">
                    <a:xfrm>
                      <a:off x="0" y="0"/>
                      <a:ext cx="5745908" cy="8471531"/>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1888A97" wp14:editId="0D354219">
            <wp:extent cx="5495925" cy="800230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asaporta e indikatoreve 26062026 fin_Page_48.jpg"/>
                    <pic:cNvPicPr/>
                  </pic:nvPicPr>
                  <pic:blipFill rotWithShape="1">
                    <a:blip r:embed="rId63" cstate="print">
                      <a:extLst>
                        <a:ext uri="{28A0092B-C50C-407E-A947-70E740481C1C}">
                          <a14:useLocalDpi xmlns:a14="http://schemas.microsoft.com/office/drawing/2010/main" val="0"/>
                        </a:ext>
                      </a:extLst>
                    </a:blip>
                    <a:srcRect l="4256" t="5093" r="6373" b="2893"/>
                    <a:stretch/>
                  </pic:blipFill>
                  <pic:spPr bwMode="auto">
                    <a:xfrm>
                      <a:off x="0" y="0"/>
                      <a:ext cx="5496770" cy="8003538"/>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25F0CAB" wp14:editId="1904045C">
            <wp:extent cx="5451609" cy="8077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asaporta e indikatoreve 26062026 fin_Page_49.jpg"/>
                    <pic:cNvPicPr/>
                  </pic:nvPicPr>
                  <pic:blipFill rotWithShape="1">
                    <a:blip r:embed="rId64" cstate="print">
                      <a:extLst>
                        <a:ext uri="{28A0092B-C50C-407E-A947-70E740481C1C}">
                          <a14:useLocalDpi xmlns:a14="http://schemas.microsoft.com/office/drawing/2010/main" val="0"/>
                        </a:ext>
                      </a:extLst>
                    </a:blip>
                    <a:srcRect l="4911" t="3588" r="6045" b="3125"/>
                    <a:stretch/>
                  </pic:blipFill>
                  <pic:spPr bwMode="auto">
                    <a:xfrm>
                      <a:off x="0" y="0"/>
                      <a:ext cx="5453551" cy="808007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7DFAE901" wp14:editId="37D817A6">
            <wp:extent cx="5719835" cy="80486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asaporta e indikatoreve 26062026 fin_Page_50.jpg"/>
                    <pic:cNvPicPr/>
                  </pic:nvPicPr>
                  <pic:blipFill rotWithShape="1">
                    <a:blip r:embed="rId65" cstate="print">
                      <a:extLst>
                        <a:ext uri="{28A0092B-C50C-407E-A947-70E740481C1C}">
                          <a14:useLocalDpi xmlns:a14="http://schemas.microsoft.com/office/drawing/2010/main" val="0"/>
                        </a:ext>
                      </a:extLst>
                    </a:blip>
                    <a:srcRect l="3765" t="5787" r="4572" b="3009"/>
                    <a:stretch/>
                  </pic:blipFill>
                  <pic:spPr bwMode="auto">
                    <a:xfrm>
                      <a:off x="0" y="0"/>
                      <a:ext cx="5720899" cy="8050122"/>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BC2F179" wp14:editId="7B5B3758">
            <wp:extent cx="5587838" cy="81629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asaporta e indikatoreve 26062026 fin_Page_51.jpg"/>
                    <pic:cNvPicPr/>
                  </pic:nvPicPr>
                  <pic:blipFill rotWithShape="1">
                    <a:blip r:embed="rId66" cstate="print">
                      <a:extLst>
                        <a:ext uri="{28A0092B-C50C-407E-A947-70E740481C1C}">
                          <a14:useLocalDpi xmlns:a14="http://schemas.microsoft.com/office/drawing/2010/main" val="0"/>
                        </a:ext>
                      </a:extLst>
                    </a:blip>
                    <a:srcRect l="3928" t="3935" r="6209" b="3241"/>
                    <a:stretch/>
                  </pic:blipFill>
                  <pic:spPr bwMode="auto">
                    <a:xfrm>
                      <a:off x="0" y="0"/>
                      <a:ext cx="5589951" cy="8166012"/>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6CA1A62" wp14:editId="0EDEEC4B">
            <wp:extent cx="5819140" cy="8229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asaporta e indikatoreve 26062026 fin_Page_5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78BA8746" wp14:editId="12CEB364">
            <wp:extent cx="5859325" cy="8362950"/>
            <wp:effectExtent l="0" t="0" r="825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asaporta e indikatoreve 26062026 fin_Page_53.jpg"/>
                    <pic:cNvPicPr/>
                  </pic:nvPicPr>
                  <pic:blipFill rotWithShape="1">
                    <a:blip r:embed="rId68" cstate="print">
                      <a:extLst>
                        <a:ext uri="{28A0092B-C50C-407E-A947-70E740481C1C}">
                          <a14:useLocalDpi xmlns:a14="http://schemas.microsoft.com/office/drawing/2010/main" val="0"/>
                        </a:ext>
                      </a:extLst>
                    </a:blip>
                    <a:srcRect l="3406" t="6194" r="6250" b="2629"/>
                    <a:stretch/>
                  </pic:blipFill>
                  <pic:spPr bwMode="auto">
                    <a:xfrm>
                      <a:off x="0" y="0"/>
                      <a:ext cx="5863949" cy="836955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AEC4942" wp14:editId="1E9DF3FE">
            <wp:extent cx="5447681" cy="7981950"/>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asaporta e indikatoreve 26062026 fin_Page_54.jpg"/>
                    <pic:cNvPicPr/>
                  </pic:nvPicPr>
                  <pic:blipFill rotWithShape="1">
                    <a:blip r:embed="rId69" cstate="print">
                      <a:extLst>
                        <a:ext uri="{28A0092B-C50C-407E-A947-70E740481C1C}">
                          <a14:useLocalDpi xmlns:a14="http://schemas.microsoft.com/office/drawing/2010/main" val="0"/>
                        </a:ext>
                      </a:extLst>
                    </a:blip>
                    <a:srcRect l="4911" t="4514" r="5718" b="2894"/>
                    <a:stretch/>
                  </pic:blipFill>
                  <pic:spPr bwMode="auto">
                    <a:xfrm>
                      <a:off x="0" y="0"/>
                      <a:ext cx="5449487" cy="798459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08589380" wp14:editId="41154683">
            <wp:extent cx="5479170" cy="8067675"/>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asaporta e indikatoreve 26062026 fin_Page_55.jpg"/>
                    <pic:cNvPicPr/>
                  </pic:nvPicPr>
                  <pic:blipFill rotWithShape="1">
                    <a:blip r:embed="rId70" cstate="print">
                      <a:extLst>
                        <a:ext uri="{28A0092B-C50C-407E-A947-70E740481C1C}">
                          <a14:useLocalDpi xmlns:a14="http://schemas.microsoft.com/office/drawing/2010/main" val="0"/>
                        </a:ext>
                      </a:extLst>
                    </a:blip>
                    <a:srcRect l="4092" t="4283" r="6864" b="3009"/>
                    <a:stretch/>
                  </pic:blipFill>
                  <pic:spPr bwMode="auto">
                    <a:xfrm>
                      <a:off x="0" y="0"/>
                      <a:ext cx="5481344" cy="807087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8CD99AC" wp14:editId="294515A1">
            <wp:extent cx="5596284" cy="8162925"/>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asaporta e indikatoreve 26062026 fin_Page_56.jpg"/>
                    <pic:cNvPicPr/>
                  </pic:nvPicPr>
                  <pic:blipFill rotWithShape="1">
                    <a:blip r:embed="rId71" cstate="print">
                      <a:extLst>
                        <a:ext uri="{28A0092B-C50C-407E-A947-70E740481C1C}">
                          <a14:useLocalDpi xmlns:a14="http://schemas.microsoft.com/office/drawing/2010/main" val="0"/>
                        </a:ext>
                      </a:extLst>
                    </a:blip>
                    <a:srcRect l="3764" t="3588" r="5228" b="2547"/>
                    <a:stretch/>
                  </pic:blipFill>
                  <pic:spPr bwMode="auto">
                    <a:xfrm>
                      <a:off x="0" y="0"/>
                      <a:ext cx="5599597" cy="816775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CBFED7B" wp14:editId="54C20193">
            <wp:extent cx="5649249" cy="8258175"/>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asaporta e indikatoreve 26062026 fin_Page_57.jpg"/>
                    <pic:cNvPicPr/>
                  </pic:nvPicPr>
                  <pic:blipFill rotWithShape="1">
                    <a:blip r:embed="rId72" cstate="print">
                      <a:extLst>
                        <a:ext uri="{28A0092B-C50C-407E-A947-70E740481C1C}">
                          <a14:useLocalDpi xmlns:a14="http://schemas.microsoft.com/office/drawing/2010/main" val="0"/>
                        </a:ext>
                      </a:extLst>
                    </a:blip>
                    <a:srcRect l="3764" t="3935" r="6210" b="3009"/>
                    <a:stretch/>
                  </pic:blipFill>
                  <pic:spPr bwMode="auto">
                    <a:xfrm>
                      <a:off x="0" y="0"/>
                      <a:ext cx="5651219" cy="8261055"/>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F44394E" wp14:editId="56666002">
            <wp:extent cx="6067425" cy="858073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asaporta e indikatoreve 26062026 fin_Page_58.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069405" cy="8583532"/>
                    </a:xfrm>
                    <a:prstGeom prst="rect">
                      <a:avLst/>
                    </a:prstGeom>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1708A23" wp14:editId="2907A963">
            <wp:extent cx="6048375" cy="855379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asaporta e indikatoreve 26062026 fin_Page_59.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049013" cy="8554693"/>
                    </a:xfrm>
                    <a:prstGeom prst="rect">
                      <a:avLst/>
                    </a:prstGeom>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799A103" wp14:editId="689B4AF9">
            <wp:extent cx="6145182" cy="8258175"/>
            <wp:effectExtent l="0" t="0" r="825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asaporta e indikatoreve 26062026 fin_Page_60.jpg"/>
                    <pic:cNvPicPr/>
                  </pic:nvPicPr>
                  <pic:blipFill rotWithShape="1">
                    <a:blip r:embed="rId75" cstate="print">
                      <a:extLst>
                        <a:ext uri="{28A0092B-C50C-407E-A947-70E740481C1C}">
                          <a14:useLocalDpi xmlns:a14="http://schemas.microsoft.com/office/drawing/2010/main" val="0"/>
                        </a:ext>
                      </a:extLst>
                    </a:blip>
                    <a:srcRect t="4977"/>
                    <a:stretch/>
                  </pic:blipFill>
                  <pic:spPr bwMode="auto">
                    <a:xfrm>
                      <a:off x="0" y="0"/>
                      <a:ext cx="6145707" cy="8258881"/>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575940E1" wp14:editId="032477DB">
            <wp:extent cx="6181725" cy="8378113"/>
            <wp:effectExtent l="0" t="0" r="0" b="4445"/>
            <wp:docPr id="555588608" name="Picture 55558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08" name="Pasaporta e indikatoreve 26062026 fin_Page_61.jpg"/>
                    <pic:cNvPicPr/>
                  </pic:nvPicPr>
                  <pic:blipFill rotWithShape="1">
                    <a:blip r:embed="rId76" cstate="print">
                      <a:extLst>
                        <a:ext uri="{28A0092B-C50C-407E-A947-70E740481C1C}">
                          <a14:useLocalDpi xmlns:a14="http://schemas.microsoft.com/office/drawing/2010/main" val="0"/>
                        </a:ext>
                      </a:extLst>
                    </a:blip>
                    <a:srcRect t="4167"/>
                    <a:stretch/>
                  </pic:blipFill>
                  <pic:spPr bwMode="auto">
                    <a:xfrm>
                      <a:off x="0" y="0"/>
                      <a:ext cx="6184457" cy="838181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073CDB7" wp14:editId="5E8F796C">
            <wp:extent cx="6324834" cy="8220075"/>
            <wp:effectExtent l="0" t="0" r="0" b="0"/>
            <wp:docPr id="555588609" name="Picture 55558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09" name="Pasaporta e indikatoreve 26062026 fin_Page_62.jpg"/>
                    <pic:cNvPicPr/>
                  </pic:nvPicPr>
                  <pic:blipFill rotWithShape="1">
                    <a:blip r:embed="rId77" cstate="print">
                      <a:extLst>
                        <a:ext uri="{28A0092B-C50C-407E-A947-70E740481C1C}">
                          <a14:useLocalDpi xmlns:a14="http://schemas.microsoft.com/office/drawing/2010/main" val="0"/>
                        </a:ext>
                      </a:extLst>
                    </a:blip>
                    <a:srcRect t="5439" b="2662"/>
                    <a:stretch/>
                  </pic:blipFill>
                  <pic:spPr bwMode="auto">
                    <a:xfrm>
                      <a:off x="0" y="0"/>
                      <a:ext cx="6325394" cy="8220803"/>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2EE0754" wp14:editId="6B2B2D6E">
            <wp:extent cx="6099321" cy="8086725"/>
            <wp:effectExtent l="0" t="0" r="0" b="0"/>
            <wp:docPr id="555588610" name="Picture 555588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0" name="Pasaporta e indikatoreve 26062026 fin_Page_63.jpg"/>
                    <pic:cNvPicPr/>
                  </pic:nvPicPr>
                  <pic:blipFill rotWithShape="1">
                    <a:blip r:embed="rId78" cstate="print">
                      <a:extLst>
                        <a:ext uri="{28A0092B-C50C-407E-A947-70E740481C1C}">
                          <a14:useLocalDpi xmlns:a14="http://schemas.microsoft.com/office/drawing/2010/main" val="0"/>
                        </a:ext>
                      </a:extLst>
                    </a:blip>
                    <a:srcRect t="4283" b="1967"/>
                    <a:stretch/>
                  </pic:blipFill>
                  <pic:spPr bwMode="auto">
                    <a:xfrm>
                      <a:off x="0" y="0"/>
                      <a:ext cx="6100506" cy="808829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4627FA71" wp14:editId="59E79E90">
            <wp:extent cx="6071832" cy="8010525"/>
            <wp:effectExtent l="0" t="0" r="5715" b="0"/>
            <wp:docPr id="555588611" name="Picture 555588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1" name="Pasaporta e indikatoreve 26062026 fin_Page_64.jpg"/>
                    <pic:cNvPicPr/>
                  </pic:nvPicPr>
                  <pic:blipFill rotWithShape="1">
                    <a:blip r:embed="rId79" cstate="print">
                      <a:extLst>
                        <a:ext uri="{28A0092B-C50C-407E-A947-70E740481C1C}">
                          <a14:useLocalDpi xmlns:a14="http://schemas.microsoft.com/office/drawing/2010/main" val="0"/>
                        </a:ext>
                      </a:extLst>
                    </a:blip>
                    <a:srcRect t="3935" b="2778"/>
                    <a:stretch/>
                  </pic:blipFill>
                  <pic:spPr bwMode="auto">
                    <a:xfrm>
                      <a:off x="0" y="0"/>
                      <a:ext cx="6073486" cy="801270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3B46578" wp14:editId="54FA0825">
            <wp:extent cx="6124575" cy="8070083"/>
            <wp:effectExtent l="0" t="0" r="0" b="7620"/>
            <wp:docPr id="555588612" name="Picture 555588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2" name="Pasaporta e indikatoreve 26062026 fin_Page_65.jpg"/>
                    <pic:cNvPicPr/>
                  </pic:nvPicPr>
                  <pic:blipFill rotWithShape="1">
                    <a:blip r:embed="rId80" cstate="print">
                      <a:extLst>
                        <a:ext uri="{28A0092B-C50C-407E-A947-70E740481C1C}">
                          <a14:useLocalDpi xmlns:a14="http://schemas.microsoft.com/office/drawing/2010/main" val="0"/>
                        </a:ext>
                      </a:extLst>
                    </a:blip>
                    <a:srcRect t="4167" b="2661"/>
                    <a:stretch/>
                  </pic:blipFill>
                  <pic:spPr bwMode="auto">
                    <a:xfrm>
                      <a:off x="0" y="0"/>
                      <a:ext cx="6126780" cy="8072988"/>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6DA349A2" wp14:editId="46CC1E19">
            <wp:extent cx="6042399" cy="7991475"/>
            <wp:effectExtent l="0" t="0" r="0" b="0"/>
            <wp:docPr id="555588613" name="Picture 555588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3" name="Pasaporta e indikatoreve 26062026 fin_Page_66.jpg"/>
                    <pic:cNvPicPr/>
                  </pic:nvPicPr>
                  <pic:blipFill rotWithShape="1">
                    <a:blip r:embed="rId81" cstate="print">
                      <a:extLst>
                        <a:ext uri="{28A0092B-C50C-407E-A947-70E740481C1C}">
                          <a14:useLocalDpi xmlns:a14="http://schemas.microsoft.com/office/drawing/2010/main" val="0"/>
                        </a:ext>
                      </a:extLst>
                    </a:blip>
                    <a:srcRect t="3589" b="2893"/>
                    <a:stretch/>
                  </pic:blipFill>
                  <pic:spPr bwMode="auto">
                    <a:xfrm>
                      <a:off x="0" y="0"/>
                      <a:ext cx="6043120" cy="7992429"/>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02CA4BF1" wp14:editId="6023DD75">
            <wp:extent cx="6086475" cy="8009918"/>
            <wp:effectExtent l="0" t="0" r="0" b="0"/>
            <wp:docPr id="555588614" name="Picture 555588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4" name="Pasaporta e indikatoreve 26062026 fin_Page_67.jpg"/>
                    <pic:cNvPicPr/>
                  </pic:nvPicPr>
                  <pic:blipFill rotWithShape="1">
                    <a:blip r:embed="rId82" cstate="print">
                      <a:extLst>
                        <a:ext uri="{28A0092B-C50C-407E-A947-70E740481C1C}">
                          <a14:useLocalDpi xmlns:a14="http://schemas.microsoft.com/office/drawing/2010/main" val="0"/>
                        </a:ext>
                      </a:extLst>
                    </a:blip>
                    <a:srcRect t="4398" b="2546"/>
                    <a:stretch/>
                  </pic:blipFill>
                  <pic:spPr bwMode="auto">
                    <a:xfrm>
                      <a:off x="0" y="0"/>
                      <a:ext cx="6087922" cy="8011822"/>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731AD1B8" wp14:editId="7AD9412B">
            <wp:extent cx="6049032" cy="8020050"/>
            <wp:effectExtent l="0" t="0" r="8890" b="0"/>
            <wp:docPr id="555588615" name="Picture 555588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5" name="Pasaporta e indikatoreve 26062026 fin_Page_68.jpg"/>
                    <pic:cNvPicPr/>
                  </pic:nvPicPr>
                  <pic:blipFill rotWithShape="1">
                    <a:blip r:embed="rId83" cstate="print">
                      <a:extLst>
                        <a:ext uri="{28A0092B-C50C-407E-A947-70E740481C1C}">
                          <a14:useLocalDpi xmlns:a14="http://schemas.microsoft.com/office/drawing/2010/main" val="0"/>
                        </a:ext>
                      </a:extLst>
                    </a:blip>
                    <a:srcRect t="3705" b="2546"/>
                    <a:stretch/>
                  </pic:blipFill>
                  <pic:spPr bwMode="auto">
                    <a:xfrm>
                      <a:off x="0" y="0"/>
                      <a:ext cx="6050017" cy="8021356"/>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30900312" wp14:editId="65EA69A6">
            <wp:extent cx="6172909" cy="8143875"/>
            <wp:effectExtent l="0" t="0" r="0" b="0"/>
            <wp:docPr id="555588616" name="Picture 55558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6" name="Pasaporta e indikatoreve 26062026 fin_Page_69.jpg"/>
                    <pic:cNvPicPr/>
                  </pic:nvPicPr>
                  <pic:blipFill rotWithShape="1">
                    <a:blip r:embed="rId84" cstate="print">
                      <a:extLst>
                        <a:ext uri="{28A0092B-C50C-407E-A947-70E740481C1C}">
                          <a14:useLocalDpi xmlns:a14="http://schemas.microsoft.com/office/drawing/2010/main" val="0"/>
                        </a:ext>
                      </a:extLst>
                    </a:blip>
                    <a:srcRect t="3821" b="2893"/>
                    <a:stretch/>
                  </pic:blipFill>
                  <pic:spPr bwMode="auto">
                    <a:xfrm>
                      <a:off x="0" y="0"/>
                      <a:ext cx="6174770" cy="814633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0FFD5087" wp14:editId="48CD30BF">
            <wp:extent cx="6254285" cy="8077200"/>
            <wp:effectExtent l="0" t="0" r="0" b="0"/>
            <wp:docPr id="555588617" name="Picture 55558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7" name="Pasaporta e indikatoreve 26062026 fin_Page_70.jpg"/>
                    <pic:cNvPicPr/>
                  </pic:nvPicPr>
                  <pic:blipFill rotWithShape="1">
                    <a:blip r:embed="rId85" cstate="print">
                      <a:extLst>
                        <a:ext uri="{28A0092B-C50C-407E-A947-70E740481C1C}">
                          <a14:useLocalDpi xmlns:a14="http://schemas.microsoft.com/office/drawing/2010/main" val="0"/>
                        </a:ext>
                      </a:extLst>
                    </a:blip>
                    <a:srcRect t="5555" b="3125"/>
                    <a:stretch/>
                  </pic:blipFill>
                  <pic:spPr bwMode="auto">
                    <a:xfrm>
                      <a:off x="0" y="0"/>
                      <a:ext cx="6255658" cy="8078973"/>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2B8196A5" wp14:editId="6B9C6F43">
            <wp:extent cx="6102469" cy="8001000"/>
            <wp:effectExtent l="0" t="0" r="0" b="0"/>
            <wp:docPr id="555588618" name="Picture 55558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8" name="Pasaporta e indikatoreve 26062026 fin_Page_71.jpg"/>
                    <pic:cNvPicPr/>
                  </pic:nvPicPr>
                  <pic:blipFill rotWithShape="1">
                    <a:blip r:embed="rId86" cstate="print">
                      <a:extLst>
                        <a:ext uri="{28A0092B-C50C-407E-A947-70E740481C1C}">
                          <a14:useLocalDpi xmlns:a14="http://schemas.microsoft.com/office/drawing/2010/main" val="0"/>
                        </a:ext>
                      </a:extLst>
                    </a:blip>
                    <a:srcRect l="-327" t="4050" r="327" b="3240"/>
                    <a:stretch/>
                  </pic:blipFill>
                  <pic:spPr bwMode="auto">
                    <a:xfrm>
                      <a:off x="0" y="0"/>
                      <a:ext cx="6103445" cy="800228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6FA1990" wp14:editId="79741C63">
            <wp:extent cx="5597160" cy="7934325"/>
            <wp:effectExtent l="0" t="0" r="3810" b="0"/>
            <wp:docPr id="555588619" name="Picture 555588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19" name="Pasaporta e indikatoreve 26062026 fin_Page_72.jpg"/>
                    <pic:cNvPicPr/>
                  </pic:nvPicPr>
                  <pic:blipFill rotWithShape="1">
                    <a:blip r:embed="rId87" cstate="print">
                      <a:extLst>
                        <a:ext uri="{28A0092B-C50C-407E-A947-70E740481C1C}">
                          <a14:useLocalDpi xmlns:a14="http://schemas.microsoft.com/office/drawing/2010/main" val="0"/>
                        </a:ext>
                      </a:extLst>
                    </a:blip>
                    <a:srcRect l="4092" t="5093" r="4572" b="3357"/>
                    <a:stretch/>
                  </pic:blipFill>
                  <pic:spPr bwMode="auto">
                    <a:xfrm>
                      <a:off x="0" y="0"/>
                      <a:ext cx="5599964" cy="7938300"/>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6F61FDCB" wp14:editId="4F30BDFC">
            <wp:extent cx="5458747" cy="8058150"/>
            <wp:effectExtent l="0" t="0" r="8890" b="0"/>
            <wp:docPr id="555588620" name="Picture 555588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20" name="Pasaporta e indikatoreve 26062026 fin_Page_73.jpg"/>
                    <pic:cNvPicPr/>
                  </pic:nvPicPr>
                  <pic:blipFill rotWithShape="1">
                    <a:blip r:embed="rId88" cstate="print">
                      <a:extLst>
                        <a:ext uri="{28A0092B-C50C-407E-A947-70E740481C1C}">
                          <a14:useLocalDpi xmlns:a14="http://schemas.microsoft.com/office/drawing/2010/main" val="0"/>
                        </a:ext>
                      </a:extLst>
                    </a:blip>
                    <a:srcRect l="4092" t="3935" r="6537" b="2778"/>
                    <a:stretch/>
                  </pic:blipFill>
                  <pic:spPr bwMode="auto">
                    <a:xfrm>
                      <a:off x="0" y="0"/>
                      <a:ext cx="5461942" cy="8062867"/>
                    </a:xfrm>
                    <a:prstGeom prst="rect">
                      <a:avLst/>
                    </a:prstGeom>
                    <a:ln>
                      <a:noFill/>
                    </a:ln>
                    <a:extLst>
                      <a:ext uri="{53640926-AAD7-44D8-BBD7-CCE9431645EC}">
                        <a14:shadowObscured xmlns:a14="http://schemas.microsoft.com/office/drawing/2010/main"/>
                      </a:ext>
                    </a:extLst>
                  </pic:spPr>
                </pic:pic>
              </a:graphicData>
            </a:graphic>
          </wp:inline>
        </w:drawing>
      </w:r>
      <w:r w:rsidRPr="002128A6">
        <w:rPr>
          <w:rFonts w:ascii="Garamond" w:hAnsi="Garamond" w:cstheme="majorBidi"/>
          <w:b/>
          <w:bCs/>
          <w:noProof/>
          <w14:ligatures w14:val="standardContextual"/>
        </w:rPr>
        <w:lastRenderedPageBreak/>
        <w:drawing>
          <wp:inline distT="0" distB="0" distL="0" distR="0" wp14:anchorId="15C03F2D" wp14:editId="5DE1AACA">
            <wp:extent cx="5655904" cy="8305800"/>
            <wp:effectExtent l="0" t="0" r="2540" b="0"/>
            <wp:docPr id="555588621" name="Picture 55558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8621" name="Pasaporta e indikatoreve 26062026 fin_Page_74.jpg"/>
                    <pic:cNvPicPr/>
                  </pic:nvPicPr>
                  <pic:blipFill rotWithShape="1">
                    <a:blip r:embed="rId89" cstate="print">
                      <a:extLst>
                        <a:ext uri="{28A0092B-C50C-407E-A947-70E740481C1C}">
                          <a14:useLocalDpi xmlns:a14="http://schemas.microsoft.com/office/drawing/2010/main" val="0"/>
                        </a:ext>
                      </a:extLst>
                    </a:blip>
                    <a:srcRect l="4256" t="5208" r="7355" b="3009"/>
                    <a:stretch/>
                  </pic:blipFill>
                  <pic:spPr bwMode="auto">
                    <a:xfrm>
                      <a:off x="0" y="0"/>
                      <a:ext cx="5658461" cy="8309555"/>
                    </a:xfrm>
                    <a:prstGeom prst="rect">
                      <a:avLst/>
                    </a:prstGeom>
                    <a:ln>
                      <a:noFill/>
                    </a:ln>
                    <a:extLst>
                      <a:ext uri="{53640926-AAD7-44D8-BBD7-CCE9431645EC}">
                        <a14:shadowObscured xmlns:a14="http://schemas.microsoft.com/office/drawing/2010/main"/>
                      </a:ext>
                    </a:extLst>
                  </pic:spPr>
                </pic:pic>
              </a:graphicData>
            </a:graphic>
          </wp:inline>
        </w:drawing>
      </w:r>
    </w:p>
    <w:tbl>
      <w:tblPr>
        <w:tblW w:w="10490" w:type="dxa"/>
        <w:tblInd w:w="-856" w:type="dxa"/>
        <w:tblLayout w:type="fixed"/>
        <w:tblLook w:val="04A0" w:firstRow="1" w:lastRow="0" w:firstColumn="1" w:lastColumn="0" w:noHBand="0" w:noVBand="1"/>
      </w:tblPr>
      <w:tblGrid>
        <w:gridCol w:w="1279"/>
        <w:gridCol w:w="706"/>
        <w:gridCol w:w="993"/>
        <w:gridCol w:w="1275"/>
        <w:gridCol w:w="1134"/>
        <w:gridCol w:w="1418"/>
        <w:gridCol w:w="850"/>
        <w:gridCol w:w="851"/>
        <w:gridCol w:w="850"/>
        <w:gridCol w:w="1134"/>
      </w:tblGrid>
      <w:tr w:rsidR="00F54824" w:rsidRPr="002128A6" w14:paraId="199B44E6" w14:textId="77777777" w:rsidTr="002651E7">
        <w:trPr>
          <w:trHeight w:val="20"/>
        </w:trPr>
        <w:tc>
          <w:tcPr>
            <w:tcW w:w="1279" w:type="dxa"/>
            <w:tcBorders>
              <w:top w:val="single" w:sz="4" w:space="0" w:color="9CA3AF"/>
              <w:left w:val="single" w:sz="4" w:space="0" w:color="9CA3AF"/>
              <w:bottom w:val="single" w:sz="4" w:space="0" w:color="9CA3AF"/>
              <w:right w:val="single" w:sz="4" w:space="0" w:color="9CA3AF"/>
            </w:tcBorders>
            <w:shd w:val="clear" w:color="003366" w:fill="1E3A8A"/>
            <w:vAlign w:val="center"/>
            <w:hideMark/>
          </w:tcPr>
          <w:p w14:paraId="003639FF" w14:textId="7C41E98E"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lastRenderedPageBreak/>
              <w:t xml:space="preserve">Qëllimi </w:t>
            </w:r>
            <w:r w:rsidR="002651E7" w:rsidRPr="002128A6">
              <w:rPr>
                <w:rFonts w:ascii="Garamond" w:eastAsia="Times New Roman" w:hAnsi="Garamond" w:cs="Arial"/>
                <w:b/>
                <w:bCs/>
                <w:kern w:val="0"/>
                <w:sz w:val="12"/>
                <w:szCs w:val="14"/>
                <w14:ligatures w14:val="none"/>
              </w:rPr>
              <w:t>politik</w:t>
            </w:r>
          </w:p>
        </w:tc>
        <w:tc>
          <w:tcPr>
            <w:tcW w:w="706" w:type="dxa"/>
            <w:tcBorders>
              <w:top w:val="single" w:sz="4" w:space="0" w:color="9CA3AF"/>
              <w:left w:val="nil"/>
              <w:bottom w:val="single" w:sz="4" w:space="0" w:color="9CA3AF"/>
              <w:right w:val="single" w:sz="4" w:space="0" w:color="9CA3AF"/>
            </w:tcBorders>
            <w:shd w:val="clear" w:color="003366" w:fill="1E3A8A"/>
            <w:vAlign w:val="center"/>
            <w:hideMark/>
          </w:tcPr>
          <w:p w14:paraId="3B5BA110" w14:textId="77777777"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NR. I OS</w:t>
            </w:r>
          </w:p>
        </w:tc>
        <w:tc>
          <w:tcPr>
            <w:tcW w:w="993" w:type="dxa"/>
            <w:tcBorders>
              <w:top w:val="single" w:sz="4" w:space="0" w:color="9CA3AF"/>
              <w:left w:val="nil"/>
              <w:bottom w:val="single" w:sz="4" w:space="0" w:color="9CA3AF"/>
              <w:right w:val="single" w:sz="4" w:space="0" w:color="9CA3AF"/>
            </w:tcBorders>
            <w:shd w:val="clear" w:color="003366" w:fill="1E3A8A"/>
            <w:vAlign w:val="center"/>
            <w:hideMark/>
          </w:tcPr>
          <w:p w14:paraId="453EA9D9" w14:textId="081F7BDF"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 xml:space="preserve">Objektivi </w:t>
            </w:r>
            <w:r w:rsidR="002651E7" w:rsidRPr="002128A6">
              <w:rPr>
                <w:rFonts w:ascii="Garamond" w:eastAsia="Times New Roman" w:hAnsi="Garamond" w:cs="Arial"/>
                <w:b/>
                <w:bCs/>
                <w:kern w:val="0"/>
                <w:sz w:val="12"/>
                <w:szCs w:val="14"/>
                <w14:ligatures w14:val="none"/>
              </w:rPr>
              <w:t>specifik</w:t>
            </w:r>
          </w:p>
        </w:tc>
        <w:tc>
          <w:tcPr>
            <w:tcW w:w="1275" w:type="dxa"/>
            <w:tcBorders>
              <w:top w:val="single" w:sz="4" w:space="0" w:color="9CA3AF"/>
              <w:left w:val="nil"/>
              <w:bottom w:val="single" w:sz="4" w:space="0" w:color="9CA3AF"/>
              <w:right w:val="single" w:sz="4" w:space="0" w:color="9CA3AF"/>
            </w:tcBorders>
            <w:shd w:val="clear" w:color="003366" w:fill="1E3A8A"/>
            <w:vAlign w:val="center"/>
            <w:hideMark/>
          </w:tcPr>
          <w:p w14:paraId="1006B331" w14:textId="77777777"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Rezultatet</w:t>
            </w:r>
          </w:p>
        </w:tc>
        <w:tc>
          <w:tcPr>
            <w:tcW w:w="1134" w:type="dxa"/>
            <w:tcBorders>
              <w:top w:val="single" w:sz="4" w:space="0" w:color="9CA3AF"/>
              <w:left w:val="nil"/>
              <w:bottom w:val="single" w:sz="4" w:space="0" w:color="9CA3AF"/>
              <w:right w:val="single" w:sz="4" w:space="0" w:color="9CA3AF"/>
            </w:tcBorders>
            <w:shd w:val="clear" w:color="003366" w:fill="1E3A8A"/>
            <w:vAlign w:val="center"/>
            <w:hideMark/>
          </w:tcPr>
          <w:p w14:paraId="6C150B9B" w14:textId="77777777"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Treguesi i rezultatit të OS</w:t>
            </w:r>
          </w:p>
        </w:tc>
        <w:tc>
          <w:tcPr>
            <w:tcW w:w="1418" w:type="dxa"/>
            <w:tcBorders>
              <w:top w:val="single" w:sz="4" w:space="0" w:color="9CA3AF"/>
              <w:left w:val="nil"/>
              <w:bottom w:val="single" w:sz="4" w:space="0" w:color="9CA3AF"/>
              <w:right w:val="single" w:sz="4" w:space="0" w:color="9CA3AF"/>
            </w:tcBorders>
            <w:shd w:val="clear" w:color="003366" w:fill="1E3A8A"/>
            <w:vAlign w:val="center"/>
            <w:hideMark/>
          </w:tcPr>
          <w:p w14:paraId="7E6B2AF9" w14:textId="72D34982"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Vlera/</w:t>
            </w:r>
            <w:r w:rsidR="002651E7" w:rsidRPr="002128A6">
              <w:rPr>
                <w:rFonts w:ascii="Garamond" w:eastAsia="Times New Roman" w:hAnsi="Garamond" w:cs="Arial"/>
                <w:b/>
                <w:bCs/>
                <w:kern w:val="0"/>
                <w:sz w:val="12"/>
                <w:szCs w:val="14"/>
                <w14:ligatures w14:val="none"/>
              </w:rPr>
              <w:t xml:space="preserve">vlerësimi bazë </w:t>
            </w:r>
            <w:r w:rsidRPr="002128A6">
              <w:rPr>
                <w:rFonts w:ascii="Garamond" w:eastAsia="Times New Roman" w:hAnsi="Garamond" w:cs="Arial"/>
                <w:b/>
                <w:bCs/>
                <w:kern w:val="0"/>
                <w:sz w:val="12"/>
                <w:szCs w:val="14"/>
                <w14:ligatures w14:val="none"/>
              </w:rPr>
              <w:t>(2024/2026)</w:t>
            </w:r>
          </w:p>
        </w:tc>
        <w:tc>
          <w:tcPr>
            <w:tcW w:w="850" w:type="dxa"/>
            <w:tcBorders>
              <w:top w:val="single" w:sz="4" w:space="0" w:color="9CA3AF"/>
              <w:left w:val="nil"/>
              <w:bottom w:val="single" w:sz="4" w:space="0" w:color="9CA3AF"/>
              <w:right w:val="single" w:sz="4" w:space="0" w:color="9CA3AF"/>
            </w:tcBorders>
            <w:shd w:val="clear" w:color="003366" w:fill="1E3A8A"/>
            <w:vAlign w:val="center"/>
            <w:hideMark/>
          </w:tcPr>
          <w:p w14:paraId="705C816C" w14:textId="4326A50C"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 xml:space="preserve">Objektivi i </w:t>
            </w:r>
            <w:r w:rsidR="002651E7" w:rsidRPr="002128A6">
              <w:rPr>
                <w:rFonts w:ascii="Garamond" w:eastAsia="Times New Roman" w:hAnsi="Garamond" w:cs="Arial"/>
                <w:b/>
                <w:bCs/>
                <w:kern w:val="0"/>
                <w:sz w:val="12"/>
                <w:szCs w:val="14"/>
                <w14:ligatures w14:val="none"/>
              </w:rPr>
              <w:t xml:space="preserve">fundit </w:t>
            </w:r>
            <w:r w:rsidRPr="002128A6">
              <w:rPr>
                <w:rFonts w:ascii="Garamond" w:eastAsia="Times New Roman" w:hAnsi="Garamond" w:cs="Arial"/>
                <w:b/>
                <w:bCs/>
                <w:kern w:val="0"/>
                <w:sz w:val="12"/>
                <w:szCs w:val="14"/>
                <w14:ligatures w14:val="none"/>
              </w:rPr>
              <w:t>të Strategjisë (2030)</w:t>
            </w:r>
          </w:p>
        </w:tc>
        <w:tc>
          <w:tcPr>
            <w:tcW w:w="851" w:type="dxa"/>
            <w:tcBorders>
              <w:top w:val="single" w:sz="4" w:space="0" w:color="9CA3AF"/>
              <w:left w:val="nil"/>
              <w:bottom w:val="single" w:sz="4" w:space="0" w:color="9CA3AF"/>
              <w:right w:val="single" w:sz="4" w:space="0" w:color="9CA3AF"/>
            </w:tcBorders>
            <w:shd w:val="clear" w:color="003366" w:fill="1E3A8A"/>
            <w:vAlign w:val="center"/>
            <w:hideMark/>
          </w:tcPr>
          <w:p w14:paraId="27DE0CE3" w14:textId="77777777"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Mjetet e verifikimit</w:t>
            </w:r>
          </w:p>
        </w:tc>
        <w:tc>
          <w:tcPr>
            <w:tcW w:w="850" w:type="dxa"/>
            <w:tcBorders>
              <w:top w:val="single" w:sz="4" w:space="0" w:color="9CA3AF"/>
              <w:left w:val="nil"/>
              <w:bottom w:val="single" w:sz="4" w:space="0" w:color="9CA3AF"/>
              <w:right w:val="single" w:sz="4" w:space="0" w:color="9CA3AF"/>
            </w:tcBorders>
            <w:shd w:val="clear" w:color="003366" w:fill="1E3A8A"/>
            <w:vAlign w:val="center"/>
            <w:hideMark/>
          </w:tcPr>
          <w:p w14:paraId="0CA135A9" w14:textId="77777777"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Frekuenca</w:t>
            </w:r>
          </w:p>
        </w:tc>
        <w:tc>
          <w:tcPr>
            <w:tcW w:w="1134" w:type="dxa"/>
            <w:tcBorders>
              <w:top w:val="single" w:sz="4" w:space="0" w:color="9CA3AF"/>
              <w:left w:val="nil"/>
              <w:bottom w:val="single" w:sz="4" w:space="0" w:color="9CA3AF"/>
              <w:right w:val="single" w:sz="4" w:space="0" w:color="9CA3AF"/>
            </w:tcBorders>
            <w:shd w:val="clear" w:color="003366" w:fill="1E3A8A"/>
            <w:vAlign w:val="center"/>
            <w:hideMark/>
          </w:tcPr>
          <w:p w14:paraId="1F945C07" w14:textId="77777777" w:rsidR="0030380C" w:rsidRPr="002128A6" w:rsidRDefault="0030380C" w:rsidP="002651E7">
            <w:pPr>
              <w:spacing w:after="0" w:line="240" w:lineRule="auto"/>
              <w:jc w:val="center"/>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Institucioni/et kryesorë</w:t>
            </w:r>
          </w:p>
        </w:tc>
      </w:tr>
      <w:tr w:rsidR="00F54824" w:rsidRPr="002128A6" w14:paraId="70AB4720"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74AEE28D" w14:textId="6C1F7CC8"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PARANDALIMI I KRIMIT TË ORGANIZUAR DHE KRIMEVE TË RËNDA</w:t>
            </w:r>
            <w:r w:rsidR="00F54824" w:rsidRPr="002128A6">
              <w:rPr>
                <w:rFonts w:ascii="Garamond" w:eastAsia="Times New Roman" w:hAnsi="Garamond" w:cs="Arial"/>
                <w:kern w:val="0"/>
                <w:sz w:val="12"/>
                <w:szCs w:val="14"/>
                <w14:ligatures w14:val="none"/>
              </w:rPr>
              <w:t xml:space="preserve"> </w:t>
            </w:r>
          </w:p>
        </w:tc>
        <w:tc>
          <w:tcPr>
            <w:tcW w:w="706" w:type="dxa"/>
            <w:tcBorders>
              <w:top w:val="nil"/>
              <w:left w:val="nil"/>
              <w:bottom w:val="single" w:sz="4" w:space="0" w:color="9CA3AF"/>
              <w:right w:val="single" w:sz="4" w:space="0" w:color="9CA3AF"/>
            </w:tcBorders>
            <w:shd w:val="clear" w:color="auto" w:fill="auto"/>
            <w:hideMark/>
          </w:tcPr>
          <w:p w14:paraId="7436217F"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1.1</w:t>
            </w:r>
          </w:p>
        </w:tc>
        <w:tc>
          <w:tcPr>
            <w:tcW w:w="993" w:type="dxa"/>
            <w:tcBorders>
              <w:top w:val="nil"/>
              <w:left w:val="nil"/>
              <w:bottom w:val="single" w:sz="4" w:space="0" w:color="9CA3AF"/>
              <w:right w:val="single" w:sz="4" w:space="0" w:color="9CA3AF"/>
            </w:tcBorders>
            <w:shd w:val="clear" w:color="auto" w:fill="auto"/>
            <w:hideMark/>
          </w:tcPr>
          <w:p w14:paraId="5BB0031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Rritja e qëndrueshmërisë publike dhe institucionale ndaj krimit të organizuar përmes përmirësimit të ndërgjegjësimit, njohurive dhe angazhimit proaktiv</w:t>
            </w:r>
          </w:p>
        </w:tc>
        <w:tc>
          <w:tcPr>
            <w:tcW w:w="1275" w:type="dxa"/>
            <w:tcBorders>
              <w:top w:val="nil"/>
              <w:left w:val="nil"/>
              <w:bottom w:val="single" w:sz="4" w:space="0" w:color="9CA3AF"/>
              <w:right w:val="single" w:sz="4" w:space="0" w:color="9CA3AF"/>
            </w:tcBorders>
            <w:shd w:val="clear" w:color="auto" w:fill="auto"/>
            <w:hideMark/>
          </w:tcPr>
          <w:p w14:paraId="0A73703C" w14:textId="49D09724"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[1.1.1] Rritja e njohurive për rreziqet e krimit të organizuar midis grupeve të synuara. [1.1.2] Përmirësim i matshëm në qëndrimet publike ndaj denoncimit të aktivitetit kriminal. [1.1.3] Forcim i angazhimit të shoqërisë civile dhe akademikëve në politikën e parandalimit të krimit.</w:t>
            </w:r>
            <w:r w:rsidR="00F54824" w:rsidRPr="002128A6">
              <w:rPr>
                <w:rFonts w:ascii="Garamond" w:eastAsia="Times New Roman" w:hAnsi="Garamond" w:cs="Arial"/>
                <w:kern w:val="0"/>
                <w:sz w:val="12"/>
                <w:szCs w:val="14"/>
                <w14:ligatures w14:val="none"/>
              </w:rPr>
              <w:t xml:space="preserve"> </w:t>
            </w:r>
          </w:p>
        </w:tc>
        <w:tc>
          <w:tcPr>
            <w:tcW w:w="1134" w:type="dxa"/>
            <w:tcBorders>
              <w:top w:val="nil"/>
              <w:left w:val="nil"/>
              <w:bottom w:val="single" w:sz="4" w:space="0" w:color="9CA3AF"/>
              <w:right w:val="single" w:sz="4" w:space="0" w:color="9CA3AF"/>
            </w:tcBorders>
            <w:shd w:val="clear" w:color="auto" w:fill="auto"/>
            <w:hideMark/>
          </w:tcPr>
          <w:p w14:paraId="09A57056"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Përqindja e grupeve të synuara të anketuara (të rinj dhe banorë të lagjeve të identifikuara me rrezik të lartë) që raportojnë njohuri të përmirësuara për rreziqet e krimit të organizuar</w:t>
            </w:r>
          </w:p>
        </w:tc>
        <w:tc>
          <w:tcPr>
            <w:tcW w:w="1418" w:type="dxa"/>
            <w:tcBorders>
              <w:top w:val="nil"/>
              <w:left w:val="nil"/>
              <w:bottom w:val="single" w:sz="4" w:space="0" w:color="9CA3AF"/>
              <w:right w:val="single" w:sz="4" w:space="0" w:color="9CA3AF"/>
            </w:tcBorders>
            <w:shd w:val="clear" w:color="auto" w:fill="auto"/>
            <w:hideMark/>
          </w:tcPr>
          <w:p w14:paraId="2AD3521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Do të përcaktohet në vitin 2027 nëpërmjet një ankete familjare përfaqësuese në nivel kombëtar të kryer me INSTAT-in.</w:t>
            </w:r>
          </w:p>
        </w:tc>
        <w:tc>
          <w:tcPr>
            <w:tcW w:w="850" w:type="dxa"/>
            <w:tcBorders>
              <w:top w:val="nil"/>
              <w:left w:val="nil"/>
              <w:bottom w:val="single" w:sz="4" w:space="0" w:color="9CA3AF"/>
              <w:right w:val="single" w:sz="4" w:space="0" w:color="9CA3AF"/>
            </w:tcBorders>
            <w:shd w:val="clear" w:color="auto" w:fill="auto"/>
            <w:hideMark/>
          </w:tcPr>
          <w:p w14:paraId="0801BED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 +30% përmirësim krahasuar me vlerësimin bazë deri në vitin 2030.</w:t>
            </w:r>
          </w:p>
        </w:tc>
        <w:tc>
          <w:tcPr>
            <w:tcW w:w="851" w:type="dxa"/>
            <w:tcBorders>
              <w:top w:val="nil"/>
              <w:left w:val="nil"/>
              <w:bottom w:val="single" w:sz="4" w:space="0" w:color="9CA3AF"/>
              <w:right w:val="single" w:sz="4" w:space="0" w:color="9CA3AF"/>
            </w:tcBorders>
            <w:shd w:val="clear" w:color="auto" w:fill="auto"/>
            <w:hideMark/>
          </w:tcPr>
          <w:p w14:paraId="4603CAB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1A84FC04"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7AC4F300"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Policia e Shtetit; INSTAT; Ministria e Punëve të Brendshme</w:t>
            </w:r>
          </w:p>
        </w:tc>
      </w:tr>
      <w:tr w:rsidR="00F54824" w:rsidRPr="002128A6" w14:paraId="7D0B39C1"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75D487D7" w14:textId="79EC2633"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PARANDALIMI I KRIMIT TË ORGANIZUAR DHE KRIMEVE TË RËNDA</w:t>
            </w:r>
            <w:r w:rsidR="00F54824" w:rsidRPr="002128A6">
              <w:rPr>
                <w:rFonts w:ascii="Garamond" w:eastAsia="Times New Roman" w:hAnsi="Garamond" w:cs="Arial"/>
                <w:kern w:val="0"/>
                <w:sz w:val="12"/>
                <w:szCs w:val="14"/>
                <w14:ligatures w14:val="none"/>
              </w:rPr>
              <w:t xml:space="preserve"> </w:t>
            </w:r>
          </w:p>
        </w:tc>
        <w:tc>
          <w:tcPr>
            <w:tcW w:w="706" w:type="dxa"/>
            <w:tcBorders>
              <w:top w:val="nil"/>
              <w:left w:val="nil"/>
              <w:bottom w:val="single" w:sz="4" w:space="0" w:color="9CA3AF"/>
              <w:right w:val="single" w:sz="4" w:space="0" w:color="9CA3AF"/>
            </w:tcBorders>
            <w:shd w:val="clear" w:color="auto" w:fill="auto"/>
            <w:hideMark/>
          </w:tcPr>
          <w:p w14:paraId="756C2EA0"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1.2</w:t>
            </w:r>
          </w:p>
        </w:tc>
        <w:tc>
          <w:tcPr>
            <w:tcW w:w="993" w:type="dxa"/>
            <w:tcBorders>
              <w:top w:val="nil"/>
              <w:left w:val="nil"/>
              <w:bottom w:val="single" w:sz="4" w:space="0" w:color="9CA3AF"/>
              <w:right w:val="single" w:sz="4" w:space="0" w:color="9CA3AF"/>
            </w:tcBorders>
            <w:shd w:val="clear" w:color="auto" w:fill="auto"/>
            <w:hideMark/>
          </w:tcPr>
          <w:p w14:paraId="5245A324"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Reduktimi i cenueshmërisë së komuniteteve me rrezik duke përmirësuar aksesin në mekanizmat e mbështetjes sociale, ekonomike dhe të riintegrimit</w:t>
            </w:r>
          </w:p>
        </w:tc>
        <w:tc>
          <w:tcPr>
            <w:tcW w:w="1275" w:type="dxa"/>
            <w:tcBorders>
              <w:top w:val="nil"/>
              <w:left w:val="nil"/>
              <w:bottom w:val="single" w:sz="4" w:space="0" w:color="9CA3AF"/>
              <w:right w:val="single" w:sz="4" w:space="0" w:color="9CA3AF"/>
            </w:tcBorders>
            <w:shd w:val="clear" w:color="auto" w:fill="auto"/>
            <w:hideMark/>
          </w:tcPr>
          <w:p w14:paraId="54906F06"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[1.2.1] Reduktimi në pikat e nxehta të identifikuara të rekrutimit të krimit të organizuar në zonat e synuara. [1.2.2] Ulja e normës së recidivizmit ndër pjesëmarrësit në program. [1.2.3] Forcimi i rezistencës komunitare dhe reduktimi i kushteve sociale që mundësojnë krimin e organizuar. </w:t>
            </w:r>
          </w:p>
        </w:tc>
        <w:tc>
          <w:tcPr>
            <w:tcW w:w="1134" w:type="dxa"/>
            <w:tcBorders>
              <w:top w:val="nil"/>
              <w:left w:val="nil"/>
              <w:bottom w:val="single" w:sz="4" w:space="0" w:color="9CA3AF"/>
              <w:right w:val="single" w:sz="4" w:space="0" w:color="9CA3AF"/>
            </w:tcBorders>
            <w:shd w:val="clear" w:color="auto" w:fill="auto"/>
            <w:hideMark/>
          </w:tcPr>
          <w:p w14:paraId="440015F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Ulja e normës së rasteve të regjistruara të krimit të rëndë dhe të organizuar për 10,000 banorë në njësitë e vetëqeverisjes vendore (NJVV) të identifikuara si me rrezik të lartë.</w:t>
            </w:r>
          </w:p>
        </w:tc>
        <w:tc>
          <w:tcPr>
            <w:tcW w:w="1418" w:type="dxa"/>
            <w:tcBorders>
              <w:top w:val="nil"/>
              <w:left w:val="nil"/>
              <w:bottom w:val="single" w:sz="4" w:space="0" w:color="9CA3AF"/>
              <w:right w:val="single" w:sz="4" w:space="0" w:color="9CA3AF"/>
            </w:tcBorders>
            <w:shd w:val="clear" w:color="auto" w:fill="auto"/>
            <w:hideMark/>
          </w:tcPr>
          <w:p w14:paraId="5256937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2025 - 9567 çështje</w:t>
            </w:r>
            <w:r w:rsidRPr="002128A6">
              <w:rPr>
                <w:rFonts w:ascii="Garamond" w:eastAsia="Times New Roman" w:hAnsi="Garamond" w:cs="Arial"/>
                <w:kern w:val="0"/>
                <w:sz w:val="12"/>
                <w:szCs w:val="14"/>
                <w14:ligatures w14:val="none"/>
              </w:rPr>
              <w:br/>
            </w:r>
            <w:r w:rsidRPr="002128A6">
              <w:rPr>
                <w:rFonts w:ascii="Garamond" w:eastAsia="Times New Roman" w:hAnsi="Garamond" w:cs="Arial"/>
                <w:kern w:val="0"/>
                <w:sz w:val="12"/>
                <w:szCs w:val="14"/>
                <w14:ligatures w14:val="none"/>
              </w:rPr>
              <w:br/>
              <w:t>40 çështje për 10'000 banorë</w:t>
            </w:r>
          </w:p>
        </w:tc>
        <w:tc>
          <w:tcPr>
            <w:tcW w:w="850" w:type="dxa"/>
            <w:tcBorders>
              <w:top w:val="nil"/>
              <w:left w:val="nil"/>
              <w:bottom w:val="single" w:sz="4" w:space="0" w:color="9CA3AF"/>
              <w:right w:val="single" w:sz="4" w:space="0" w:color="9CA3AF"/>
            </w:tcBorders>
            <w:shd w:val="clear" w:color="auto" w:fill="auto"/>
            <w:hideMark/>
          </w:tcPr>
          <w:p w14:paraId="5E634E8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 -15% krahasuar me vlerësimin bazë deri në vitin 2030.</w:t>
            </w:r>
          </w:p>
        </w:tc>
        <w:tc>
          <w:tcPr>
            <w:tcW w:w="851" w:type="dxa"/>
            <w:tcBorders>
              <w:top w:val="nil"/>
              <w:left w:val="nil"/>
              <w:bottom w:val="single" w:sz="4" w:space="0" w:color="9CA3AF"/>
              <w:right w:val="single" w:sz="4" w:space="0" w:color="9CA3AF"/>
            </w:tcBorders>
            <w:shd w:val="clear" w:color="auto" w:fill="auto"/>
            <w:hideMark/>
          </w:tcPr>
          <w:p w14:paraId="22C8BA9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09ABA82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195F6DF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Policia e Shtetit; INSTAT; Ministria e Punëve të Brendshme</w:t>
            </w:r>
          </w:p>
        </w:tc>
      </w:tr>
      <w:tr w:rsidR="00F54824" w:rsidRPr="002128A6" w14:paraId="6D613069"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32B39FD1" w14:textId="0A0911C4"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PARANDALIMI I KRIMIT TË ORGANIZUAR DHE KRIMEVE TË RËNDA</w:t>
            </w:r>
            <w:r w:rsidR="00F54824" w:rsidRPr="002128A6">
              <w:rPr>
                <w:rFonts w:ascii="Garamond" w:eastAsia="Times New Roman" w:hAnsi="Garamond" w:cs="Arial"/>
                <w:kern w:val="0"/>
                <w:sz w:val="12"/>
                <w:szCs w:val="14"/>
                <w14:ligatures w14:val="none"/>
              </w:rPr>
              <w:t xml:space="preserve"> </w:t>
            </w:r>
          </w:p>
        </w:tc>
        <w:tc>
          <w:tcPr>
            <w:tcW w:w="706" w:type="dxa"/>
            <w:tcBorders>
              <w:top w:val="nil"/>
              <w:left w:val="nil"/>
              <w:bottom w:val="single" w:sz="4" w:space="0" w:color="9CA3AF"/>
              <w:right w:val="single" w:sz="4" w:space="0" w:color="9CA3AF"/>
            </w:tcBorders>
            <w:shd w:val="clear" w:color="auto" w:fill="auto"/>
            <w:hideMark/>
          </w:tcPr>
          <w:p w14:paraId="3006F4C3"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1.3</w:t>
            </w:r>
          </w:p>
        </w:tc>
        <w:tc>
          <w:tcPr>
            <w:tcW w:w="993" w:type="dxa"/>
            <w:tcBorders>
              <w:top w:val="nil"/>
              <w:left w:val="nil"/>
              <w:bottom w:val="single" w:sz="4" w:space="0" w:color="9CA3AF"/>
              <w:right w:val="single" w:sz="4" w:space="0" w:color="9CA3AF"/>
            </w:tcBorders>
            <w:shd w:val="clear" w:color="auto" w:fill="auto"/>
            <w:hideMark/>
          </w:tcPr>
          <w:p w14:paraId="15E89C88"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Forcimi i sigurisë dhe i mbrojtjes së individët me rrezik, përfshirë dëshmitarët, bashkëpunëtorët e drejtësisë, përmes standardeve të mbrojtjes të harmonizuara me ato të BE-së</w:t>
            </w:r>
          </w:p>
        </w:tc>
        <w:tc>
          <w:tcPr>
            <w:tcW w:w="1275" w:type="dxa"/>
            <w:tcBorders>
              <w:top w:val="nil"/>
              <w:left w:val="nil"/>
              <w:bottom w:val="single" w:sz="4" w:space="0" w:color="9CA3AF"/>
              <w:right w:val="single" w:sz="4" w:space="0" w:color="9CA3AF"/>
            </w:tcBorders>
            <w:shd w:val="clear" w:color="auto" w:fill="auto"/>
            <w:hideMark/>
          </w:tcPr>
          <w:p w14:paraId="17C9D005" w14:textId="2E1FC6CF"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[1.3.1] Rritja e gatishmërisë së dëshmitarëve dhe bashkëpunëtorëve për të dëshmuar, e matur me normat e bashkëpunimit në procedimet e krimit të organizuar. [1.3.2] Siguria fizike e qëndrueshme e personave të mbrojtur</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me zero humbje për shkak të dështimit të sigurisë.</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 xml:space="preserve">[1.3.3]Integrimi i suksesshëm pas programit i pjesëmarrësve në jetën normale. </w:t>
            </w:r>
          </w:p>
        </w:tc>
        <w:tc>
          <w:tcPr>
            <w:tcW w:w="1134" w:type="dxa"/>
            <w:tcBorders>
              <w:top w:val="nil"/>
              <w:left w:val="nil"/>
              <w:bottom w:val="single" w:sz="4" w:space="0" w:color="9CA3AF"/>
              <w:right w:val="single" w:sz="4" w:space="0" w:color="9CA3AF"/>
            </w:tcBorders>
            <w:shd w:val="clear" w:color="auto" w:fill="auto"/>
            <w:hideMark/>
          </w:tcPr>
          <w:p w14:paraId="343E15A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Shkalla e suksesit të mbrojtjes së individëve me risk, përfshirë dëshmitarët dhe bashkëpunëtorët e drejtësisë.</w:t>
            </w:r>
          </w:p>
        </w:tc>
        <w:tc>
          <w:tcPr>
            <w:tcW w:w="1418" w:type="dxa"/>
            <w:tcBorders>
              <w:top w:val="nil"/>
              <w:left w:val="nil"/>
              <w:bottom w:val="single" w:sz="4" w:space="0" w:color="9CA3AF"/>
              <w:right w:val="single" w:sz="4" w:space="0" w:color="9CA3AF"/>
            </w:tcBorders>
            <w:shd w:val="clear" w:color="auto" w:fill="auto"/>
            <w:hideMark/>
          </w:tcPr>
          <w:p w14:paraId="4CD1663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Vlerësohet 93% shkalla e mbrojtjes së suksesshme.</w:t>
            </w:r>
          </w:p>
        </w:tc>
        <w:tc>
          <w:tcPr>
            <w:tcW w:w="850" w:type="dxa"/>
            <w:tcBorders>
              <w:top w:val="nil"/>
              <w:left w:val="nil"/>
              <w:bottom w:val="single" w:sz="4" w:space="0" w:color="9CA3AF"/>
              <w:right w:val="single" w:sz="4" w:space="0" w:color="9CA3AF"/>
            </w:tcBorders>
            <w:shd w:val="clear" w:color="auto" w:fill="auto"/>
            <w:hideMark/>
          </w:tcPr>
          <w:p w14:paraId="184BD8FA" w14:textId="03DBF449"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96%</w:t>
            </w:r>
            <w:r w:rsidR="002651E7"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shkalla e mbrojtjes së suksesshme deri në 2030.</w:t>
            </w:r>
          </w:p>
        </w:tc>
        <w:tc>
          <w:tcPr>
            <w:tcW w:w="851" w:type="dxa"/>
            <w:tcBorders>
              <w:top w:val="nil"/>
              <w:left w:val="nil"/>
              <w:bottom w:val="single" w:sz="4" w:space="0" w:color="9CA3AF"/>
              <w:right w:val="single" w:sz="4" w:space="0" w:color="9CA3AF"/>
            </w:tcBorders>
            <w:shd w:val="clear" w:color="auto" w:fill="auto"/>
            <w:hideMark/>
          </w:tcPr>
          <w:p w14:paraId="30CFA5BE"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2916495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57081D84" w14:textId="2841EADD"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Policia e Shtetit- Drejtoria e Mbrojtjes së Dëshmitarëve dhe të Bashkëpunëtor</w:t>
            </w:r>
            <w:r w:rsidR="002651E7"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ve të Drejtësisë </w:t>
            </w:r>
          </w:p>
        </w:tc>
      </w:tr>
      <w:tr w:rsidR="00F54824" w:rsidRPr="002128A6" w14:paraId="5C382CDA"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448B15B8" w14:textId="0CB6E8E3"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PARANDALIMI I KRIMIT TË ORGANIZUAR DHE KRIMEVE TË RËNDA</w:t>
            </w:r>
            <w:r w:rsidR="00F54824" w:rsidRPr="002128A6">
              <w:rPr>
                <w:rFonts w:ascii="Garamond" w:eastAsia="Times New Roman" w:hAnsi="Garamond" w:cs="Arial"/>
                <w:kern w:val="0"/>
                <w:sz w:val="12"/>
                <w:szCs w:val="14"/>
                <w14:ligatures w14:val="none"/>
              </w:rPr>
              <w:t xml:space="preserve"> </w:t>
            </w:r>
          </w:p>
        </w:tc>
        <w:tc>
          <w:tcPr>
            <w:tcW w:w="706" w:type="dxa"/>
            <w:tcBorders>
              <w:top w:val="nil"/>
              <w:left w:val="nil"/>
              <w:bottom w:val="single" w:sz="4" w:space="0" w:color="9CA3AF"/>
              <w:right w:val="single" w:sz="4" w:space="0" w:color="9CA3AF"/>
            </w:tcBorders>
            <w:shd w:val="clear" w:color="auto" w:fill="auto"/>
            <w:hideMark/>
          </w:tcPr>
          <w:p w14:paraId="26CD0B23"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1.4</w:t>
            </w:r>
          </w:p>
        </w:tc>
        <w:tc>
          <w:tcPr>
            <w:tcW w:w="993" w:type="dxa"/>
            <w:tcBorders>
              <w:top w:val="nil"/>
              <w:left w:val="nil"/>
              <w:bottom w:val="single" w:sz="4" w:space="0" w:color="9CA3AF"/>
              <w:right w:val="single" w:sz="4" w:space="0" w:color="9CA3AF"/>
            </w:tcBorders>
            <w:shd w:val="clear" w:color="auto" w:fill="auto"/>
            <w:hideMark/>
          </w:tcPr>
          <w:p w14:paraId="233108A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Rritja e profesionalizmit, kapacitetit teknologjik dhe efikasitetit operacional të institucioneve ligjzbatuese dhe të drejtësisë</w:t>
            </w:r>
          </w:p>
        </w:tc>
        <w:tc>
          <w:tcPr>
            <w:tcW w:w="1275" w:type="dxa"/>
            <w:tcBorders>
              <w:top w:val="nil"/>
              <w:left w:val="nil"/>
              <w:bottom w:val="single" w:sz="4" w:space="0" w:color="9CA3AF"/>
              <w:right w:val="single" w:sz="4" w:space="0" w:color="9CA3AF"/>
            </w:tcBorders>
            <w:shd w:val="clear" w:color="auto" w:fill="auto"/>
            <w:hideMark/>
          </w:tcPr>
          <w:p w14:paraId="2B256DFF"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[1.4.1] Rritje e matshme në zbulimin dhe hetimin e çështjeve komplekse të krimit të organizuar. [1.4.2]Përqindje më e lartë e hetimeve që zbatojnë teknikat e hetimit paralel financiar. [1.4.3] Cilësi e përmirësuar e të dhënave të menaxhimit të çështjeve që mundëson alokim të burimeve bazuar në evidenca. [1.4.4] Sigurimi i pavarësisë operacionale të BKH. </w:t>
            </w:r>
          </w:p>
        </w:tc>
        <w:tc>
          <w:tcPr>
            <w:tcW w:w="1134" w:type="dxa"/>
            <w:tcBorders>
              <w:top w:val="nil"/>
              <w:left w:val="nil"/>
              <w:bottom w:val="single" w:sz="4" w:space="0" w:color="9CA3AF"/>
              <w:right w:val="single" w:sz="4" w:space="0" w:color="9CA3AF"/>
            </w:tcBorders>
            <w:shd w:val="clear" w:color="auto" w:fill="auto"/>
            <w:hideMark/>
          </w:tcPr>
          <w:p w14:paraId="55F9911F"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Përqindja e çështjeve të krimit të organizuar të dërguara për gjykim që përfshijnë hetim financiar paralel.</w:t>
            </w:r>
          </w:p>
        </w:tc>
        <w:tc>
          <w:tcPr>
            <w:tcW w:w="1418" w:type="dxa"/>
            <w:tcBorders>
              <w:top w:val="nil"/>
              <w:left w:val="nil"/>
              <w:bottom w:val="single" w:sz="4" w:space="0" w:color="9CA3AF"/>
              <w:right w:val="single" w:sz="4" w:space="0" w:color="9CA3AF"/>
            </w:tcBorders>
            <w:shd w:val="clear" w:color="auto" w:fill="auto"/>
            <w:hideMark/>
          </w:tcPr>
          <w:p w14:paraId="6241490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do të konfirmohet në vitin 2026.</w:t>
            </w:r>
          </w:p>
        </w:tc>
        <w:tc>
          <w:tcPr>
            <w:tcW w:w="850" w:type="dxa"/>
            <w:tcBorders>
              <w:top w:val="nil"/>
              <w:left w:val="nil"/>
              <w:bottom w:val="single" w:sz="4" w:space="0" w:color="9CA3AF"/>
              <w:right w:val="single" w:sz="4" w:space="0" w:color="9CA3AF"/>
            </w:tcBorders>
            <w:shd w:val="clear" w:color="auto" w:fill="auto"/>
            <w:hideMark/>
          </w:tcPr>
          <w:p w14:paraId="7D9B413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do të përcaktohet përgjatë viti 2026.</w:t>
            </w:r>
          </w:p>
        </w:tc>
        <w:tc>
          <w:tcPr>
            <w:tcW w:w="851" w:type="dxa"/>
            <w:tcBorders>
              <w:top w:val="nil"/>
              <w:left w:val="nil"/>
              <w:bottom w:val="single" w:sz="4" w:space="0" w:color="9CA3AF"/>
              <w:right w:val="single" w:sz="4" w:space="0" w:color="9CA3AF"/>
            </w:tcBorders>
            <w:shd w:val="clear" w:color="auto" w:fill="auto"/>
            <w:hideMark/>
          </w:tcPr>
          <w:p w14:paraId="4821091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36665674"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0F0F623B"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Policia e Shtetit; SPAK</w:t>
            </w:r>
          </w:p>
        </w:tc>
      </w:tr>
      <w:tr w:rsidR="00F54824" w:rsidRPr="002128A6" w14:paraId="5333A261"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721D829B" w14:textId="6B91CC9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PARANDALIMI I KRIMIT TË ORGANIZUAR DHE KRIMEVE TË RËNDA</w:t>
            </w:r>
            <w:r w:rsidR="00F54824" w:rsidRPr="002128A6">
              <w:rPr>
                <w:rFonts w:ascii="Garamond" w:eastAsia="Times New Roman" w:hAnsi="Garamond" w:cs="Arial"/>
                <w:kern w:val="0"/>
                <w:sz w:val="12"/>
                <w:szCs w:val="14"/>
                <w14:ligatures w14:val="none"/>
              </w:rPr>
              <w:t xml:space="preserve"> </w:t>
            </w:r>
          </w:p>
        </w:tc>
        <w:tc>
          <w:tcPr>
            <w:tcW w:w="706" w:type="dxa"/>
            <w:tcBorders>
              <w:top w:val="nil"/>
              <w:left w:val="nil"/>
              <w:bottom w:val="single" w:sz="4" w:space="0" w:color="9CA3AF"/>
              <w:right w:val="single" w:sz="4" w:space="0" w:color="9CA3AF"/>
            </w:tcBorders>
            <w:shd w:val="clear" w:color="auto" w:fill="auto"/>
            <w:hideMark/>
          </w:tcPr>
          <w:p w14:paraId="71286539"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1.5</w:t>
            </w:r>
          </w:p>
        </w:tc>
        <w:tc>
          <w:tcPr>
            <w:tcW w:w="993" w:type="dxa"/>
            <w:tcBorders>
              <w:top w:val="nil"/>
              <w:left w:val="nil"/>
              <w:bottom w:val="single" w:sz="4" w:space="0" w:color="9CA3AF"/>
              <w:right w:val="single" w:sz="4" w:space="0" w:color="9CA3AF"/>
            </w:tcBorders>
            <w:shd w:val="clear" w:color="auto" w:fill="auto"/>
            <w:hideMark/>
          </w:tcPr>
          <w:p w14:paraId="35C031B8"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Reduktimi i stimujve dhe mundësive financiare për krimin e organizuar nëpërmjet forcimit të kontrolleve ekonomike dhe ndërprerjes së burimeve të financimit</w:t>
            </w:r>
          </w:p>
        </w:tc>
        <w:tc>
          <w:tcPr>
            <w:tcW w:w="1275" w:type="dxa"/>
            <w:tcBorders>
              <w:top w:val="nil"/>
              <w:left w:val="nil"/>
              <w:bottom w:val="single" w:sz="4" w:space="0" w:color="9CA3AF"/>
              <w:right w:val="single" w:sz="4" w:space="0" w:color="9CA3AF"/>
            </w:tcBorders>
            <w:shd w:val="clear" w:color="auto" w:fill="auto"/>
            <w:hideMark/>
          </w:tcPr>
          <w:p w14:paraId="29403CFB"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[1.5.1] Rritje substanciale në vlerë vjetore të aseteve të sekuestruara dhe të konfiskuara. [1.5.2] Hetimi paralel financiar bëhet standard operacional për të gjitha veprat penale që sigurojnë të ardhura të jashtëligjshme. [1.5.3] Monitorimi i bazuar në risk i sektorëve me risk të lartë institucionalizohet dhe mbahet i qëndrueshëm. </w:t>
            </w:r>
          </w:p>
        </w:tc>
        <w:tc>
          <w:tcPr>
            <w:tcW w:w="1134" w:type="dxa"/>
            <w:tcBorders>
              <w:top w:val="nil"/>
              <w:left w:val="nil"/>
              <w:bottom w:val="single" w:sz="4" w:space="0" w:color="9CA3AF"/>
              <w:right w:val="single" w:sz="4" w:space="0" w:color="9CA3AF"/>
            </w:tcBorders>
            <w:shd w:val="clear" w:color="auto" w:fill="auto"/>
            <w:hideMark/>
          </w:tcPr>
          <w:p w14:paraId="20703A8F"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Norma e aseteve të konfiskuara kundrejt vlerës së pasurive të sekuestruara në procedimet penale.</w:t>
            </w:r>
          </w:p>
        </w:tc>
        <w:tc>
          <w:tcPr>
            <w:tcW w:w="1418" w:type="dxa"/>
            <w:tcBorders>
              <w:top w:val="nil"/>
              <w:left w:val="nil"/>
              <w:bottom w:val="single" w:sz="4" w:space="0" w:color="9CA3AF"/>
              <w:right w:val="single" w:sz="4" w:space="0" w:color="9CA3AF"/>
            </w:tcBorders>
            <w:shd w:val="clear" w:color="auto" w:fill="auto"/>
            <w:hideMark/>
          </w:tcPr>
          <w:p w14:paraId="0C833D78"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Vlera bazë e 2025 (3%)pasuri të sekuestruara 5,885,833,434 ALL; konfiskuara 180,670,028.80 ALL; </w:t>
            </w:r>
          </w:p>
        </w:tc>
        <w:tc>
          <w:tcPr>
            <w:tcW w:w="850" w:type="dxa"/>
            <w:tcBorders>
              <w:top w:val="nil"/>
              <w:left w:val="nil"/>
              <w:bottom w:val="single" w:sz="4" w:space="0" w:color="9CA3AF"/>
              <w:right w:val="single" w:sz="4" w:space="0" w:color="9CA3AF"/>
            </w:tcBorders>
            <w:shd w:val="clear" w:color="auto" w:fill="auto"/>
            <w:hideMark/>
          </w:tcPr>
          <w:p w14:paraId="21D9DCF1" w14:textId="25B82ED2"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Rritje në 8% e vlerës së aseteve të</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deri në vitin 2030;</w:t>
            </w:r>
          </w:p>
        </w:tc>
        <w:tc>
          <w:tcPr>
            <w:tcW w:w="851" w:type="dxa"/>
            <w:tcBorders>
              <w:top w:val="nil"/>
              <w:left w:val="nil"/>
              <w:bottom w:val="single" w:sz="4" w:space="0" w:color="9CA3AF"/>
              <w:right w:val="single" w:sz="4" w:space="0" w:color="9CA3AF"/>
            </w:tcBorders>
            <w:shd w:val="clear" w:color="auto" w:fill="auto"/>
            <w:hideMark/>
          </w:tcPr>
          <w:p w14:paraId="3DFDD3CE"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4DB35FE6"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7572E121" w14:textId="25DAA843"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Agjencia e Administrimit t</w:t>
            </w:r>
            <w:r w:rsidR="009F2103"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 Pasurive t</w:t>
            </w:r>
            <w:r w:rsidR="009F2103"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 Sekuestruara dhe t</w:t>
            </w:r>
            <w:r w:rsidR="009F2103"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 Konfiskuara</w:t>
            </w:r>
          </w:p>
        </w:tc>
      </w:tr>
      <w:tr w:rsidR="00F54824" w:rsidRPr="002128A6" w14:paraId="00F539F4"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7EE93295" w14:textId="3E35F35E"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QP I</w:t>
            </w:r>
            <w:r w:rsidR="002651E7"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 xml:space="preserve">PARANDALIMI I KRIMIT TË ORGANIZUAR </w:t>
            </w:r>
            <w:r w:rsidRPr="002128A6">
              <w:rPr>
                <w:rFonts w:ascii="Garamond" w:eastAsia="Times New Roman" w:hAnsi="Garamond" w:cs="Arial"/>
                <w:kern w:val="0"/>
                <w:sz w:val="12"/>
                <w:szCs w:val="14"/>
                <w14:ligatures w14:val="none"/>
              </w:rPr>
              <w:lastRenderedPageBreak/>
              <w:t>DHE KRIMEVE TË RËNDA</w:t>
            </w:r>
            <w:r w:rsidR="00F54824" w:rsidRPr="002128A6">
              <w:rPr>
                <w:rFonts w:ascii="Garamond" w:eastAsia="Times New Roman" w:hAnsi="Garamond" w:cs="Arial"/>
                <w:kern w:val="0"/>
                <w:sz w:val="12"/>
                <w:szCs w:val="14"/>
                <w14:ligatures w14:val="none"/>
              </w:rPr>
              <w:t xml:space="preserve"> </w:t>
            </w:r>
          </w:p>
        </w:tc>
        <w:tc>
          <w:tcPr>
            <w:tcW w:w="706" w:type="dxa"/>
            <w:tcBorders>
              <w:top w:val="nil"/>
              <w:left w:val="nil"/>
              <w:bottom w:val="single" w:sz="4" w:space="0" w:color="9CA3AF"/>
              <w:right w:val="single" w:sz="4" w:space="0" w:color="9CA3AF"/>
            </w:tcBorders>
            <w:shd w:val="clear" w:color="auto" w:fill="auto"/>
            <w:hideMark/>
          </w:tcPr>
          <w:p w14:paraId="53468C0B"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lastRenderedPageBreak/>
              <w:t>1.6</w:t>
            </w:r>
          </w:p>
        </w:tc>
        <w:tc>
          <w:tcPr>
            <w:tcW w:w="993" w:type="dxa"/>
            <w:tcBorders>
              <w:top w:val="nil"/>
              <w:left w:val="nil"/>
              <w:bottom w:val="single" w:sz="4" w:space="0" w:color="9CA3AF"/>
              <w:right w:val="single" w:sz="4" w:space="0" w:color="9CA3AF"/>
            </w:tcBorders>
            <w:shd w:val="clear" w:color="auto" w:fill="auto"/>
            <w:hideMark/>
          </w:tcPr>
          <w:p w14:paraId="54775D08"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Zbatimi i efektshëm i qasjes administrative për të </w:t>
            </w:r>
            <w:r w:rsidRPr="002128A6">
              <w:rPr>
                <w:rFonts w:ascii="Garamond" w:eastAsia="Times New Roman" w:hAnsi="Garamond" w:cs="Arial"/>
                <w:kern w:val="0"/>
                <w:sz w:val="12"/>
                <w:szCs w:val="14"/>
                <w14:ligatures w14:val="none"/>
              </w:rPr>
              <w:lastRenderedPageBreak/>
              <w:t>parandaluar infiltrimin e krimit të organizuar në ekonomi dhe në administratën publike</w:t>
            </w:r>
          </w:p>
        </w:tc>
        <w:tc>
          <w:tcPr>
            <w:tcW w:w="1275" w:type="dxa"/>
            <w:tcBorders>
              <w:top w:val="nil"/>
              <w:left w:val="nil"/>
              <w:bottom w:val="single" w:sz="4" w:space="0" w:color="9CA3AF"/>
              <w:right w:val="single" w:sz="4" w:space="0" w:color="9CA3AF"/>
            </w:tcBorders>
            <w:shd w:val="clear" w:color="auto" w:fill="auto"/>
            <w:hideMark/>
          </w:tcPr>
          <w:p w14:paraId="0238F05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lastRenderedPageBreak/>
              <w:t xml:space="preserve">[1.6.1] Verifikimi i subjekteve të krimit të organizuar zbatohet në të gjitha vendimet përkatëse të </w:t>
            </w:r>
            <w:r w:rsidRPr="002128A6">
              <w:rPr>
                <w:rFonts w:ascii="Garamond" w:eastAsia="Times New Roman" w:hAnsi="Garamond" w:cs="Arial"/>
                <w:kern w:val="0"/>
                <w:sz w:val="12"/>
                <w:szCs w:val="14"/>
                <w14:ligatures w14:val="none"/>
              </w:rPr>
              <w:lastRenderedPageBreak/>
              <w:t xml:space="preserve">prokurimit publik dhe licencimit. [1.6.1] Reduktimi i dokumentuar i infiltrimit të suksesshëm në kontratat publike dhe licencat me risk të lartë. </w:t>
            </w:r>
          </w:p>
        </w:tc>
        <w:tc>
          <w:tcPr>
            <w:tcW w:w="1134" w:type="dxa"/>
            <w:tcBorders>
              <w:top w:val="nil"/>
              <w:left w:val="nil"/>
              <w:bottom w:val="single" w:sz="4" w:space="0" w:color="9CA3AF"/>
              <w:right w:val="single" w:sz="4" w:space="0" w:color="9CA3AF"/>
            </w:tcBorders>
            <w:shd w:val="clear" w:color="auto" w:fill="auto"/>
            <w:hideMark/>
          </w:tcPr>
          <w:p w14:paraId="5D69442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lastRenderedPageBreak/>
              <w:t xml:space="preserve">Ulja e rasteve të identifikuara të infiltrimit të krimit të organizuar në prokurimet publike </w:t>
            </w:r>
            <w:r w:rsidRPr="002128A6">
              <w:rPr>
                <w:rFonts w:ascii="Garamond" w:eastAsia="Times New Roman" w:hAnsi="Garamond" w:cs="Arial"/>
                <w:kern w:val="0"/>
                <w:sz w:val="12"/>
                <w:szCs w:val="14"/>
                <w14:ligatures w14:val="none"/>
              </w:rPr>
              <w:lastRenderedPageBreak/>
              <w:t>dhe sektorët e licencuar.</w:t>
            </w:r>
          </w:p>
        </w:tc>
        <w:tc>
          <w:tcPr>
            <w:tcW w:w="1418" w:type="dxa"/>
            <w:tcBorders>
              <w:top w:val="nil"/>
              <w:left w:val="nil"/>
              <w:bottom w:val="single" w:sz="4" w:space="0" w:color="9CA3AF"/>
              <w:right w:val="single" w:sz="4" w:space="0" w:color="9CA3AF"/>
            </w:tcBorders>
            <w:shd w:val="clear" w:color="auto" w:fill="auto"/>
            <w:hideMark/>
          </w:tcPr>
          <w:p w14:paraId="2A683A0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lastRenderedPageBreak/>
              <w:t>Vlera bazë do të konfirmohet në vitin 2026.</w:t>
            </w:r>
          </w:p>
        </w:tc>
        <w:tc>
          <w:tcPr>
            <w:tcW w:w="850" w:type="dxa"/>
            <w:tcBorders>
              <w:top w:val="nil"/>
              <w:left w:val="nil"/>
              <w:bottom w:val="single" w:sz="4" w:space="0" w:color="9CA3AF"/>
              <w:right w:val="single" w:sz="4" w:space="0" w:color="9CA3AF"/>
            </w:tcBorders>
            <w:shd w:val="clear" w:color="auto" w:fill="auto"/>
            <w:hideMark/>
          </w:tcPr>
          <w:p w14:paraId="7B86EF50"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-9% ulje e rasteve të identifikuara.</w:t>
            </w:r>
          </w:p>
        </w:tc>
        <w:tc>
          <w:tcPr>
            <w:tcW w:w="851" w:type="dxa"/>
            <w:tcBorders>
              <w:top w:val="nil"/>
              <w:left w:val="nil"/>
              <w:bottom w:val="single" w:sz="4" w:space="0" w:color="9CA3AF"/>
              <w:right w:val="single" w:sz="4" w:space="0" w:color="9CA3AF"/>
            </w:tcBorders>
            <w:shd w:val="clear" w:color="auto" w:fill="auto"/>
            <w:hideMark/>
          </w:tcPr>
          <w:p w14:paraId="0297C8E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institucioneve kryesore; </w:t>
            </w:r>
          </w:p>
        </w:tc>
        <w:tc>
          <w:tcPr>
            <w:tcW w:w="850" w:type="dxa"/>
            <w:tcBorders>
              <w:top w:val="nil"/>
              <w:left w:val="nil"/>
              <w:bottom w:val="single" w:sz="4" w:space="0" w:color="9CA3AF"/>
              <w:right w:val="single" w:sz="4" w:space="0" w:color="9CA3AF"/>
            </w:tcBorders>
            <w:shd w:val="clear" w:color="auto" w:fill="auto"/>
            <w:hideMark/>
          </w:tcPr>
          <w:p w14:paraId="1403DF20"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73939CDA" w14:textId="5075E489"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Ministria e Punëve të Brendshme </w:t>
            </w:r>
          </w:p>
        </w:tc>
      </w:tr>
      <w:tr w:rsidR="00F54824" w:rsidRPr="002128A6" w14:paraId="39AA9A7D"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5ABD08B3" w14:textId="3F947C36"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2103AAAD"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2.1</w:t>
            </w:r>
          </w:p>
        </w:tc>
        <w:tc>
          <w:tcPr>
            <w:tcW w:w="993" w:type="dxa"/>
            <w:tcBorders>
              <w:top w:val="nil"/>
              <w:left w:val="nil"/>
              <w:bottom w:val="single" w:sz="4" w:space="0" w:color="9CA3AF"/>
              <w:right w:val="single" w:sz="4" w:space="0" w:color="9CA3AF"/>
            </w:tcBorders>
            <w:shd w:val="clear" w:color="auto" w:fill="auto"/>
            <w:hideMark/>
          </w:tcPr>
          <w:p w14:paraId="24B7602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Reduktimi i disponueshmërisë, prodhimit dhe trafikimit të narkotikëve përmes forcimit të zbulimit, hetimit dhe koordinimit ndërinstitucional</w:t>
            </w:r>
          </w:p>
        </w:tc>
        <w:tc>
          <w:tcPr>
            <w:tcW w:w="1275" w:type="dxa"/>
            <w:tcBorders>
              <w:top w:val="nil"/>
              <w:left w:val="nil"/>
              <w:bottom w:val="single" w:sz="4" w:space="0" w:color="9CA3AF"/>
              <w:right w:val="single" w:sz="4" w:space="0" w:color="9CA3AF"/>
            </w:tcBorders>
            <w:shd w:val="clear" w:color="auto" w:fill="auto"/>
            <w:hideMark/>
          </w:tcPr>
          <w:p w14:paraId="29F07F94" w14:textId="7D10B24E"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[2.1.1] Rritja e evidentimit t</w:t>
            </w:r>
            <w:r w:rsidR="009F2103"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 veprave penale n</w:t>
            </w:r>
            <w:r w:rsidR="009F2103"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 fushën e narkotik</w:t>
            </w:r>
            <w:r w:rsidR="009F2103"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ve. [2.1.2] Normë më e lartë e goditjes së rrjeteve kryesore të trafikimit të narkotikëve dhe dënimeve të trafikantëve. [2.1.3]</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 xml:space="preserve">Synim i forcuar i udhëhequr nga inteligjenca përmes të dhënave të bazuara në evidenca dhe pjesëmarrjes në EMPACT, ku Byroja Kombëtare e Hetimit është në proces aplikimi për aderim në EMPACT. </w:t>
            </w:r>
          </w:p>
        </w:tc>
        <w:tc>
          <w:tcPr>
            <w:tcW w:w="1134" w:type="dxa"/>
            <w:tcBorders>
              <w:top w:val="nil"/>
              <w:left w:val="nil"/>
              <w:bottom w:val="single" w:sz="4" w:space="0" w:color="9CA3AF"/>
              <w:right w:val="single" w:sz="4" w:space="0" w:color="9CA3AF"/>
            </w:tcBorders>
            <w:shd w:val="clear" w:color="auto" w:fill="auto"/>
            <w:hideMark/>
          </w:tcPr>
          <w:p w14:paraId="0A5B083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Numri i procedimeve për trafikim të narkotikëve dhe numri i individëve të nënshtruar procedimeve penale në vit.</w:t>
            </w:r>
          </w:p>
        </w:tc>
        <w:tc>
          <w:tcPr>
            <w:tcW w:w="1418" w:type="dxa"/>
            <w:tcBorders>
              <w:top w:val="nil"/>
              <w:left w:val="nil"/>
              <w:bottom w:val="single" w:sz="4" w:space="0" w:color="9CA3AF"/>
              <w:right w:val="single" w:sz="4" w:space="0" w:color="9CA3AF"/>
            </w:tcBorders>
            <w:shd w:val="clear" w:color="auto" w:fill="auto"/>
            <w:hideMark/>
          </w:tcPr>
          <w:p w14:paraId="6156E95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2025 - 69 procedime me 28 të pandehur</w:t>
            </w:r>
          </w:p>
        </w:tc>
        <w:tc>
          <w:tcPr>
            <w:tcW w:w="850" w:type="dxa"/>
            <w:tcBorders>
              <w:top w:val="nil"/>
              <w:left w:val="nil"/>
              <w:bottom w:val="single" w:sz="4" w:space="0" w:color="9CA3AF"/>
              <w:right w:val="single" w:sz="4" w:space="0" w:color="9CA3AF"/>
            </w:tcBorders>
            <w:shd w:val="clear" w:color="auto" w:fill="auto"/>
            <w:hideMark/>
          </w:tcPr>
          <w:p w14:paraId="5E4293C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do të përcaktohet përgjatë viti 2026.</w:t>
            </w:r>
          </w:p>
        </w:tc>
        <w:tc>
          <w:tcPr>
            <w:tcW w:w="851" w:type="dxa"/>
            <w:tcBorders>
              <w:top w:val="nil"/>
              <w:left w:val="nil"/>
              <w:bottom w:val="single" w:sz="4" w:space="0" w:color="9CA3AF"/>
              <w:right w:val="single" w:sz="4" w:space="0" w:color="9CA3AF"/>
            </w:tcBorders>
            <w:shd w:val="clear" w:color="auto" w:fill="auto"/>
            <w:hideMark/>
          </w:tcPr>
          <w:p w14:paraId="3B2B5B8F"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09644DE0"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680C447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Policia e Shtetit; Prokuroria e Përgjithshme; SPAK</w:t>
            </w:r>
          </w:p>
        </w:tc>
      </w:tr>
      <w:tr w:rsidR="00F54824" w:rsidRPr="002128A6" w14:paraId="1C03DEE7"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60F5756A" w14:textId="41CF8645"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43A652B4"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2.2</w:t>
            </w:r>
          </w:p>
        </w:tc>
        <w:tc>
          <w:tcPr>
            <w:tcW w:w="993" w:type="dxa"/>
            <w:tcBorders>
              <w:top w:val="nil"/>
              <w:left w:val="nil"/>
              <w:bottom w:val="single" w:sz="4" w:space="0" w:color="9CA3AF"/>
              <w:right w:val="single" w:sz="4" w:space="0" w:color="9CA3AF"/>
            </w:tcBorders>
            <w:shd w:val="clear" w:color="auto" w:fill="auto"/>
            <w:hideMark/>
          </w:tcPr>
          <w:p w14:paraId="5EBF8C2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Reduktimi i ndjeshëm i trafikimit, duke rritur zbulimin, goditjen e rrjeteve kriminale dhe forcimin e kontrolleve kufitare dhe hetimore</w:t>
            </w:r>
          </w:p>
        </w:tc>
        <w:tc>
          <w:tcPr>
            <w:tcW w:w="1275" w:type="dxa"/>
            <w:tcBorders>
              <w:top w:val="nil"/>
              <w:left w:val="nil"/>
              <w:bottom w:val="single" w:sz="4" w:space="0" w:color="9CA3AF"/>
              <w:right w:val="single" w:sz="4" w:space="0" w:color="9CA3AF"/>
            </w:tcBorders>
            <w:shd w:val="clear" w:color="auto" w:fill="auto"/>
            <w:hideMark/>
          </w:tcPr>
          <w:p w14:paraId="75704F97" w14:textId="42C39981"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[2.2.1]</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Rritja e konsiderueshme në identifikimin dhe referimin e viktimave të trafikimit, në harmonizim të plotë me Direktivën 2011/36/BE. [2.2.2] Goditja e rrjeteve kryesore të trafikimit (q</w:t>
            </w:r>
            <w:r w:rsidR="00037B08" w:rsidRPr="002128A6">
              <w:rPr>
                <w:rFonts w:ascii="Garamond" w:eastAsia="Times New Roman" w:hAnsi="Garamond" w:cs="Arial"/>
                <w:kern w:val="0"/>
                <w:sz w:val="12"/>
                <w:szCs w:val="14"/>
                <w14:ligatures w14:val="none"/>
              </w:rPr>
              <w:t>e</w:t>
            </w:r>
            <w:r w:rsidRPr="002128A6">
              <w:rPr>
                <w:rFonts w:ascii="Garamond" w:eastAsia="Times New Roman" w:hAnsi="Garamond" w:cs="Arial"/>
                <w:kern w:val="0"/>
                <w:sz w:val="12"/>
                <w:szCs w:val="14"/>
                <w14:ligatures w14:val="none"/>
              </w:rPr>
              <w:t>nieve njerëzore, emigrantëve, armëve të zjarrit dhe pasurive kulturore) dhe rritja e dënimeve, në mënyrë të vazhdueshme. [2.2.3] Rritja e</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evidentimit të veprave penale n</w:t>
            </w:r>
            <w:r w:rsidR="00B77BA6"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 fushën e trafiqeve</w:t>
            </w:r>
            <w:r w:rsidR="00F54824" w:rsidRPr="002128A6">
              <w:rPr>
                <w:rFonts w:ascii="Garamond" w:eastAsia="Times New Roman" w:hAnsi="Garamond" w:cs="Arial"/>
                <w:kern w:val="0"/>
                <w:sz w:val="12"/>
                <w:szCs w:val="14"/>
                <w14:ligatures w14:val="none"/>
              </w:rPr>
              <w:t xml:space="preserve"> </w:t>
            </w:r>
          </w:p>
        </w:tc>
        <w:tc>
          <w:tcPr>
            <w:tcW w:w="1134" w:type="dxa"/>
            <w:tcBorders>
              <w:top w:val="nil"/>
              <w:left w:val="nil"/>
              <w:bottom w:val="single" w:sz="4" w:space="0" w:color="9CA3AF"/>
              <w:right w:val="single" w:sz="4" w:space="0" w:color="9CA3AF"/>
            </w:tcBorders>
            <w:shd w:val="clear" w:color="auto" w:fill="auto"/>
            <w:hideMark/>
          </w:tcPr>
          <w:p w14:paraId="70AA4020"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Numri i procedimeve penale të lidhura me veprat penale të trafikimit.</w:t>
            </w:r>
          </w:p>
        </w:tc>
        <w:tc>
          <w:tcPr>
            <w:tcW w:w="1418" w:type="dxa"/>
            <w:tcBorders>
              <w:top w:val="nil"/>
              <w:left w:val="nil"/>
              <w:bottom w:val="single" w:sz="4" w:space="0" w:color="9CA3AF"/>
              <w:right w:val="single" w:sz="4" w:space="0" w:color="9CA3AF"/>
            </w:tcBorders>
            <w:shd w:val="clear" w:color="auto" w:fill="auto"/>
            <w:hideMark/>
          </w:tcPr>
          <w:p w14:paraId="4E6AF79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do të konfirmohet në vitin 2026.</w:t>
            </w:r>
          </w:p>
        </w:tc>
        <w:tc>
          <w:tcPr>
            <w:tcW w:w="850" w:type="dxa"/>
            <w:tcBorders>
              <w:top w:val="nil"/>
              <w:left w:val="nil"/>
              <w:bottom w:val="single" w:sz="4" w:space="0" w:color="9CA3AF"/>
              <w:right w:val="single" w:sz="4" w:space="0" w:color="9CA3AF"/>
            </w:tcBorders>
            <w:shd w:val="clear" w:color="auto" w:fill="auto"/>
            <w:hideMark/>
          </w:tcPr>
          <w:p w14:paraId="78A978A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do të përcaktohet përgjatë viti 2026.</w:t>
            </w:r>
          </w:p>
        </w:tc>
        <w:tc>
          <w:tcPr>
            <w:tcW w:w="851" w:type="dxa"/>
            <w:tcBorders>
              <w:top w:val="nil"/>
              <w:left w:val="nil"/>
              <w:bottom w:val="single" w:sz="4" w:space="0" w:color="9CA3AF"/>
              <w:right w:val="single" w:sz="4" w:space="0" w:color="9CA3AF"/>
            </w:tcBorders>
            <w:shd w:val="clear" w:color="auto" w:fill="auto"/>
            <w:hideMark/>
          </w:tcPr>
          <w:p w14:paraId="18878BB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2307E9E3"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01A46D5B"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SPAK; Policia e Shtetit; Prokuroria e Përgjithshme; </w:t>
            </w:r>
          </w:p>
        </w:tc>
      </w:tr>
      <w:tr w:rsidR="00F54824" w:rsidRPr="002128A6" w14:paraId="0A29CE3F"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5B8B0927" w14:textId="39E6FAF1"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7FEAFC36"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2.3</w:t>
            </w:r>
          </w:p>
        </w:tc>
        <w:tc>
          <w:tcPr>
            <w:tcW w:w="993" w:type="dxa"/>
            <w:tcBorders>
              <w:top w:val="nil"/>
              <w:left w:val="nil"/>
              <w:bottom w:val="single" w:sz="4" w:space="0" w:color="9CA3AF"/>
              <w:right w:val="single" w:sz="4" w:space="0" w:color="9CA3AF"/>
            </w:tcBorders>
            <w:shd w:val="clear" w:color="auto" w:fill="auto"/>
            <w:hideMark/>
          </w:tcPr>
          <w:p w14:paraId="74DAA07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Forcimi i kapaciteteve kombëtare për zbulimin, hetimin dhe ndjekjen penale të krimit ekonomik dhe financiar, që rezulton në rritje të sekuestrimeve dhe ulje të pandëshkueshmërisë</w:t>
            </w:r>
          </w:p>
        </w:tc>
        <w:tc>
          <w:tcPr>
            <w:tcW w:w="1275" w:type="dxa"/>
            <w:tcBorders>
              <w:top w:val="nil"/>
              <w:left w:val="nil"/>
              <w:bottom w:val="single" w:sz="4" w:space="0" w:color="9CA3AF"/>
              <w:right w:val="single" w:sz="4" w:space="0" w:color="9CA3AF"/>
            </w:tcBorders>
            <w:shd w:val="clear" w:color="auto" w:fill="auto"/>
            <w:hideMark/>
          </w:tcPr>
          <w:p w14:paraId="024A26EF"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[2.3.1] Rritja e zbulimit dhe ndjekjes penale të veprave penale të pastrimit të parave dhe financiare. [2.3.2] Përqindje më e lartë e çështjeve kryesore të krimit që përfshijnë hetim paralel financiar. [2.3.3] Koordinim i përmirësuar ndërinstitucional midis agjencive ligjzbatuese dhe rregullatorëve financiarë. </w:t>
            </w:r>
          </w:p>
        </w:tc>
        <w:tc>
          <w:tcPr>
            <w:tcW w:w="1134" w:type="dxa"/>
            <w:tcBorders>
              <w:top w:val="nil"/>
              <w:left w:val="nil"/>
              <w:bottom w:val="single" w:sz="4" w:space="0" w:color="9CA3AF"/>
              <w:right w:val="single" w:sz="4" w:space="0" w:color="9CA3AF"/>
            </w:tcBorders>
            <w:shd w:val="clear" w:color="auto" w:fill="auto"/>
            <w:hideMark/>
          </w:tcPr>
          <w:p w14:paraId="71C4597E"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Numri i referimeve dhe procedimeve për veprat penale të korrupsionit dhe pastrimit të parave.</w:t>
            </w:r>
          </w:p>
        </w:tc>
        <w:tc>
          <w:tcPr>
            <w:tcW w:w="1418" w:type="dxa"/>
            <w:tcBorders>
              <w:top w:val="nil"/>
              <w:left w:val="nil"/>
              <w:bottom w:val="single" w:sz="4" w:space="0" w:color="9CA3AF"/>
              <w:right w:val="single" w:sz="4" w:space="0" w:color="9CA3AF"/>
            </w:tcBorders>
            <w:shd w:val="clear" w:color="auto" w:fill="auto"/>
            <w:hideMark/>
          </w:tcPr>
          <w:p w14:paraId="14AA193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do të konfirmohet në vitin 2026.</w:t>
            </w:r>
          </w:p>
        </w:tc>
        <w:tc>
          <w:tcPr>
            <w:tcW w:w="850" w:type="dxa"/>
            <w:tcBorders>
              <w:top w:val="nil"/>
              <w:left w:val="nil"/>
              <w:bottom w:val="single" w:sz="4" w:space="0" w:color="9CA3AF"/>
              <w:right w:val="single" w:sz="4" w:space="0" w:color="9CA3AF"/>
            </w:tcBorders>
            <w:shd w:val="clear" w:color="auto" w:fill="auto"/>
            <w:hideMark/>
          </w:tcPr>
          <w:p w14:paraId="5C96D0E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do të përcaktohet përgjatë viti 2026.</w:t>
            </w:r>
          </w:p>
        </w:tc>
        <w:tc>
          <w:tcPr>
            <w:tcW w:w="851" w:type="dxa"/>
            <w:tcBorders>
              <w:top w:val="nil"/>
              <w:left w:val="nil"/>
              <w:bottom w:val="single" w:sz="4" w:space="0" w:color="9CA3AF"/>
              <w:right w:val="single" w:sz="4" w:space="0" w:color="9CA3AF"/>
            </w:tcBorders>
            <w:shd w:val="clear" w:color="auto" w:fill="auto"/>
            <w:hideMark/>
          </w:tcPr>
          <w:p w14:paraId="20D96AB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4FE0A44F"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780C47C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Prokuroria e Përgjithshme; SPAK; ; Policia e Shtetit</w:t>
            </w:r>
          </w:p>
        </w:tc>
      </w:tr>
      <w:tr w:rsidR="00F54824" w:rsidRPr="002128A6" w14:paraId="35696A20"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00DA089A" w14:textId="01DA5E05"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4788BAE3"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2.4</w:t>
            </w:r>
          </w:p>
        </w:tc>
        <w:tc>
          <w:tcPr>
            <w:tcW w:w="993" w:type="dxa"/>
            <w:tcBorders>
              <w:top w:val="nil"/>
              <w:left w:val="nil"/>
              <w:bottom w:val="single" w:sz="4" w:space="0" w:color="9CA3AF"/>
              <w:right w:val="single" w:sz="4" w:space="0" w:color="9CA3AF"/>
            </w:tcBorders>
            <w:shd w:val="clear" w:color="auto" w:fill="auto"/>
            <w:hideMark/>
          </w:tcPr>
          <w:p w14:paraId="6376601E"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Rritja e kapaciteteve kombëtare në parandalimin, zbulimin dhe ndjekjen penale të krimit kibernetik, përmes teknologjisë së përparuar, aftësive të specializuara dhe bashkëpunimit ndërkombëtar</w:t>
            </w:r>
          </w:p>
        </w:tc>
        <w:tc>
          <w:tcPr>
            <w:tcW w:w="1275" w:type="dxa"/>
            <w:tcBorders>
              <w:top w:val="nil"/>
              <w:left w:val="nil"/>
              <w:bottom w:val="single" w:sz="4" w:space="0" w:color="9CA3AF"/>
              <w:right w:val="single" w:sz="4" w:space="0" w:color="9CA3AF"/>
            </w:tcBorders>
            <w:shd w:val="clear" w:color="auto" w:fill="auto"/>
            <w:hideMark/>
          </w:tcPr>
          <w:p w14:paraId="4F525968" w14:textId="3E7A43C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[2.4.1] Operacionalizim i përmirësuar dhe i plotë i kapacitetit të specializuar të hetimit dhe ndjekjes penale të krimit kibernetik. [2.4.2] Rritje e zbulimit dhe ndjekjes penale të veprave të krimit kibernetik. [2.4.3]</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Kapacitet i përmirësuar në mbrojtjen</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e infrastrukturës kritike dhe në kundër</w:t>
            </w:r>
            <w:bookmarkStart w:id="95" w:name="_GoBack"/>
            <w:r w:rsidRPr="002128A6">
              <w:rPr>
                <w:rFonts w:ascii="Garamond" w:eastAsia="Times New Roman" w:hAnsi="Garamond" w:cs="Arial"/>
                <w:kern w:val="0"/>
                <w:sz w:val="12"/>
                <w:szCs w:val="14"/>
                <w14:ligatures w14:val="none"/>
              </w:rPr>
              <w:t>përgjigj</w:t>
            </w:r>
            <w:bookmarkEnd w:id="95"/>
            <w:r w:rsidRPr="002128A6">
              <w:rPr>
                <w:rFonts w:ascii="Garamond" w:eastAsia="Times New Roman" w:hAnsi="Garamond" w:cs="Arial"/>
                <w:kern w:val="0"/>
                <w:sz w:val="12"/>
                <w:szCs w:val="14"/>
                <w14:ligatures w14:val="none"/>
              </w:rPr>
              <w:t xml:space="preserve">en ndaj kërcënimeve kibernetike. </w:t>
            </w:r>
          </w:p>
        </w:tc>
        <w:tc>
          <w:tcPr>
            <w:tcW w:w="1134" w:type="dxa"/>
            <w:tcBorders>
              <w:top w:val="nil"/>
              <w:left w:val="nil"/>
              <w:bottom w:val="single" w:sz="4" w:space="0" w:color="9CA3AF"/>
              <w:right w:val="single" w:sz="4" w:space="0" w:color="9CA3AF"/>
            </w:tcBorders>
            <w:shd w:val="clear" w:color="auto" w:fill="auto"/>
            <w:hideMark/>
          </w:tcPr>
          <w:p w14:paraId="253CC3F3"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Numri i çështjeve penale që lidhen me krimin kibernetik dhe numri i personave të dërguar për gjykim.</w:t>
            </w:r>
          </w:p>
        </w:tc>
        <w:tc>
          <w:tcPr>
            <w:tcW w:w="1418" w:type="dxa"/>
            <w:tcBorders>
              <w:top w:val="nil"/>
              <w:left w:val="nil"/>
              <w:bottom w:val="single" w:sz="4" w:space="0" w:color="9CA3AF"/>
              <w:right w:val="single" w:sz="4" w:space="0" w:color="9CA3AF"/>
            </w:tcBorders>
            <w:shd w:val="clear" w:color="auto" w:fill="auto"/>
            <w:hideMark/>
          </w:tcPr>
          <w:p w14:paraId="2735FA9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do të konfirmohet në vitin 2026.</w:t>
            </w:r>
          </w:p>
        </w:tc>
        <w:tc>
          <w:tcPr>
            <w:tcW w:w="850" w:type="dxa"/>
            <w:tcBorders>
              <w:top w:val="nil"/>
              <w:left w:val="nil"/>
              <w:bottom w:val="single" w:sz="4" w:space="0" w:color="9CA3AF"/>
              <w:right w:val="single" w:sz="4" w:space="0" w:color="9CA3AF"/>
            </w:tcBorders>
            <w:shd w:val="clear" w:color="auto" w:fill="auto"/>
            <w:hideMark/>
          </w:tcPr>
          <w:p w14:paraId="5CDB97B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do të përcaktohet përgjatë viti 2026.</w:t>
            </w:r>
          </w:p>
        </w:tc>
        <w:tc>
          <w:tcPr>
            <w:tcW w:w="851" w:type="dxa"/>
            <w:tcBorders>
              <w:top w:val="nil"/>
              <w:left w:val="nil"/>
              <w:bottom w:val="single" w:sz="4" w:space="0" w:color="9CA3AF"/>
              <w:right w:val="single" w:sz="4" w:space="0" w:color="9CA3AF"/>
            </w:tcBorders>
            <w:shd w:val="clear" w:color="auto" w:fill="auto"/>
            <w:hideMark/>
          </w:tcPr>
          <w:p w14:paraId="6F5778E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09C53B30"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6E7C663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Policia e Shtetit; Prokuroria e Përgjithshme; SPAK</w:t>
            </w:r>
          </w:p>
        </w:tc>
      </w:tr>
      <w:tr w:rsidR="00F54824" w:rsidRPr="002128A6" w14:paraId="54743A29"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28191F13" w14:textId="78B5D5FE"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66C9E062"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2.5</w:t>
            </w:r>
          </w:p>
        </w:tc>
        <w:tc>
          <w:tcPr>
            <w:tcW w:w="993" w:type="dxa"/>
            <w:tcBorders>
              <w:top w:val="nil"/>
              <w:left w:val="nil"/>
              <w:bottom w:val="single" w:sz="4" w:space="0" w:color="9CA3AF"/>
              <w:right w:val="single" w:sz="4" w:space="0" w:color="9CA3AF"/>
            </w:tcBorders>
            <w:shd w:val="clear" w:color="auto" w:fill="auto"/>
            <w:hideMark/>
          </w:tcPr>
          <w:p w14:paraId="69B2108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Shërbime kriminalistike të akredituara dhe të cilësisë së lartë, të cilat garantojnë integritetin, besueshmërinë dhe </w:t>
            </w:r>
            <w:r w:rsidRPr="002128A6">
              <w:rPr>
                <w:rFonts w:ascii="Garamond" w:eastAsia="Times New Roman" w:hAnsi="Garamond" w:cs="Arial"/>
                <w:kern w:val="0"/>
                <w:sz w:val="12"/>
                <w:szCs w:val="14"/>
                <w14:ligatures w14:val="none"/>
              </w:rPr>
              <w:lastRenderedPageBreak/>
              <w:t>pranueshmërinë e provave.</w:t>
            </w:r>
          </w:p>
        </w:tc>
        <w:tc>
          <w:tcPr>
            <w:tcW w:w="1275" w:type="dxa"/>
            <w:tcBorders>
              <w:top w:val="nil"/>
              <w:left w:val="nil"/>
              <w:bottom w:val="single" w:sz="4" w:space="0" w:color="9CA3AF"/>
              <w:right w:val="single" w:sz="4" w:space="0" w:color="9CA3AF"/>
            </w:tcBorders>
            <w:shd w:val="clear" w:color="auto" w:fill="auto"/>
            <w:hideMark/>
          </w:tcPr>
          <w:p w14:paraId="6F31E236"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lastRenderedPageBreak/>
              <w:t xml:space="preserve">[2.5.1] IPSh plotësisht i modernizuar me disiplina kriminalistike të zgjeruara dhe akreditim ISO. [2.5.2] Reduktim i çështjeve kriminalistike të prapambetura dhe afate më të shpejta të finalizimit të çështjes. </w:t>
            </w:r>
            <w:r w:rsidRPr="002128A6">
              <w:rPr>
                <w:rFonts w:ascii="Garamond" w:eastAsia="Times New Roman" w:hAnsi="Garamond" w:cs="Arial"/>
                <w:kern w:val="0"/>
                <w:sz w:val="12"/>
                <w:szCs w:val="14"/>
                <w14:ligatures w14:val="none"/>
              </w:rPr>
              <w:lastRenderedPageBreak/>
              <w:t xml:space="preserve">[2.5.3] Cilësi dhe pranueshmëri e përmirësuar e provave kriminalistike në ndjekjet penale. </w:t>
            </w:r>
          </w:p>
        </w:tc>
        <w:tc>
          <w:tcPr>
            <w:tcW w:w="1134" w:type="dxa"/>
            <w:tcBorders>
              <w:top w:val="nil"/>
              <w:left w:val="nil"/>
              <w:bottom w:val="single" w:sz="4" w:space="0" w:color="9CA3AF"/>
              <w:right w:val="single" w:sz="4" w:space="0" w:color="9CA3AF"/>
            </w:tcBorders>
            <w:shd w:val="clear" w:color="auto" w:fill="auto"/>
            <w:hideMark/>
          </w:tcPr>
          <w:p w14:paraId="67C02E8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lastRenderedPageBreak/>
              <w:t>Koha mesatare e përpunimit të çështjeve të forensikës/kriminalistikës (ditë) dhe mbulimi i akreditimit.</w:t>
            </w:r>
          </w:p>
        </w:tc>
        <w:tc>
          <w:tcPr>
            <w:tcW w:w="1418" w:type="dxa"/>
            <w:tcBorders>
              <w:top w:val="nil"/>
              <w:left w:val="nil"/>
              <w:bottom w:val="single" w:sz="4" w:space="0" w:color="9CA3AF"/>
              <w:right w:val="single" w:sz="4" w:space="0" w:color="9CA3AF"/>
            </w:tcBorders>
            <w:shd w:val="clear" w:color="auto" w:fill="auto"/>
            <w:hideMark/>
          </w:tcPr>
          <w:p w14:paraId="52C59CBA"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Vlera bazë 2025: 0 </w:t>
            </w:r>
          </w:p>
        </w:tc>
        <w:tc>
          <w:tcPr>
            <w:tcW w:w="850" w:type="dxa"/>
            <w:tcBorders>
              <w:top w:val="nil"/>
              <w:left w:val="nil"/>
              <w:bottom w:val="single" w:sz="4" w:space="0" w:color="9CA3AF"/>
              <w:right w:val="single" w:sz="4" w:space="0" w:color="9CA3AF"/>
            </w:tcBorders>
            <w:shd w:val="clear" w:color="auto" w:fill="auto"/>
            <w:hideMark/>
          </w:tcPr>
          <w:p w14:paraId="021A617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Jo më pak se 5 fusha forensike të akredituara</w:t>
            </w:r>
          </w:p>
        </w:tc>
        <w:tc>
          <w:tcPr>
            <w:tcW w:w="851" w:type="dxa"/>
            <w:tcBorders>
              <w:top w:val="nil"/>
              <w:left w:val="nil"/>
              <w:bottom w:val="single" w:sz="4" w:space="0" w:color="9CA3AF"/>
              <w:right w:val="single" w:sz="4" w:space="0" w:color="9CA3AF"/>
            </w:tcBorders>
            <w:shd w:val="clear" w:color="auto" w:fill="auto"/>
            <w:hideMark/>
          </w:tcPr>
          <w:p w14:paraId="4918E5A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Raporti vjetor i institucionit kryesor;</w:t>
            </w:r>
          </w:p>
        </w:tc>
        <w:tc>
          <w:tcPr>
            <w:tcW w:w="850" w:type="dxa"/>
            <w:tcBorders>
              <w:top w:val="nil"/>
              <w:left w:val="nil"/>
              <w:bottom w:val="single" w:sz="4" w:space="0" w:color="9CA3AF"/>
              <w:right w:val="single" w:sz="4" w:space="0" w:color="9CA3AF"/>
            </w:tcBorders>
            <w:shd w:val="clear" w:color="auto" w:fill="auto"/>
            <w:hideMark/>
          </w:tcPr>
          <w:p w14:paraId="5B2FC51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52A9BAE8"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Instituti i Policisë Shkencore; </w:t>
            </w:r>
          </w:p>
        </w:tc>
      </w:tr>
      <w:tr w:rsidR="00F54824" w:rsidRPr="002128A6" w14:paraId="713D3FA3"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09E8159C" w14:textId="21897893"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2791A590"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2.6</w:t>
            </w:r>
          </w:p>
        </w:tc>
        <w:tc>
          <w:tcPr>
            <w:tcW w:w="993" w:type="dxa"/>
            <w:tcBorders>
              <w:top w:val="nil"/>
              <w:left w:val="nil"/>
              <w:bottom w:val="single" w:sz="4" w:space="0" w:color="9CA3AF"/>
              <w:right w:val="single" w:sz="4" w:space="0" w:color="9CA3AF"/>
            </w:tcBorders>
            <w:shd w:val="clear" w:color="auto" w:fill="auto"/>
            <w:hideMark/>
          </w:tcPr>
          <w:p w14:paraId="19895F6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Rritja e efektivitetit në gjurmimin, sekuestrim, konfiskimin dhe ripërdorimin e aseteve, duke hequr sistematikisht të ardhurat kriminale dhe duke i riinvestuar për dobi publike</w:t>
            </w:r>
          </w:p>
        </w:tc>
        <w:tc>
          <w:tcPr>
            <w:tcW w:w="1275" w:type="dxa"/>
            <w:tcBorders>
              <w:top w:val="nil"/>
              <w:left w:val="nil"/>
              <w:bottom w:val="single" w:sz="4" w:space="0" w:color="9CA3AF"/>
              <w:right w:val="single" w:sz="4" w:space="0" w:color="9CA3AF"/>
            </w:tcBorders>
            <w:shd w:val="clear" w:color="auto" w:fill="auto"/>
            <w:hideMark/>
          </w:tcPr>
          <w:p w14:paraId="461CCC74"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[2.6.1] Operacionalizim i plotë i Zyrës së Rikuperimit të Aseteve me koordinim ndërinstitucional. [2.6.2] Rritje sistematike e vlerës së rikuperimit të aseteve dhe numri i urdhrave të konfiskimit të ekzekutuar. [2.6.3] Ripërdorim social i zgjeruar i aseteve të konfiskuara për interes komunitar. </w:t>
            </w:r>
          </w:p>
        </w:tc>
        <w:tc>
          <w:tcPr>
            <w:tcW w:w="1134" w:type="dxa"/>
            <w:tcBorders>
              <w:top w:val="nil"/>
              <w:left w:val="nil"/>
              <w:bottom w:val="single" w:sz="4" w:space="0" w:color="9CA3AF"/>
              <w:right w:val="single" w:sz="4" w:space="0" w:color="9CA3AF"/>
            </w:tcBorders>
            <w:shd w:val="clear" w:color="auto" w:fill="auto"/>
            <w:hideMark/>
          </w:tcPr>
          <w:p w14:paraId="59DC4B2A"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kumulative vjetore e pasurive të konfiskuara dhe ripërdorura për qëllime sociale (në milionë lekë)</w:t>
            </w:r>
          </w:p>
        </w:tc>
        <w:tc>
          <w:tcPr>
            <w:tcW w:w="1418" w:type="dxa"/>
            <w:tcBorders>
              <w:top w:val="nil"/>
              <w:left w:val="nil"/>
              <w:bottom w:val="single" w:sz="4" w:space="0" w:color="9CA3AF"/>
              <w:right w:val="single" w:sz="4" w:space="0" w:color="9CA3AF"/>
            </w:tcBorders>
            <w:shd w:val="clear" w:color="auto" w:fill="auto"/>
            <w:hideMark/>
          </w:tcPr>
          <w:p w14:paraId="733C7FF8"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2025: pasuri të konfiskuara - 180,670, 028.798 Lekë</w:t>
            </w:r>
          </w:p>
        </w:tc>
        <w:tc>
          <w:tcPr>
            <w:tcW w:w="850" w:type="dxa"/>
            <w:tcBorders>
              <w:top w:val="nil"/>
              <w:left w:val="nil"/>
              <w:bottom w:val="single" w:sz="4" w:space="0" w:color="9CA3AF"/>
              <w:right w:val="single" w:sz="4" w:space="0" w:color="9CA3AF"/>
            </w:tcBorders>
            <w:shd w:val="clear" w:color="auto" w:fill="auto"/>
            <w:hideMark/>
          </w:tcPr>
          <w:p w14:paraId="730634A4"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do të përcaktohet përgjatë viti 2026.</w:t>
            </w:r>
          </w:p>
        </w:tc>
        <w:tc>
          <w:tcPr>
            <w:tcW w:w="851" w:type="dxa"/>
            <w:tcBorders>
              <w:top w:val="nil"/>
              <w:left w:val="nil"/>
              <w:bottom w:val="single" w:sz="4" w:space="0" w:color="9CA3AF"/>
              <w:right w:val="single" w:sz="4" w:space="0" w:color="9CA3AF"/>
            </w:tcBorders>
            <w:shd w:val="clear" w:color="auto" w:fill="auto"/>
            <w:hideMark/>
          </w:tcPr>
          <w:p w14:paraId="501E78FB"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3C140356"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66D0BF06" w14:textId="16ACF409"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Agjencia e Administrimit t</w:t>
            </w:r>
            <w:r w:rsidR="009F2103" w:rsidRPr="002128A6">
              <w:rPr>
                <w:rFonts w:ascii="Garamond" w:eastAsia="Times New Roman" w:hAnsi="Garamond" w:cs="Arial"/>
                <w:kern w:val="0"/>
                <w:sz w:val="12"/>
                <w:szCs w:val="14"/>
                <w14:ligatures w14:val="none"/>
              </w:rPr>
              <w:t xml:space="preserve">ë </w:t>
            </w:r>
            <w:r w:rsidRPr="002128A6">
              <w:rPr>
                <w:rFonts w:ascii="Garamond" w:eastAsia="Times New Roman" w:hAnsi="Garamond" w:cs="Arial"/>
                <w:kern w:val="0"/>
                <w:sz w:val="12"/>
                <w:szCs w:val="14"/>
                <w14:ligatures w14:val="none"/>
              </w:rPr>
              <w:t>Pasurive t</w:t>
            </w:r>
            <w:r w:rsidR="009F2103"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 Sekuestruara dhe t</w:t>
            </w:r>
            <w:r w:rsidR="009F2103" w:rsidRPr="002128A6">
              <w:rPr>
                <w:rFonts w:ascii="Garamond" w:eastAsia="Times New Roman" w:hAnsi="Garamond" w:cs="Arial"/>
                <w:kern w:val="0"/>
                <w:sz w:val="12"/>
                <w:szCs w:val="14"/>
                <w14:ligatures w14:val="none"/>
              </w:rPr>
              <w:t>ë</w:t>
            </w:r>
            <w:r w:rsidRPr="002128A6">
              <w:rPr>
                <w:rFonts w:ascii="Garamond" w:eastAsia="Times New Roman" w:hAnsi="Garamond" w:cs="Arial"/>
                <w:kern w:val="0"/>
                <w:sz w:val="12"/>
                <w:szCs w:val="14"/>
                <w14:ligatures w14:val="none"/>
              </w:rPr>
              <w:t xml:space="preserve"> Konfiskuara</w:t>
            </w:r>
          </w:p>
        </w:tc>
      </w:tr>
      <w:tr w:rsidR="00F54824" w:rsidRPr="002128A6" w14:paraId="7ED2C944"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55BF5716" w14:textId="3C5F187C"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287CBF09"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2.7</w:t>
            </w:r>
          </w:p>
        </w:tc>
        <w:tc>
          <w:tcPr>
            <w:tcW w:w="993" w:type="dxa"/>
            <w:tcBorders>
              <w:top w:val="nil"/>
              <w:left w:val="nil"/>
              <w:bottom w:val="single" w:sz="4" w:space="0" w:color="9CA3AF"/>
              <w:right w:val="single" w:sz="4" w:space="0" w:color="9CA3AF"/>
            </w:tcBorders>
            <w:shd w:val="clear" w:color="auto" w:fill="auto"/>
            <w:hideMark/>
          </w:tcPr>
          <w:p w14:paraId="54B9802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Përmirësimi i matshëm në hetimet dhe ndjekjet penale të udhëheqësve dhe anëtarëve të strukturave të krimit të organizuar, e demonstruar me rritjen e dënimeve të rënda dhe ekzekutimit të vendimeve gjyqësore </w:t>
            </w:r>
          </w:p>
        </w:tc>
        <w:tc>
          <w:tcPr>
            <w:tcW w:w="1275" w:type="dxa"/>
            <w:tcBorders>
              <w:top w:val="nil"/>
              <w:left w:val="nil"/>
              <w:bottom w:val="single" w:sz="4" w:space="0" w:color="9CA3AF"/>
              <w:right w:val="single" w:sz="4" w:space="0" w:color="9CA3AF"/>
            </w:tcBorders>
            <w:shd w:val="clear" w:color="auto" w:fill="auto"/>
            <w:hideMark/>
          </w:tcPr>
          <w:p w14:paraId="6B7647B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[2.7.1] Rritje e përqindjes së hetimeve të krimit të organizuar, bazuar në inteligjencë dhe vlerësim të kërcënimeve. [2.7.2] Norma më të larta dënimi dhe dënime më të ashpra për udhëheqësit e grupeve të krimit të organizuar. [2.7.3] Ndërprerje e demonstruar e rrjeteve kryesore të krimit të organizuar. </w:t>
            </w:r>
          </w:p>
        </w:tc>
        <w:tc>
          <w:tcPr>
            <w:tcW w:w="1134" w:type="dxa"/>
            <w:tcBorders>
              <w:top w:val="nil"/>
              <w:left w:val="nil"/>
              <w:bottom w:val="single" w:sz="4" w:space="0" w:color="9CA3AF"/>
              <w:right w:val="single" w:sz="4" w:space="0" w:color="9CA3AF"/>
            </w:tcBorders>
            <w:shd w:val="clear" w:color="auto" w:fill="auto"/>
            <w:hideMark/>
          </w:tcPr>
          <w:p w14:paraId="33AAE2E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Numri i procedimeve penale të referuara në gjykatë në lidhje me krimin e organizuar dhe krimin e rëndë, dhe numri i personave të ndjekur penalisht.</w:t>
            </w:r>
          </w:p>
        </w:tc>
        <w:tc>
          <w:tcPr>
            <w:tcW w:w="1418" w:type="dxa"/>
            <w:tcBorders>
              <w:top w:val="nil"/>
              <w:left w:val="nil"/>
              <w:bottom w:val="single" w:sz="4" w:space="0" w:color="9CA3AF"/>
              <w:right w:val="single" w:sz="4" w:space="0" w:color="9CA3AF"/>
            </w:tcBorders>
            <w:shd w:val="clear" w:color="auto" w:fill="auto"/>
            <w:hideMark/>
          </w:tcPr>
          <w:p w14:paraId="3DCF3EB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do të konfirmohet në vitin 2026.</w:t>
            </w:r>
          </w:p>
        </w:tc>
        <w:tc>
          <w:tcPr>
            <w:tcW w:w="850" w:type="dxa"/>
            <w:tcBorders>
              <w:top w:val="nil"/>
              <w:left w:val="nil"/>
              <w:bottom w:val="single" w:sz="4" w:space="0" w:color="9CA3AF"/>
              <w:right w:val="single" w:sz="4" w:space="0" w:color="9CA3AF"/>
            </w:tcBorders>
            <w:shd w:val="clear" w:color="auto" w:fill="auto"/>
            <w:hideMark/>
          </w:tcPr>
          <w:p w14:paraId="52A6A07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do të përcaktohet përgjatë viti 2026.</w:t>
            </w:r>
          </w:p>
        </w:tc>
        <w:tc>
          <w:tcPr>
            <w:tcW w:w="851" w:type="dxa"/>
            <w:tcBorders>
              <w:top w:val="nil"/>
              <w:left w:val="nil"/>
              <w:bottom w:val="single" w:sz="4" w:space="0" w:color="9CA3AF"/>
              <w:right w:val="single" w:sz="4" w:space="0" w:color="9CA3AF"/>
            </w:tcBorders>
            <w:shd w:val="clear" w:color="auto" w:fill="auto"/>
            <w:hideMark/>
          </w:tcPr>
          <w:p w14:paraId="5D65E95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29B583BA"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338B373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Policia e Shtetit; Prokuroria e Përgjithshme; SPAK</w:t>
            </w:r>
          </w:p>
        </w:tc>
      </w:tr>
      <w:tr w:rsidR="00F54824" w:rsidRPr="002128A6" w14:paraId="17C9EB87"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7780390D" w14:textId="58DD2459"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0D19919A"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2.8</w:t>
            </w:r>
          </w:p>
        </w:tc>
        <w:tc>
          <w:tcPr>
            <w:tcW w:w="993" w:type="dxa"/>
            <w:tcBorders>
              <w:top w:val="nil"/>
              <w:left w:val="nil"/>
              <w:bottom w:val="single" w:sz="4" w:space="0" w:color="9CA3AF"/>
              <w:right w:val="single" w:sz="4" w:space="0" w:color="9CA3AF"/>
            </w:tcBorders>
            <w:shd w:val="clear" w:color="auto" w:fill="auto"/>
            <w:hideMark/>
          </w:tcPr>
          <w:p w14:paraId="28F36763"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1275" w:type="dxa"/>
            <w:tcBorders>
              <w:top w:val="nil"/>
              <w:left w:val="nil"/>
              <w:bottom w:val="single" w:sz="4" w:space="0" w:color="9CA3AF"/>
              <w:right w:val="single" w:sz="4" w:space="0" w:color="9CA3AF"/>
            </w:tcBorders>
            <w:shd w:val="clear" w:color="auto" w:fill="auto"/>
            <w:hideMark/>
          </w:tcPr>
          <w:p w14:paraId="1CD1FB6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[2.8.1] Ngritja e kapaciteteve të specializuara të hetimit dhe ndjekjes penale të krimit mjedisor. [2.8.2] Rritja e zbulimit dhe ndjekjes penale të veprave të krimit mjedisor. [2.8.3] Koordinim i përmirësuar ndërinstitucional për mbrojtjen dhe zbatimin mjedisor. </w:t>
            </w:r>
          </w:p>
        </w:tc>
        <w:tc>
          <w:tcPr>
            <w:tcW w:w="1134" w:type="dxa"/>
            <w:tcBorders>
              <w:top w:val="nil"/>
              <w:left w:val="nil"/>
              <w:bottom w:val="single" w:sz="4" w:space="0" w:color="9CA3AF"/>
              <w:right w:val="single" w:sz="4" w:space="0" w:color="9CA3AF"/>
            </w:tcBorders>
            <w:shd w:val="clear" w:color="auto" w:fill="auto"/>
            <w:hideMark/>
          </w:tcPr>
          <w:p w14:paraId="3EA6B8B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Numri vjetor i hetimeve dhe ndjekjeve penale për krimet mjedisore.</w:t>
            </w:r>
          </w:p>
        </w:tc>
        <w:tc>
          <w:tcPr>
            <w:tcW w:w="1418" w:type="dxa"/>
            <w:tcBorders>
              <w:top w:val="nil"/>
              <w:left w:val="nil"/>
              <w:bottom w:val="single" w:sz="4" w:space="0" w:color="9CA3AF"/>
              <w:right w:val="single" w:sz="4" w:space="0" w:color="9CA3AF"/>
            </w:tcBorders>
            <w:shd w:val="clear" w:color="auto" w:fill="auto"/>
            <w:hideMark/>
          </w:tcPr>
          <w:p w14:paraId="1D085E6E"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do të konfirmohet në vitin 2026.</w:t>
            </w:r>
          </w:p>
        </w:tc>
        <w:tc>
          <w:tcPr>
            <w:tcW w:w="850" w:type="dxa"/>
            <w:tcBorders>
              <w:top w:val="nil"/>
              <w:left w:val="nil"/>
              <w:bottom w:val="single" w:sz="4" w:space="0" w:color="9CA3AF"/>
              <w:right w:val="single" w:sz="4" w:space="0" w:color="9CA3AF"/>
            </w:tcBorders>
            <w:shd w:val="clear" w:color="auto" w:fill="auto"/>
            <w:hideMark/>
          </w:tcPr>
          <w:p w14:paraId="651B6CAA"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do të përcaktohet përgjatë viti 2026.</w:t>
            </w:r>
          </w:p>
        </w:tc>
        <w:tc>
          <w:tcPr>
            <w:tcW w:w="851" w:type="dxa"/>
            <w:tcBorders>
              <w:top w:val="nil"/>
              <w:left w:val="nil"/>
              <w:bottom w:val="single" w:sz="4" w:space="0" w:color="9CA3AF"/>
              <w:right w:val="single" w:sz="4" w:space="0" w:color="9CA3AF"/>
            </w:tcBorders>
            <w:shd w:val="clear" w:color="auto" w:fill="auto"/>
            <w:hideMark/>
          </w:tcPr>
          <w:p w14:paraId="68249344"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5E328BEA"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542E85A5" w14:textId="69A14C86"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Policia e Shtetit; Prokuroria e Përgjithshme; SPAK;</w:t>
            </w:r>
            <w:r w:rsidR="002651E7"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Ministria e Drejtësisë; Ministria e Punëve të Brendshme;</w:t>
            </w:r>
            <w:r w:rsidR="002651E7"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Inspektoriati Kombëtar i Mbrojtjes së Territorit</w:t>
            </w:r>
          </w:p>
        </w:tc>
      </w:tr>
      <w:tr w:rsidR="00F54824" w:rsidRPr="002128A6" w14:paraId="3AB2168C"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385D52B1" w14:textId="476E57CB"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NDJEKJA PENALE DHE GODITJA E KRIMIT TË ORGANIZUAR DHE KRIMEVE TË RËNDA </w:t>
            </w:r>
          </w:p>
        </w:tc>
        <w:tc>
          <w:tcPr>
            <w:tcW w:w="706" w:type="dxa"/>
            <w:tcBorders>
              <w:top w:val="nil"/>
              <w:left w:val="nil"/>
              <w:bottom w:val="single" w:sz="4" w:space="0" w:color="9CA3AF"/>
              <w:right w:val="single" w:sz="4" w:space="0" w:color="9CA3AF"/>
            </w:tcBorders>
            <w:shd w:val="clear" w:color="auto" w:fill="auto"/>
            <w:hideMark/>
          </w:tcPr>
          <w:p w14:paraId="6F3A1010"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2.9</w:t>
            </w:r>
          </w:p>
        </w:tc>
        <w:tc>
          <w:tcPr>
            <w:tcW w:w="993" w:type="dxa"/>
            <w:tcBorders>
              <w:top w:val="nil"/>
              <w:left w:val="nil"/>
              <w:bottom w:val="single" w:sz="4" w:space="0" w:color="9CA3AF"/>
              <w:right w:val="single" w:sz="4" w:space="0" w:color="9CA3AF"/>
            </w:tcBorders>
            <w:shd w:val="clear" w:color="auto" w:fill="auto"/>
            <w:hideMark/>
          </w:tcPr>
          <w:p w14:paraId="218725C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Rritja efektivitetit të ndjekjes ndërkombëtare të personave të kërkuar, e demonstruar përmes normave më të larta të arrestimit dhe ekzekutimit në kohë të procedurave të ekstradimit </w:t>
            </w:r>
          </w:p>
        </w:tc>
        <w:tc>
          <w:tcPr>
            <w:tcW w:w="1275" w:type="dxa"/>
            <w:tcBorders>
              <w:top w:val="nil"/>
              <w:left w:val="nil"/>
              <w:bottom w:val="single" w:sz="4" w:space="0" w:color="9CA3AF"/>
              <w:right w:val="single" w:sz="4" w:space="0" w:color="9CA3AF"/>
            </w:tcBorders>
            <w:shd w:val="clear" w:color="auto" w:fill="auto"/>
            <w:hideMark/>
          </w:tcPr>
          <w:p w14:paraId="58C04556"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[2.9.1] Rritje e kapjes së të kërkuarve përmes zbulimit të përmirësuar dhe bashkëpunimit ndërkombëtar. [2.9.2] Procedura më të shpejta të ekstradimit duke reduktuar periudhat e paraburgimit para ekstradimit. [2.9.3] Koordinim i përmirësuar ndërinstitucional për menaxhimin e të arratisurve. </w:t>
            </w:r>
          </w:p>
        </w:tc>
        <w:tc>
          <w:tcPr>
            <w:tcW w:w="1134" w:type="dxa"/>
            <w:tcBorders>
              <w:top w:val="nil"/>
              <w:left w:val="nil"/>
              <w:bottom w:val="single" w:sz="4" w:space="0" w:color="9CA3AF"/>
              <w:right w:val="single" w:sz="4" w:space="0" w:color="9CA3AF"/>
            </w:tcBorders>
            <w:shd w:val="clear" w:color="auto" w:fill="auto"/>
            <w:hideMark/>
          </w:tcPr>
          <w:p w14:paraId="6330E77B"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Shkalla vjetore e personave të shpallur në kërkim, të kapur.</w:t>
            </w:r>
          </w:p>
        </w:tc>
        <w:tc>
          <w:tcPr>
            <w:tcW w:w="1418" w:type="dxa"/>
            <w:tcBorders>
              <w:top w:val="nil"/>
              <w:left w:val="nil"/>
              <w:bottom w:val="single" w:sz="4" w:space="0" w:color="9CA3AF"/>
              <w:right w:val="single" w:sz="4" w:space="0" w:color="9CA3AF"/>
            </w:tcBorders>
            <w:shd w:val="clear" w:color="auto" w:fill="auto"/>
            <w:hideMark/>
          </w:tcPr>
          <w:p w14:paraId="662D4175"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për vitin 2025 është rreth 22% (sipas të dhënave të Policisë së Shtetit më 1 janar të vitit 2025)</w:t>
            </w:r>
          </w:p>
        </w:tc>
        <w:tc>
          <w:tcPr>
            <w:tcW w:w="850" w:type="dxa"/>
            <w:tcBorders>
              <w:top w:val="nil"/>
              <w:left w:val="nil"/>
              <w:bottom w:val="single" w:sz="4" w:space="0" w:color="9CA3AF"/>
              <w:right w:val="single" w:sz="4" w:space="0" w:color="9CA3AF"/>
            </w:tcBorders>
            <w:shd w:val="clear" w:color="auto" w:fill="auto"/>
            <w:hideMark/>
          </w:tcPr>
          <w:p w14:paraId="7135154B"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 +4.5% rritje krahasuar me vlerësimin bazë deri në vitin 2030.</w:t>
            </w:r>
          </w:p>
        </w:tc>
        <w:tc>
          <w:tcPr>
            <w:tcW w:w="851" w:type="dxa"/>
            <w:tcBorders>
              <w:top w:val="nil"/>
              <w:left w:val="nil"/>
              <w:bottom w:val="single" w:sz="4" w:space="0" w:color="9CA3AF"/>
              <w:right w:val="single" w:sz="4" w:space="0" w:color="9CA3AF"/>
            </w:tcBorders>
            <w:shd w:val="clear" w:color="auto" w:fill="auto"/>
            <w:hideMark/>
          </w:tcPr>
          <w:p w14:paraId="1C7EDEC0"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4A343302"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4F95A399"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Policia e Shtetit; Ministria e Drejtësisë; </w:t>
            </w:r>
          </w:p>
        </w:tc>
      </w:tr>
      <w:tr w:rsidR="00F54824" w:rsidRPr="002128A6" w14:paraId="51BF7937"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5D17DD43" w14:textId="352DDE4B"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QP III </w:t>
            </w:r>
            <w:r w:rsidR="002651E7" w:rsidRPr="002128A6">
              <w:rPr>
                <w:rFonts w:ascii="Garamond" w:eastAsia="Times New Roman" w:hAnsi="Garamond" w:cs="Arial"/>
                <w:kern w:val="0"/>
                <w:sz w:val="12"/>
                <w:szCs w:val="14"/>
                <w14:ligatures w14:val="none"/>
              </w:rPr>
              <w:t>–</w:t>
            </w:r>
            <w:r w:rsidRPr="002128A6">
              <w:rPr>
                <w:rFonts w:ascii="Garamond" w:eastAsia="Times New Roman" w:hAnsi="Garamond" w:cs="Arial"/>
                <w:kern w:val="0"/>
                <w:sz w:val="12"/>
                <w:szCs w:val="14"/>
                <w14:ligatures w14:val="none"/>
              </w:rPr>
              <w:t xml:space="preserve"> BASHKËPUNIMI KOMBËTAR DHE NDËRKOMBËTAR</w:t>
            </w:r>
          </w:p>
        </w:tc>
        <w:tc>
          <w:tcPr>
            <w:tcW w:w="706" w:type="dxa"/>
            <w:tcBorders>
              <w:top w:val="nil"/>
              <w:left w:val="nil"/>
              <w:bottom w:val="single" w:sz="4" w:space="0" w:color="9CA3AF"/>
              <w:right w:val="single" w:sz="4" w:space="0" w:color="9CA3AF"/>
            </w:tcBorders>
            <w:shd w:val="clear" w:color="auto" w:fill="auto"/>
            <w:hideMark/>
          </w:tcPr>
          <w:p w14:paraId="77903C76"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3.1</w:t>
            </w:r>
          </w:p>
        </w:tc>
        <w:tc>
          <w:tcPr>
            <w:tcW w:w="993" w:type="dxa"/>
            <w:tcBorders>
              <w:top w:val="nil"/>
              <w:left w:val="nil"/>
              <w:bottom w:val="single" w:sz="4" w:space="0" w:color="9CA3AF"/>
              <w:right w:val="single" w:sz="4" w:space="0" w:color="9CA3AF"/>
            </w:tcBorders>
            <w:shd w:val="clear" w:color="auto" w:fill="auto"/>
            <w:hideMark/>
          </w:tcPr>
          <w:p w14:paraId="736C74FF"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Forcimi i bashkëpunimit policor ndërkombëtar përmes rritjes së shkëmbimit të informacionit, operacioneve të përbashkëta, dhe ndërprerjes ndërkufitare të krimit të organizuar </w:t>
            </w:r>
          </w:p>
        </w:tc>
        <w:tc>
          <w:tcPr>
            <w:tcW w:w="1275" w:type="dxa"/>
            <w:tcBorders>
              <w:top w:val="nil"/>
              <w:left w:val="nil"/>
              <w:bottom w:val="single" w:sz="4" w:space="0" w:color="9CA3AF"/>
              <w:right w:val="single" w:sz="4" w:space="0" w:color="9CA3AF"/>
            </w:tcBorders>
            <w:shd w:val="clear" w:color="auto" w:fill="auto"/>
            <w:hideMark/>
          </w:tcPr>
          <w:p w14:paraId="22D15DD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[3.1.1] Rritja e vëllimit, shpejtësisë dhe cilësisë së shkëmbimit të inteligjencës policore me partnerët ndërkombëtarë. [3.1.2] Frekuencë dhe efektivitet më të lartë të operacioneve të përbashkëta policore kundër krimit të organizuar ndërkufitar. [3.1.3] Ndërprerje e qëndrueshme e rrjeteve të organizuara kriminale ndërkombëtare që </w:t>
            </w:r>
            <w:r w:rsidRPr="002128A6">
              <w:rPr>
                <w:rFonts w:ascii="Garamond" w:eastAsia="Times New Roman" w:hAnsi="Garamond" w:cs="Arial"/>
                <w:kern w:val="0"/>
                <w:sz w:val="12"/>
                <w:szCs w:val="14"/>
                <w14:ligatures w14:val="none"/>
              </w:rPr>
              <w:lastRenderedPageBreak/>
              <w:t xml:space="preserve">veprojnë përmes Shqipërisë. </w:t>
            </w:r>
          </w:p>
        </w:tc>
        <w:tc>
          <w:tcPr>
            <w:tcW w:w="1134" w:type="dxa"/>
            <w:tcBorders>
              <w:top w:val="nil"/>
              <w:left w:val="nil"/>
              <w:bottom w:val="single" w:sz="4" w:space="0" w:color="9CA3AF"/>
              <w:right w:val="single" w:sz="4" w:space="0" w:color="9CA3AF"/>
            </w:tcBorders>
            <w:shd w:val="clear" w:color="auto" w:fill="auto"/>
            <w:hideMark/>
          </w:tcPr>
          <w:p w14:paraId="5509B6AE"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lastRenderedPageBreak/>
              <w:t>Niveli i goditjes së rrjeteve kriminale në bashkëpunim me partnerët ndërkombëtar.</w:t>
            </w:r>
          </w:p>
        </w:tc>
        <w:tc>
          <w:tcPr>
            <w:tcW w:w="1418" w:type="dxa"/>
            <w:tcBorders>
              <w:top w:val="nil"/>
              <w:left w:val="nil"/>
              <w:bottom w:val="single" w:sz="4" w:space="0" w:color="9CA3AF"/>
              <w:right w:val="single" w:sz="4" w:space="0" w:color="9CA3AF"/>
            </w:tcBorders>
            <w:shd w:val="clear" w:color="auto" w:fill="auto"/>
            <w:hideMark/>
          </w:tcPr>
          <w:p w14:paraId="70B2062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Vlera bazë 2025: 130 operacione të përbashkëta </w:t>
            </w:r>
          </w:p>
        </w:tc>
        <w:tc>
          <w:tcPr>
            <w:tcW w:w="850" w:type="dxa"/>
            <w:tcBorders>
              <w:top w:val="nil"/>
              <w:left w:val="nil"/>
              <w:bottom w:val="single" w:sz="4" w:space="0" w:color="9CA3AF"/>
              <w:right w:val="single" w:sz="4" w:space="0" w:color="9CA3AF"/>
            </w:tcBorders>
            <w:shd w:val="clear" w:color="auto" w:fill="auto"/>
            <w:hideMark/>
          </w:tcPr>
          <w:p w14:paraId="78A3EBCC"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 +10% e vlerës bazë.</w:t>
            </w:r>
          </w:p>
        </w:tc>
        <w:tc>
          <w:tcPr>
            <w:tcW w:w="851" w:type="dxa"/>
            <w:tcBorders>
              <w:top w:val="nil"/>
              <w:left w:val="nil"/>
              <w:bottom w:val="single" w:sz="4" w:space="0" w:color="9CA3AF"/>
              <w:right w:val="single" w:sz="4" w:space="0" w:color="9CA3AF"/>
            </w:tcBorders>
            <w:shd w:val="clear" w:color="auto" w:fill="auto"/>
            <w:hideMark/>
          </w:tcPr>
          <w:p w14:paraId="4399F043"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03A31DA0"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23B42A17"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Policia e Shtetit; Ministria e Punëve të Brendshme; </w:t>
            </w:r>
          </w:p>
        </w:tc>
      </w:tr>
      <w:tr w:rsidR="00F54824" w:rsidRPr="002128A6" w14:paraId="474205BE" w14:textId="77777777" w:rsidTr="0030380C">
        <w:trPr>
          <w:trHeight w:val="20"/>
        </w:trPr>
        <w:tc>
          <w:tcPr>
            <w:tcW w:w="1279" w:type="dxa"/>
            <w:tcBorders>
              <w:top w:val="nil"/>
              <w:left w:val="single" w:sz="4" w:space="0" w:color="9CA3AF"/>
              <w:bottom w:val="single" w:sz="4" w:space="0" w:color="9CA3AF"/>
              <w:right w:val="single" w:sz="4" w:space="0" w:color="9CA3AF"/>
            </w:tcBorders>
            <w:shd w:val="clear" w:color="auto" w:fill="auto"/>
            <w:hideMark/>
          </w:tcPr>
          <w:p w14:paraId="399A0A0C" w14:textId="438564C8"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QP III</w:t>
            </w:r>
            <w:r w:rsidR="002651E7" w:rsidRPr="002128A6">
              <w:rPr>
                <w:rFonts w:ascii="Garamond" w:eastAsia="Times New Roman" w:hAnsi="Garamond" w:cs="Arial"/>
                <w:kern w:val="0"/>
                <w:sz w:val="12"/>
                <w:szCs w:val="14"/>
                <w14:ligatures w14:val="none"/>
              </w:rPr>
              <w:t xml:space="preserve"> – </w:t>
            </w:r>
            <w:r w:rsidRPr="002128A6">
              <w:rPr>
                <w:rFonts w:ascii="Garamond" w:eastAsia="Times New Roman" w:hAnsi="Garamond" w:cs="Arial"/>
                <w:kern w:val="0"/>
                <w:sz w:val="12"/>
                <w:szCs w:val="14"/>
                <w14:ligatures w14:val="none"/>
              </w:rPr>
              <w:t>BASHKËPUNIMI KOMBËTAR DHE NDËRKOMBËTAR</w:t>
            </w:r>
          </w:p>
        </w:tc>
        <w:tc>
          <w:tcPr>
            <w:tcW w:w="706" w:type="dxa"/>
            <w:tcBorders>
              <w:top w:val="nil"/>
              <w:left w:val="nil"/>
              <w:bottom w:val="single" w:sz="4" w:space="0" w:color="9CA3AF"/>
              <w:right w:val="single" w:sz="4" w:space="0" w:color="9CA3AF"/>
            </w:tcBorders>
            <w:shd w:val="clear" w:color="auto" w:fill="auto"/>
            <w:hideMark/>
          </w:tcPr>
          <w:p w14:paraId="65804ABE" w14:textId="77777777" w:rsidR="0030380C" w:rsidRPr="002128A6" w:rsidRDefault="0030380C" w:rsidP="0030380C">
            <w:pPr>
              <w:spacing w:after="0" w:line="240" w:lineRule="auto"/>
              <w:rPr>
                <w:rFonts w:ascii="Garamond" w:eastAsia="Times New Roman" w:hAnsi="Garamond" w:cs="Arial"/>
                <w:b/>
                <w:bCs/>
                <w:kern w:val="0"/>
                <w:sz w:val="12"/>
                <w:szCs w:val="14"/>
                <w14:ligatures w14:val="none"/>
              </w:rPr>
            </w:pPr>
            <w:r w:rsidRPr="002128A6">
              <w:rPr>
                <w:rFonts w:ascii="Garamond" w:eastAsia="Times New Roman" w:hAnsi="Garamond" w:cs="Arial"/>
                <w:b/>
                <w:bCs/>
                <w:kern w:val="0"/>
                <w:sz w:val="12"/>
                <w:szCs w:val="14"/>
                <w14:ligatures w14:val="none"/>
              </w:rPr>
              <w:t>3.2</w:t>
            </w:r>
          </w:p>
        </w:tc>
        <w:tc>
          <w:tcPr>
            <w:tcW w:w="993" w:type="dxa"/>
            <w:tcBorders>
              <w:top w:val="nil"/>
              <w:left w:val="nil"/>
              <w:bottom w:val="single" w:sz="4" w:space="0" w:color="9CA3AF"/>
              <w:right w:val="single" w:sz="4" w:space="0" w:color="9CA3AF"/>
            </w:tcBorders>
            <w:shd w:val="clear" w:color="auto" w:fill="auto"/>
            <w:hideMark/>
          </w:tcPr>
          <w:p w14:paraId="05C059CE" w14:textId="1C3430AD"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Përmirësimi i efektivitetit të bashkëpunimit gjyqësor ndërkombëtar</w:t>
            </w:r>
            <w:r w:rsidR="00F54824" w:rsidRPr="002128A6">
              <w:rPr>
                <w:rFonts w:ascii="Garamond" w:eastAsia="Times New Roman" w:hAnsi="Garamond" w:cs="Arial"/>
                <w:kern w:val="0"/>
                <w:sz w:val="12"/>
                <w:szCs w:val="14"/>
                <w14:ligatures w14:val="none"/>
              </w:rPr>
              <w:t xml:space="preserve"> </w:t>
            </w:r>
            <w:r w:rsidRPr="002128A6">
              <w:rPr>
                <w:rFonts w:ascii="Garamond" w:eastAsia="Times New Roman" w:hAnsi="Garamond" w:cs="Arial"/>
                <w:kern w:val="0"/>
                <w:sz w:val="12"/>
                <w:szCs w:val="14"/>
                <w14:ligatures w14:val="none"/>
              </w:rPr>
              <w:t xml:space="preserve">përmes shpejtimit të shkëmbimit të informacionit, forcimit të ndjekjes së çështjeve dhe rritjes së ekzekutimit të vendimeve gjyqësore të huaja </w:t>
            </w:r>
          </w:p>
        </w:tc>
        <w:tc>
          <w:tcPr>
            <w:tcW w:w="1275" w:type="dxa"/>
            <w:tcBorders>
              <w:top w:val="nil"/>
              <w:left w:val="nil"/>
              <w:bottom w:val="single" w:sz="4" w:space="0" w:color="9CA3AF"/>
              <w:right w:val="single" w:sz="4" w:space="0" w:color="9CA3AF"/>
            </w:tcBorders>
            <w:shd w:val="clear" w:color="auto" w:fill="auto"/>
            <w:hideMark/>
          </w:tcPr>
          <w:p w14:paraId="3F41F433"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[3.2.1] Përpunimi i ndihmës së ndërsjellë juridike është ndjeshëm më i shpejtë me afate kohore të parashikueshme. [3.2.2] Përqindja e kërkesave të bashkëpunimit ndërkombëtar të ekzekutuara me sukses rritet ndjeshëm. [3.2.3]Çështjet gjyqësore kryesore të krimit të organizuar me dimensione ndërkombëtare, gjurmohen deri në finalizim në çdo shkallë. </w:t>
            </w:r>
          </w:p>
        </w:tc>
        <w:tc>
          <w:tcPr>
            <w:tcW w:w="1134" w:type="dxa"/>
            <w:tcBorders>
              <w:top w:val="nil"/>
              <w:left w:val="nil"/>
              <w:bottom w:val="single" w:sz="4" w:space="0" w:color="9CA3AF"/>
              <w:right w:val="single" w:sz="4" w:space="0" w:color="9CA3AF"/>
            </w:tcBorders>
            <w:shd w:val="clear" w:color="auto" w:fill="auto"/>
            <w:hideMark/>
          </w:tcPr>
          <w:p w14:paraId="6042237D"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Norma e efektivitetit të bashkëpunimit gjyqësor ndërkombëtar.</w:t>
            </w:r>
          </w:p>
        </w:tc>
        <w:tc>
          <w:tcPr>
            <w:tcW w:w="1418" w:type="dxa"/>
            <w:tcBorders>
              <w:top w:val="nil"/>
              <w:left w:val="nil"/>
              <w:bottom w:val="single" w:sz="4" w:space="0" w:color="9CA3AF"/>
              <w:right w:val="single" w:sz="4" w:space="0" w:color="9CA3AF"/>
            </w:tcBorders>
            <w:shd w:val="clear" w:color="auto" w:fill="auto"/>
            <w:hideMark/>
          </w:tcPr>
          <w:p w14:paraId="64585FE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Vlera bazë 2025: 66.3%</w:t>
            </w:r>
          </w:p>
        </w:tc>
        <w:tc>
          <w:tcPr>
            <w:tcW w:w="850" w:type="dxa"/>
            <w:tcBorders>
              <w:top w:val="nil"/>
              <w:left w:val="nil"/>
              <w:bottom w:val="single" w:sz="4" w:space="0" w:color="9CA3AF"/>
              <w:right w:val="single" w:sz="4" w:space="0" w:color="9CA3AF"/>
            </w:tcBorders>
            <w:shd w:val="clear" w:color="auto" w:fill="auto"/>
            <w:hideMark/>
          </w:tcPr>
          <w:p w14:paraId="2D63230A"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 + 15% e vlerës bazë </w:t>
            </w:r>
          </w:p>
        </w:tc>
        <w:tc>
          <w:tcPr>
            <w:tcW w:w="851" w:type="dxa"/>
            <w:tcBorders>
              <w:top w:val="nil"/>
              <w:left w:val="nil"/>
              <w:bottom w:val="single" w:sz="4" w:space="0" w:color="9CA3AF"/>
              <w:right w:val="single" w:sz="4" w:space="0" w:color="9CA3AF"/>
            </w:tcBorders>
            <w:shd w:val="clear" w:color="auto" w:fill="auto"/>
            <w:hideMark/>
          </w:tcPr>
          <w:p w14:paraId="4F440A7A"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 xml:space="preserve">Raporti vjetor i institucionit kryesor; </w:t>
            </w:r>
          </w:p>
        </w:tc>
        <w:tc>
          <w:tcPr>
            <w:tcW w:w="850" w:type="dxa"/>
            <w:tcBorders>
              <w:top w:val="nil"/>
              <w:left w:val="nil"/>
              <w:bottom w:val="single" w:sz="4" w:space="0" w:color="9CA3AF"/>
              <w:right w:val="single" w:sz="4" w:space="0" w:color="9CA3AF"/>
            </w:tcBorders>
            <w:shd w:val="clear" w:color="auto" w:fill="auto"/>
            <w:hideMark/>
          </w:tcPr>
          <w:p w14:paraId="0052CDFB"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Rishikimi vjetor + afatmesëm i vitit 2027</w:t>
            </w:r>
          </w:p>
        </w:tc>
        <w:tc>
          <w:tcPr>
            <w:tcW w:w="1134" w:type="dxa"/>
            <w:tcBorders>
              <w:top w:val="nil"/>
              <w:left w:val="nil"/>
              <w:bottom w:val="single" w:sz="4" w:space="0" w:color="9CA3AF"/>
              <w:right w:val="single" w:sz="4" w:space="0" w:color="9CA3AF"/>
            </w:tcBorders>
            <w:shd w:val="clear" w:color="auto" w:fill="auto"/>
            <w:hideMark/>
          </w:tcPr>
          <w:p w14:paraId="03B4B9A1" w14:textId="77777777" w:rsidR="0030380C" w:rsidRPr="002128A6" w:rsidRDefault="0030380C" w:rsidP="0030380C">
            <w:pPr>
              <w:spacing w:after="0" w:line="240" w:lineRule="auto"/>
              <w:rPr>
                <w:rFonts w:ascii="Garamond" w:eastAsia="Times New Roman" w:hAnsi="Garamond" w:cs="Arial"/>
                <w:kern w:val="0"/>
                <w:sz w:val="12"/>
                <w:szCs w:val="14"/>
                <w14:ligatures w14:val="none"/>
              </w:rPr>
            </w:pPr>
            <w:r w:rsidRPr="002128A6">
              <w:rPr>
                <w:rFonts w:ascii="Garamond" w:eastAsia="Times New Roman" w:hAnsi="Garamond" w:cs="Arial"/>
                <w:kern w:val="0"/>
                <w:sz w:val="12"/>
                <w:szCs w:val="14"/>
                <w14:ligatures w14:val="none"/>
              </w:rPr>
              <w:t>Prokuroria e Përgjithshme; SPAK</w:t>
            </w:r>
          </w:p>
        </w:tc>
      </w:tr>
    </w:tbl>
    <w:p w14:paraId="131F538A" w14:textId="77777777" w:rsidR="002651E7" w:rsidRPr="002128A6" w:rsidRDefault="002651E7" w:rsidP="002651E7">
      <w:pPr>
        <w:pStyle w:val="NormalWeb"/>
        <w:spacing w:before="0" w:beforeAutospacing="0" w:after="0" w:afterAutospacing="0"/>
        <w:jc w:val="center"/>
        <w:rPr>
          <w:rFonts w:ascii="Garamond" w:hAnsi="Garamond" w:cstheme="majorBidi"/>
        </w:rPr>
      </w:pPr>
    </w:p>
    <w:p w14:paraId="09B44B34" w14:textId="4775F406" w:rsidR="0030380C" w:rsidRPr="002128A6" w:rsidRDefault="002651E7" w:rsidP="002651E7">
      <w:pPr>
        <w:pStyle w:val="NormalWeb"/>
        <w:spacing w:before="0" w:beforeAutospacing="0" w:after="0" w:afterAutospacing="0"/>
        <w:jc w:val="center"/>
        <w:rPr>
          <w:rFonts w:ascii="Garamond" w:hAnsi="Garamond" w:cstheme="majorBidi"/>
        </w:rPr>
      </w:pPr>
      <w:r w:rsidRPr="002128A6">
        <w:rPr>
          <w:rFonts w:ascii="Garamond" w:hAnsi="Garamond" w:cstheme="majorBidi"/>
        </w:rPr>
        <w:t>PLANI I VEPRIMIT TË SOC-së</w:t>
      </w:r>
      <w:r w:rsidR="00C42826" w:rsidRPr="002128A6">
        <w:rPr>
          <w:rFonts w:ascii="Garamond" w:hAnsi="Garamond" w:cstheme="majorBidi"/>
        </w:rPr>
        <w:t xml:space="preserve"> (KUNDËR KRIMIT TË ORGANIZUAR DHE KRIMEVE TË RËNDA) 2026–2030 </w:t>
      </w:r>
      <w:r w:rsidR="00386FF6" w:rsidRPr="002128A6">
        <w:rPr>
          <w:rFonts w:ascii="Garamond" w:hAnsi="Garamond" w:cstheme="majorBidi"/>
        </w:rPr>
        <w:t>–</w:t>
      </w:r>
      <w:r w:rsidR="00C42826" w:rsidRPr="002128A6">
        <w:rPr>
          <w:rFonts w:ascii="Garamond" w:hAnsi="Garamond" w:cstheme="majorBidi"/>
        </w:rPr>
        <w:t xml:space="preserve"> </w:t>
      </w:r>
      <w:r w:rsidRPr="002128A6">
        <w:rPr>
          <w:rFonts w:ascii="Garamond" w:hAnsi="Garamond" w:cstheme="majorBidi"/>
        </w:rPr>
        <w:t>ZINXHIRI I REZULTATEVE – MONITORIMI – KOSTOJA</w:t>
      </w:r>
    </w:p>
    <w:p w14:paraId="318B9939" w14:textId="640CB6BD" w:rsidR="00C42826" w:rsidRPr="002128A6" w:rsidRDefault="00C42826" w:rsidP="00C42826">
      <w:pPr>
        <w:pStyle w:val="NormalWeb"/>
        <w:spacing w:before="0" w:beforeAutospacing="0" w:after="0" w:afterAutospacing="0"/>
        <w:rPr>
          <w:rFonts w:ascii="Garamond" w:hAnsi="Garamond" w:cstheme="majorBidi"/>
          <w:b/>
          <w:bCs/>
        </w:rPr>
      </w:pPr>
    </w:p>
    <w:tbl>
      <w:tblPr>
        <w:tblW w:w="10916" w:type="dxa"/>
        <w:tblInd w:w="-856" w:type="dxa"/>
        <w:tblLook w:val="04A0" w:firstRow="1" w:lastRow="0" w:firstColumn="1" w:lastColumn="0" w:noHBand="0" w:noVBand="1"/>
      </w:tblPr>
      <w:tblGrid>
        <w:gridCol w:w="693"/>
        <w:gridCol w:w="330"/>
        <w:gridCol w:w="874"/>
        <w:gridCol w:w="520"/>
        <w:gridCol w:w="1016"/>
        <w:gridCol w:w="528"/>
        <w:gridCol w:w="1319"/>
        <w:gridCol w:w="705"/>
        <w:gridCol w:w="922"/>
        <w:gridCol w:w="966"/>
        <w:gridCol w:w="442"/>
        <w:gridCol w:w="600"/>
        <w:gridCol w:w="654"/>
        <w:gridCol w:w="1352"/>
      </w:tblGrid>
      <w:tr w:rsidR="00F54824" w:rsidRPr="002128A6" w14:paraId="59EFA1C2" w14:textId="77777777" w:rsidTr="00C42826">
        <w:trPr>
          <w:trHeight w:val="20"/>
        </w:trPr>
        <w:tc>
          <w:tcPr>
            <w:tcW w:w="3470" w:type="dxa"/>
            <w:gridSpan w:val="5"/>
            <w:tcBorders>
              <w:top w:val="single" w:sz="4" w:space="0" w:color="9CA3AF"/>
              <w:left w:val="single" w:sz="4" w:space="0" w:color="9CA3AF"/>
              <w:bottom w:val="single" w:sz="4" w:space="0" w:color="9CA3AF"/>
              <w:right w:val="nil"/>
            </w:tcBorders>
            <w:shd w:val="clear" w:color="003366" w:fill="1E3A8A"/>
            <w:hideMark/>
          </w:tcPr>
          <w:p w14:paraId="069C5782" w14:textId="77777777" w:rsidR="00C42826" w:rsidRPr="002128A6" w:rsidRDefault="00C42826" w:rsidP="00C42826">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Zinxhiri i rezultateve</w:t>
            </w:r>
          </w:p>
        </w:tc>
        <w:tc>
          <w:tcPr>
            <w:tcW w:w="5445" w:type="dxa"/>
            <w:gridSpan w:val="7"/>
            <w:tcBorders>
              <w:top w:val="single" w:sz="4" w:space="0" w:color="9CA3AF"/>
              <w:left w:val="single" w:sz="4" w:space="0" w:color="9CA3AF"/>
              <w:bottom w:val="single" w:sz="4" w:space="0" w:color="9CA3AF"/>
              <w:right w:val="nil"/>
            </w:tcBorders>
            <w:shd w:val="clear" w:color="4472C4" w:fill="2563EB"/>
            <w:hideMark/>
          </w:tcPr>
          <w:p w14:paraId="36D5DC83" w14:textId="77777777" w:rsidR="00C42826" w:rsidRPr="002128A6" w:rsidRDefault="00C42826" w:rsidP="00C42826">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Zbatimi</w:t>
            </w:r>
          </w:p>
        </w:tc>
        <w:tc>
          <w:tcPr>
            <w:tcW w:w="2001" w:type="dxa"/>
            <w:gridSpan w:val="2"/>
            <w:tcBorders>
              <w:top w:val="single" w:sz="4" w:space="0" w:color="9CA3AF"/>
              <w:left w:val="single" w:sz="4" w:space="0" w:color="9CA3AF"/>
              <w:bottom w:val="single" w:sz="4" w:space="0" w:color="9CA3AF"/>
              <w:right w:val="nil"/>
            </w:tcBorders>
            <w:shd w:val="clear" w:color="4472C4" w:fill="2563EB"/>
            <w:hideMark/>
          </w:tcPr>
          <w:p w14:paraId="45794F9A" w14:textId="77777777" w:rsidR="00C42826" w:rsidRPr="002128A6" w:rsidRDefault="00C42826" w:rsidP="00C42826">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Kostoja (e ruajtur)</w:t>
            </w:r>
          </w:p>
        </w:tc>
      </w:tr>
      <w:tr w:rsidR="00F54824" w:rsidRPr="002128A6" w14:paraId="07A919A6" w14:textId="77777777" w:rsidTr="002651E7">
        <w:trPr>
          <w:trHeight w:val="20"/>
        </w:trPr>
        <w:tc>
          <w:tcPr>
            <w:tcW w:w="749" w:type="dxa"/>
            <w:tcBorders>
              <w:top w:val="nil"/>
              <w:left w:val="single" w:sz="4" w:space="0" w:color="9CA3AF"/>
              <w:bottom w:val="single" w:sz="4" w:space="0" w:color="9CA3AF"/>
              <w:right w:val="single" w:sz="4" w:space="0" w:color="9CA3AF"/>
            </w:tcBorders>
            <w:shd w:val="clear" w:color="008080" w:fill="047857"/>
            <w:vAlign w:val="center"/>
            <w:hideMark/>
          </w:tcPr>
          <w:p w14:paraId="591D6F02"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Qëllimi Politik</w:t>
            </w:r>
          </w:p>
        </w:tc>
        <w:tc>
          <w:tcPr>
            <w:tcW w:w="330" w:type="dxa"/>
            <w:tcBorders>
              <w:top w:val="nil"/>
              <w:left w:val="nil"/>
              <w:bottom w:val="single" w:sz="4" w:space="0" w:color="9CA3AF"/>
              <w:right w:val="single" w:sz="4" w:space="0" w:color="9CA3AF"/>
            </w:tcBorders>
            <w:shd w:val="clear" w:color="008080" w:fill="047857"/>
            <w:vAlign w:val="center"/>
            <w:hideMark/>
          </w:tcPr>
          <w:p w14:paraId="59389045" w14:textId="33D481F1"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PO JO</w:t>
            </w:r>
          </w:p>
        </w:tc>
        <w:tc>
          <w:tcPr>
            <w:tcW w:w="867" w:type="dxa"/>
            <w:tcBorders>
              <w:top w:val="nil"/>
              <w:left w:val="nil"/>
              <w:bottom w:val="single" w:sz="4" w:space="0" w:color="9CA3AF"/>
              <w:right w:val="single" w:sz="4" w:space="0" w:color="9CA3AF"/>
            </w:tcBorders>
            <w:shd w:val="clear" w:color="008080" w:fill="047857"/>
            <w:vAlign w:val="center"/>
            <w:hideMark/>
          </w:tcPr>
          <w:p w14:paraId="6A037A29" w14:textId="2763BA38"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 xml:space="preserve">Objektivi </w:t>
            </w:r>
            <w:r w:rsidR="002651E7" w:rsidRPr="002128A6">
              <w:rPr>
                <w:rFonts w:ascii="Garamond" w:eastAsia="Times New Roman" w:hAnsi="Garamond" w:cs="Times New Roman"/>
                <w:b/>
                <w:bCs/>
                <w:kern w:val="0"/>
                <w:sz w:val="8"/>
                <w:szCs w:val="8"/>
                <w14:ligatures w14:val="none"/>
              </w:rPr>
              <w:t>specifik</w:t>
            </w:r>
          </w:p>
        </w:tc>
        <w:tc>
          <w:tcPr>
            <w:tcW w:w="517" w:type="dxa"/>
            <w:tcBorders>
              <w:top w:val="nil"/>
              <w:left w:val="nil"/>
              <w:bottom w:val="single" w:sz="4" w:space="0" w:color="9CA3AF"/>
              <w:right w:val="single" w:sz="4" w:space="0" w:color="9CA3AF"/>
            </w:tcBorders>
            <w:shd w:val="clear" w:color="008080" w:fill="047857"/>
            <w:vAlign w:val="center"/>
            <w:hideMark/>
          </w:tcPr>
          <w:p w14:paraId="22726198"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ID-ja e rezultatit</w:t>
            </w:r>
          </w:p>
        </w:tc>
        <w:tc>
          <w:tcPr>
            <w:tcW w:w="1007" w:type="dxa"/>
            <w:tcBorders>
              <w:top w:val="nil"/>
              <w:left w:val="nil"/>
              <w:bottom w:val="single" w:sz="4" w:space="0" w:color="9CA3AF"/>
              <w:right w:val="single" w:sz="4" w:space="0" w:color="9CA3AF"/>
            </w:tcBorders>
            <w:shd w:val="clear" w:color="008080" w:fill="047857"/>
            <w:vAlign w:val="center"/>
            <w:hideMark/>
          </w:tcPr>
          <w:p w14:paraId="1916D0E0"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Rezultati (sipas kornizës logjike të strategjisë)</w:t>
            </w:r>
          </w:p>
        </w:tc>
        <w:tc>
          <w:tcPr>
            <w:tcW w:w="524" w:type="dxa"/>
            <w:tcBorders>
              <w:top w:val="nil"/>
              <w:left w:val="nil"/>
              <w:bottom w:val="single" w:sz="4" w:space="0" w:color="9CA3AF"/>
              <w:right w:val="single" w:sz="4" w:space="0" w:color="9CA3AF"/>
            </w:tcBorders>
            <w:shd w:val="clear" w:color="003366" w:fill="1E3A8A"/>
            <w:vAlign w:val="center"/>
            <w:hideMark/>
          </w:tcPr>
          <w:p w14:paraId="1B57CDE3" w14:textId="43E86A8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 xml:space="preserve">Aktiviteti </w:t>
            </w:r>
            <w:r w:rsidR="002651E7" w:rsidRPr="002128A6">
              <w:rPr>
                <w:rFonts w:ascii="Garamond" w:eastAsia="Times New Roman" w:hAnsi="Garamond" w:cs="Times New Roman"/>
                <w:b/>
                <w:bCs/>
                <w:kern w:val="0"/>
                <w:sz w:val="8"/>
                <w:szCs w:val="8"/>
                <w14:ligatures w14:val="none"/>
              </w:rPr>
              <w:t>nr</w:t>
            </w:r>
            <w:r w:rsidRPr="002128A6">
              <w:rPr>
                <w:rFonts w:ascii="Garamond" w:eastAsia="Times New Roman" w:hAnsi="Garamond" w:cs="Times New Roman"/>
                <w:b/>
                <w:bCs/>
                <w:kern w:val="0"/>
                <w:sz w:val="8"/>
                <w:szCs w:val="8"/>
                <w14:ligatures w14:val="none"/>
              </w:rPr>
              <w:t>.</w:t>
            </w:r>
          </w:p>
        </w:tc>
        <w:tc>
          <w:tcPr>
            <w:tcW w:w="1307" w:type="dxa"/>
            <w:tcBorders>
              <w:top w:val="nil"/>
              <w:left w:val="nil"/>
              <w:bottom w:val="single" w:sz="4" w:space="0" w:color="9CA3AF"/>
              <w:right w:val="single" w:sz="4" w:space="0" w:color="9CA3AF"/>
            </w:tcBorders>
            <w:shd w:val="clear" w:color="003366" w:fill="1E3A8A"/>
            <w:vAlign w:val="center"/>
            <w:hideMark/>
          </w:tcPr>
          <w:p w14:paraId="12822CE6"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Titulli i aktivitetit</w:t>
            </w:r>
          </w:p>
        </w:tc>
        <w:tc>
          <w:tcPr>
            <w:tcW w:w="699" w:type="dxa"/>
            <w:tcBorders>
              <w:top w:val="nil"/>
              <w:left w:val="nil"/>
              <w:bottom w:val="single" w:sz="4" w:space="0" w:color="9CA3AF"/>
              <w:right w:val="single" w:sz="4" w:space="0" w:color="9CA3AF"/>
            </w:tcBorders>
            <w:shd w:val="clear" w:color="003366" w:fill="1E3A8A"/>
            <w:vAlign w:val="center"/>
            <w:hideMark/>
          </w:tcPr>
          <w:p w14:paraId="27012635"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Programi i buxhetit</w:t>
            </w:r>
          </w:p>
        </w:tc>
        <w:tc>
          <w:tcPr>
            <w:tcW w:w="914" w:type="dxa"/>
            <w:tcBorders>
              <w:top w:val="nil"/>
              <w:left w:val="nil"/>
              <w:bottom w:val="single" w:sz="4" w:space="0" w:color="9CA3AF"/>
              <w:right w:val="single" w:sz="4" w:space="0" w:color="9CA3AF"/>
            </w:tcBorders>
            <w:shd w:val="clear" w:color="003366" w:fill="1E3A8A"/>
            <w:vAlign w:val="center"/>
            <w:hideMark/>
          </w:tcPr>
          <w:p w14:paraId="722390FF"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Institucioni përgjegjës</w:t>
            </w:r>
          </w:p>
        </w:tc>
        <w:tc>
          <w:tcPr>
            <w:tcW w:w="966" w:type="dxa"/>
            <w:tcBorders>
              <w:top w:val="nil"/>
              <w:left w:val="nil"/>
              <w:bottom w:val="single" w:sz="4" w:space="0" w:color="9CA3AF"/>
              <w:right w:val="single" w:sz="4" w:space="0" w:color="9CA3AF"/>
            </w:tcBorders>
            <w:shd w:val="clear" w:color="003366" w:fill="1E3A8A"/>
            <w:vAlign w:val="center"/>
            <w:hideMark/>
          </w:tcPr>
          <w:p w14:paraId="597E8D5B"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Institucionet mbështetëse</w:t>
            </w:r>
          </w:p>
        </w:tc>
        <w:tc>
          <w:tcPr>
            <w:tcW w:w="439" w:type="dxa"/>
            <w:tcBorders>
              <w:top w:val="nil"/>
              <w:left w:val="nil"/>
              <w:bottom w:val="single" w:sz="4" w:space="0" w:color="9CA3AF"/>
              <w:right w:val="single" w:sz="4" w:space="0" w:color="9CA3AF"/>
            </w:tcBorders>
            <w:shd w:val="clear" w:color="003366" w:fill="1E3A8A"/>
            <w:vAlign w:val="center"/>
            <w:hideMark/>
          </w:tcPr>
          <w:p w14:paraId="6701CCAC"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Fillimi</w:t>
            </w:r>
          </w:p>
        </w:tc>
        <w:tc>
          <w:tcPr>
            <w:tcW w:w="596" w:type="dxa"/>
            <w:tcBorders>
              <w:top w:val="nil"/>
              <w:left w:val="nil"/>
              <w:bottom w:val="single" w:sz="4" w:space="0" w:color="9CA3AF"/>
              <w:right w:val="single" w:sz="4" w:space="0" w:color="9CA3AF"/>
            </w:tcBorders>
            <w:shd w:val="clear" w:color="003366" w:fill="1E3A8A"/>
            <w:vAlign w:val="center"/>
            <w:hideMark/>
          </w:tcPr>
          <w:p w14:paraId="4B15E2E9" w14:textId="77777777"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Përfundimi</w:t>
            </w:r>
          </w:p>
        </w:tc>
        <w:tc>
          <w:tcPr>
            <w:tcW w:w="649" w:type="dxa"/>
            <w:tcBorders>
              <w:top w:val="nil"/>
              <w:left w:val="nil"/>
              <w:bottom w:val="single" w:sz="4" w:space="0" w:color="9CA3AF"/>
              <w:right w:val="single" w:sz="4" w:space="0" w:color="9CA3AF"/>
            </w:tcBorders>
            <w:shd w:val="clear" w:color="003366" w:fill="1E3A8A"/>
            <w:vAlign w:val="center"/>
            <w:hideMark/>
          </w:tcPr>
          <w:p w14:paraId="21AEEB39" w14:textId="4E0752F8"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 xml:space="preserve">Financimi i huaj </w:t>
            </w:r>
            <w:r w:rsidR="002651E7" w:rsidRPr="002128A6">
              <w:rPr>
                <w:rFonts w:ascii="Garamond" w:eastAsia="Times New Roman" w:hAnsi="Garamond" w:cs="Times New Roman"/>
                <w:b/>
                <w:bCs/>
                <w:kern w:val="0"/>
                <w:sz w:val="8"/>
                <w:szCs w:val="8"/>
                <w14:ligatures w14:val="none"/>
              </w:rPr>
              <w:t>–</w:t>
            </w:r>
            <w:r w:rsidRPr="002128A6">
              <w:rPr>
                <w:rFonts w:ascii="Garamond" w:eastAsia="Times New Roman" w:hAnsi="Garamond" w:cs="Times New Roman"/>
                <w:b/>
                <w:bCs/>
                <w:kern w:val="0"/>
                <w:sz w:val="8"/>
                <w:szCs w:val="8"/>
                <w14:ligatures w14:val="none"/>
              </w:rPr>
              <w:t xml:space="preserve"> shpenzime kapitale</w:t>
            </w:r>
          </w:p>
        </w:tc>
        <w:tc>
          <w:tcPr>
            <w:tcW w:w="1352" w:type="dxa"/>
            <w:tcBorders>
              <w:top w:val="nil"/>
              <w:left w:val="nil"/>
              <w:bottom w:val="single" w:sz="4" w:space="0" w:color="9CA3AF"/>
              <w:right w:val="single" w:sz="4" w:space="0" w:color="9CA3AF"/>
            </w:tcBorders>
            <w:shd w:val="clear" w:color="003366" w:fill="1E3A8A"/>
            <w:vAlign w:val="center"/>
            <w:hideMark/>
          </w:tcPr>
          <w:p w14:paraId="4E82B6BC" w14:textId="143EBD5D" w:rsidR="00C42826" w:rsidRPr="002128A6" w:rsidRDefault="00C42826" w:rsidP="002651E7">
            <w:pPr>
              <w:spacing w:after="0" w:line="240" w:lineRule="auto"/>
              <w:jc w:val="center"/>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Donatori/</w:t>
            </w:r>
            <w:r w:rsidR="002651E7" w:rsidRPr="002128A6">
              <w:rPr>
                <w:rFonts w:ascii="Garamond" w:eastAsia="Times New Roman" w:hAnsi="Garamond" w:cs="Times New Roman"/>
                <w:b/>
                <w:bCs/>
                <w:kern w:val="0"/>
                <w:sz w:val="8"/>
                <w:szCs w:val="8"/>
                <w14:ligatures w14:val="none"/>
              </w:rPr>
              <w:t>projekti</w:t>
            </w:r>
          </w:p>
        </w:tc>
      </w:tr>
      <w:tr w:rsidR="00F54824" w:rsidRPr="002128A6" w14:paraId="0FEADAAA" w14:textId="77777777" w:rsidTr="00C42826">
        <w:trPr>
          <w:trHeight w:val="20"/>
        </w:trPr>
        <w:tc>
          <w:tcPr>
            <w:tcW w:w="10916" w:type="dxa"/>
            <w:gridSpan w:val="14"/>
            <w:tcBorders>
              <w:top w:val="nil"/>
              <w:left w:val="nil"/>
              <w:bottom w:val="nil"/>
              <w:right w:val="nil"/>
            </w:tcBorders>
            <w:shd w:val="clear" w:color="4472C4" w:fill="2563EB"/>
            <w:noWrap/>
            <w:vAlign w:val="center"/>
            <w:hideMark/>
          </w:tcPr>
          <w:p w14:paraId="7D49B67D" w14:textId="3039D29A"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QËLLIMI POLITIK I — PARANDALIMI I KRIMIT TË ORGANIZUAR DHE KRIMEVE TË RËNDA</w:t>
            </w:r>
            <w:r w:rsidR="00F54824" w:rsidRPr="002128A6">
              <w:rPr>
                <w:rFonts w:ascii="Garamond" w:eastAsia="Times New Roman" w:hAnsi="Garamond" w:cs="Times New Roman"/>
                <w:b/>
                <w:bCs/>
                <w:kern w:val="0"/>
                <w:sz w:val="8"/>
                <w:szCs w:val="8"/>
                <w14:ligatures w14:val="none"/>
              </w:rPr>
              <w:t xml:space="preserve"> </w:t>
            </w:r>
          </w:p>
        </w:tc>
      </w:tr>
      <w:tr w:rsidR="00F54824" w:rsidRPr="002128A6" w14:paraId="2CE1FC7C"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3FD36BF9"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 xml:space="preserve">OS 1.1 - Rritja e rezistencës publike dhe institucionale ndaj krimit të organizuar përmes përmirësimit të ndërgjegjësimit, njohurive dhe angazhimit proaktiv </w:t>
            </w:r>
          </w:p>
        </w:tc>
      </w:tr>
      <w:tr w:rsidR="00F54824" w:rsidRPr="002128A6" w14:paraId="78965C2C"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749FF0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single" w:sz="4" w:space="0" w:color="9CA3AF"/>
              <w:left w:val="nil"/>
              <w:bottom w:val="single" w:sz="4" w:space="0" w:color="9CA3AF"/>
              <w:right w:val="single" w:sz="4" w:space="0" w:color="9CA3AF"/>
            </w:tcBorders>
            <w:shd w:val="clear" w:color="F1F5F9" w:fill="ECFDF5"/>
            <w:hideMark/>
          </w:tcPr>
          <w:p w14:paraId="36D63A3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w:t>
            </w:r>
          </w:p>
        </w:tc>
        <w:tc>
          <w:tcPr>
            <w:tcW w:w="867" w:type="dxa"/>
            <w:tcBorders>
              <w:top w:val="single" w:sz="4" w:space="0" w:color="9CA3AF"/>
              <w:left w:val="nil"/>
              <w:bottom w:val="single" w:sz="4" w:space="0" w:color="9CA3AF"/>
              <w:right w:val="single" w:sz="4" w:space="0" w:color="9CA3AF"/>
            </w:tcBorders>
            <w:shd w:val="clear" w:color="F1F5F9" w:fill="ECFDF5"/>
            <w:hideMark/>
          </w:tcPr>
          <w:p w14:paraId="5385378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qëndrueshmërisë publike dhe institucionale ndaj krimit të organizuar përmes përmirësimit të ndërgjegjësimit, njohurive dhe angazhimit proaktiv</w:t>
            </w:r>
          </w:p>
        </w:tc>
        <w:tc>
          <w:tcPr>
            <w:tcW w:w="517" w:type="dxa"/>
            <w:tcBorders>
              <w:top w:val="single" w:sz="4" w:space="0" w:color="9CA3AF"/>
              <w:left w:val="nil"/>
              <w:bottom w:val="single" w:sz="4" w:space="0" w:color="9CA3AF"/>
              <w:right w:val="single" w:sz="4" w:space="0" w:color="9CA3AF"/>
            </w:tcBorders>
            <w:shd w:val="clear" w:color="F1F5F9" w:fill="ECFDF5"/>
            <w:hideMark/>
          </w:tcPr>
          <w:p w14:paraId="38B15D6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0758832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Përgatitja dhe zbatimi i fushatave të ndërgjegjësimit në nivel kombëtar, të përshtatura sipas nevojave vendore dhe nevojave dhe grupeve të synuara, përfshirë institucionet e arsimit (parauniversitar), duke u fokusuar te rreziqet, pasojat dhe parandalimi i përfshirjes në aktivitete kriminale, përfshirë përmbajtjen e përgjegjshme ndaj gjinisë, të bazuar në evidencë dhe në analizë gjinore.</w:t>
            </w:r>
          </w:p>
        </w:tc>
        <w:tc>
          <w:tcPr>
            <w:tcW w:w="524" w:type="dxa"/>
            <w:tcBorders>
              <w:top w:val="single" w:sz="4" w:space="0" w:color="9CA3AF"/>
              <w:left w:val="nil"/>
              <w:bottom w:val="single" w:sz="4" w:space="0" w:color="9CA3AF"/>
              <w:right w:val="single" w:sz="4" w:space="0" w:color="9CA3AF"/>
            </w:tcBorders>
            <w:shd w:val="clear" w:color="auto" w:fill="auto"/>
            <w:hideMark/>
          </w:tcPr>
          <w:p w14:paraId="69ABF6A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1.1.1</w:t>
            </w:r>
          </w:p>
        </w:tc>
        <w:tc>
          <w:tcPr>
            <w:tcW w:w="1307" w:type="dxa"/>
            <w:tcBorders>
              <w:top w:val="single" w:sz="4" w:space="0" w:color="9CA3AF"/>
              <w:left w:val="nil"/>
              <w:bottom w:val="single" w:sz="4" w:space="0" w:color="9CA3AF"/>
              <w:right w:val="single" w:sz="4" w:space="0" w:color="9CA3AF"/>
            </w:tcBorders>
            <w:shd w:val="clear" w:color="auto" w:fill="auto"/>
            <w:hideMark/>
          </w:tcPr>
          <w:p w14:paraId="0522918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Organizimi i fushatave të synuara ndërgjegjësimi në nivel qendror dhe vendor, të përshtatura për audienca specifike, përfshirë institucionet parauniversitare, duke përdorur mesazhe të përshtatura sipas vendit mbi rreziqet, pasojat dhe parandalimin e krimit të organizuar.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Realizimi i sesioneve të strukturuara informimi me mësues, prindër, grupe rinore dhe aktorë të komunitetit, për të përforcuar mesazhet e parandalimit dhe për të promovuar kanale të sigurta dhe të aksesueshme për raportimin dhe bashkëpunimin me institucionet.</w:t>
            </w:r>
          </w:p>
        </w:tc>
        <w:tc>
          <w:tcPr>
            <w:tcW w:w="699" w:type="dxa"/>
            <w:tcBorders>
              <w:top w:val="single" w:sz="4" w:space="0" w:color="9CA3AF"/>
              <w:left w:val="nil"/>
              <w:bottom w:val="single" w:sz="4" w:space="0" w:color="9CA3AF"/>
              <w:right w:val="single" w:sz="4" w:space="0" w:color="9CA3AF"/>
            </w:tcBorders>
            <w:shd w:val="clear" w:color="000000" w:fill="FFFFFF"/>
            <w:hideMark/>
          </w:tcPr>
          <w:p w14:paraId="1A35C39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91604AB</w:t>
            </w:r>
          </w:p>
        </w:tc>
        <w:tc>
          <w:tcPr>
            <w:tcW w:w="914" w:type="dxa"/>
            <w:tcBorders>
              <w:top w:val="single" w:sz="4" w:space="0" w:color="9CA3AF"/>
              <w:left w:val="nil"/>
              <w:bottom w:val="single" w:sz="4" w:space="0" w:color="9CA3AF"/>
              <w:right w:val="single" w:sz="4" w:space="0" w:color="9CA3AF"/>
            </w:tcBorders>
            <w:shd w:val="clear" w:color="auto" w:fill="auto"/>
            <w:hideMark/>
          </w:tcPr>
          <w:p w14:paraId="1B9DE9C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single" w:sz="4" w:space="0" w:color="9CA3AF"/>
              <w:left w:val="nil"/>
              <w:bottom w:val="single" w:sz="4" w:space="0" w:color="9CA3AF"/>
              <w:right w:val="single" w:sz="4" w:space="0" w:color="9CA3AF"/>
            </w:tcBorders>
            <w:shd w:val="clear" w:color="auto" w:fill="auto"/>
            <w:hideMark/>
          </w:tcPr>
          <w:p w14:paraId="141F24C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Arsimit; Prefektura; EU4LAW; EUDA; Organizata Joqeveritare</w:t>
            </w:r>
          </w:p>
        </w:tc>
        <w:tc>
          <w:tcPr>
            <w:tcW w:w="439" w:type="dxa"/>
            <w:tcBorders>
              <w:top w:val="single" w:sz="4" w:space="0" w:color="9CA3AF"/>
              <w:left w:val="nil"/>
              <w:bottom w:val="single" w:sz="4" w:space="0" w:color="9CA3AF"/>
              <w:right w:val="single" w:sz="4" w:space="0" w:color="9CA3AF"/>
            </w:tcBorders>
            <w:shd w:val="clear" w:color="auto" w:fill="auto"/>
            <w:hideMark/>
          </w:tcPr>
          <w:p w14:paraId="09D3C9A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1CECDFB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464E6E1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49E1DAD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A7BA3E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B5B08E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2E718F1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w:t>
            </w:r>
          </w:p>
        </w:tc>
        <w:tc>
          <w:tcPr>
            <w:tcW w:w="867" w:type="dxa"/>
            <w:tcBorders>
              <w:top w:val="nil"/>
              <w:left w:val="nil"/>
              <w:bottom w:val="single" w:sz="4" w:space="0" w:color="9CA3AF"/>
              <w:right w:val="single" w:sz="4" w:space="0" w:color="9CA3AF"/>
            </w:tcBorders>
            <w:shd w:val="clear" w:color="F1F5F9" w:fill="ECFDF5"/>
            <w:hideMark/>
          </w:tcPr>
          <w:p w14:paraId="558C15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qëndrueshmërisë publike dhe institucionale ndaj krimit të organizuar përmes përmirësimit të ndërgjegjësimit, njohurive dhe angazhimit proaktiv</w:t>
            </w:r>
          </w:p>
        </w:tc>
        <w:tc>
          <w:tcPr>
            <w:tcW w:w="517" w:type="dxa"/>
            <w:tcBorders>
              <w:top w:val="nil"/>
              <w:left w:val="nil"/>
              <w:bottom w:val="single" w:sz="4" w:space="0" w:color="9CA3AF"/>
              <w:right w:val="single" w:sz="4" w:space="0" w:color="9CA3AF"/>
            </w:tcBorders>
            <w:shd w:val="clear" w:color="F1F5F9" w:fill="ECFDF5"/>
            <w:hideMark/>
          </w:tcPr>
          <w:p w14:paraId="7A1E611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1.1.2</w:t>
            </w:r>
          </w:p>
        </w:tc>
        <w:tc>
          <w:tcPr>
            <w:tcW w:w="1007" w:type="dxa"/>
            <w:tcBorders>
              <w:top w:val="nil"/>
              <w:left w:val="nil"/>
              <w:bottom w:val="single" w:sz="4" w:space="0" w:color="9CA3AF"/>
              <w:right w:val="single" w:sz="4" w:space="0" w:color="9CA3AF"/>
            </w:tcBorders>
            <w:shd w:val="clear" w:color="F1F5F9" w:fill="ECFDF5"/>
            <w:hideMark/>
          </w:tcPr>
          <w:p w14:paraId="7A7FAA8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Organizimi i leksioneve dhe seminareve të hapura në institucionet publike dhe private të arsimit të lartë në lidhje me rastet, tendencat dhe format e shfaqjes së krimit të organizuar, me qëllim informimin dhe angazhimin në proceset e konsultimit të politikave në këtë fushë.</w:t>
            </w:r>
          </w:p>
        </w:tc>
        <w:tc>
          <w:tcPr>
            <w:tcW w:w="524" w:type="dxa"/>
            <w:tcBorders>
              <w:top w:val="nil"/>
              <w:left w:val="nil"/>
              <w:bottom w:val="single" w:sz="4" w:space="0" w:color="9CA3AF"/>
              <w:right w:val="single" w:sz="4" w:space="0" w:color="9CA3AF"/>
            </w:tcBorders>
            <w:shd w:val="clear" w:color="auto" w:fill="auto"/>
            <w:hideMark/>
          </w:tcPr>
          <w:p w14:paraId="0EBE3B4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1.1.2</w:t>
            </w:r>
          </w:p>
        </w:tc>
        <w:tc>
          <w:tcPr>
            <w:tcW w:w="1307" w:type="dxa"/>
            <w:tcBorders>
              <w:top w:val="nil"/>
              <w:left w:val="nil"/>
              <w:bottom w:val="single" w:sz="4" w:space="0" w:color="9CA3AF"/>
              <w:right w:val="single" w:sz="4" w:space="0" w:color="9CA3AF"/>
            </w:tcBorders>
            <w:shd w:val="clear" w:color="auto" w:fill="auto"/>
            <w:hideMark/>
          </w:tcPr>
          <w:p w14:paraId="32F540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Organizimi i leksioneve dhe seminareve të hapura në institucionet publike dhe private të arsimit të lartë mbi rastet, tendencat dhe format e krimit të organizuar, duke inkurajuar dialogun e informuar dhe pjesëmarrjen e studentëve në proceset e konsultimit të politikave.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Angazhimi i personelit akademik, studiuesve dhe organizatave të studentëve në diskutime tematike, tryeza të rrumbullakëta dhe debate për të forcuar kontributet e bazuara në evidenca në hartimin e politikave të parandalimit të krimit.</w:t>
            </w:r>
          </w:p>
        </w:tc>
        <w:tc>
          <w:tcPr>
            <w:tcW w:w="699" w:type="dxa"/>
            <w:tcBorders>
              <w:top w:val="nil"/>
              <w:left w:val="nil"/>
              <w:bottom w:val="single" w:sz="4" w:space="0" w:color="9CA3AF"/>
              <w:right w:val="single" w:sz="4" w:space="0" w:color="9CA3AF"/>
            </w:tcBorders>
            <w:shd w:val="clear" w:color="000000" w:fill="FFFFFF"/>
            <w:hideMark/>
          </w:tcPr>
          <w:p w14:paraId="05BA43A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91604AA</w:t>
            </w:r>
          </w:p>
        </w:tc>
        <w:tc>
          <w:tcPr>
            <w:tcW w:w="914" w:type="dxa"/>
            <w:tcBorders>
              <w:top w:val="nil"/>
              <w:left w:val="nil"/>
              <w:bottom w:val="single" w:sz="4" w:space="0" w:color="9CA3AF"/>
              <w:right w:val="single" w:sz="4" w:space="0" w:color="9CA3AF"/>
            </w:tcBorders>
            <w:shd w:val="clear" w:color="auto" w:fill="auto"/>
            <w:hideMark/>
          </w:tcPr>
          <w:p w14:paraId="55C3379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3D394DDD" w14:textId="05B98402"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IAL;</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EU4LAW; EUDA; Organizata Joqeveritare</w:t>
            </w:r>
          </w:p>
        </w:tc>
        <w:tc>
          <w:tcPr>
            <w:tcW w:w="439" w:type="dxa"/>
            <w:tcBorders>
              <w:top w:val="nil"/>
              <w:left w:val="nil"/>
              <w:bottom w:val="single" w:sz="4" w:space="0" w:color="9CA3AF"/>
              <w:right w:val="single" w:sz="4" w:space="0" w:color="9CA3AF"/>
            </w:tcBorders>
            <w:shd w:val="clear" w:color="auto" w:fill="auto"/>
            <w:hideMark/>
          </w:tcPr>
          <w:p w14:paraId="5A6CEA3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F62B63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8F4710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4A21E9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20A31CB"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44AA43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0E8B86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w:t>
            </w:r>
          </w:p>
        </w:tc>
        <w:tc>
          <w:tcPr>
            <w:tcW w:w="867" w:type="dxa"/>
            <w:tcBorders>
              <w:top w:val="nil"/>
              <w:left w:val="nil"/>
              <w:bottom w:val="single" w:sz="4" w:space="0" w:color="9CA3AF"/>
              <w:right w:val="single" w:sz="4" w:space="0" w:color="9CA3AF"/>
            </w:tcBorders>
            <w:shd w:val="clear" w:color="F1F5F9" w:fill="ECFDF5"/>
            <w:hideMark/>
          </w:tcPr>
          <w:p w14:paraId="19A6B01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qëndrueshmërisë publike dhe institucionale ndaj krimit të organizuar përmes përmirësimit të ndërgjegjësimit, njohurive dhe angazhimit proaktiv</w:t>
            </w:r>
          </w:p>
        </w:tc>
        <w:tc>
          <w:tcPr>
            <w:tcW w:w="517" w:type="dxa"/>
            <w:tcBorders>
              <w:top w:val="nil"/>
              <w:left w:val="nil"/>
              <w:bottom w:val="single" w:sz="4" w:space="0" w:color="9CA3AF"/>
              <w:right w:val="single" w:sz="4" w:space="0" w:color="9CA3AF"/>
            </w:tcBorders>
            <w:shd w:val="clear" w:color="F1F5F9" w:fill="ECFDF5"/>
            <w:hideMark/>
          </w:tcPr>
          <w:p w14:paraId="2ABED42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1.1.3</w:t>
            </w:r>
          </w:p>
        </w:tc>
        <w:tc>
          <w:tcPr>
            <w:tcW w:w="1007" w:type="dxa"/>
            <w:tcBorders>
              <w:top w:val="nil"/>
              <w:left w:val="nil"/>
              <w:bottom w:val="single" w:sz="4" w:space="0" w:color="9CA3AF"/>
              <w:right w:val="single" w:sz="4" w:space="0" w:color="9CA3AF"/>
            </w:tcBorders>
            <w:shd w:val="clear" w:color="F1F5F9" w:fill="ECFDF5"/>
            <w:hideMark/>
          </w:tcPr>
          <w:p w14:paraId="75DD958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Prodhimi dhe shpërndarja e përmbajtjeve multimediale ndërgjegjësuese mbi rreziqet dhe pasojat e krimit të organizuar, si dhe promovimi i modeleve pozitive të përshtatur për rininë dhe grupet e cenueshme, përfshirë mesazhe të ndjeshme ndaj gjinisë.</w:t>
            </w:r>
          </w:p>
        </w:tc>
        <w:tc>
          <w:tcPr>
            <w:tcW w:w="524" w:type="dxa"/>
            <w:tcBorders>
              <w:top w:val="nil"/>
              <w:left w:val="nil"/>
              <w:bottom w:val="single" w:sz="4" w:space="0" w:color="9CA3AF"/>
              <w:right w:val="single" w:sz="4" w:space="0" w:color="9CA3AF"/>
            </w:tcBorders>
            <w:shd w:val="clear" w:color="auto" w:fill="auto"/>
            <w:hideMark/>
          </w:tcPr>
          <w:p w14:paraId="50BF94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1.1.3</w:t>
            </w:r>
          </w:p>
        </w:tc>
        <w:tc>
          <w:tcPr>
            <w:tcW w:w="1307" w:type="dxa"/>
            <w:tcBorders>
              <w:top w:val="nil"/>
              <w:left w:val="nil"/>
              <w:bottom w:val="single" w:sz="4" w:space="0" w:color="9CA3AF"/>
              <w:right w:val="single" w:sz="4" w:space="0" w:color="9CA3AF"/>
            </w:tcBorders>
            <w:shd w:val="clear" w:color="auto" w:fill="auto"/>
            <w:hideMark/>
          </w:tcPr>
          <w:p w14:paraId="60ACD3D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Prodhimi dhe shpërndarja e materialeve multimediale ndërgjegjësuese, përfshirë video, animacione dhe përmbajtje në mediat sociale, të zhvilluara në konsultim me të rinjtë dhe grupet e tjera të synuara, duke nxjerrë në pah rreziqet dhe pasojat e krimit të organizuar dhe duke promovuar modele pozitive për të rinjtë dhe grupet e cenueshme.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Integrimi në të gjitha produktet multimediale i mesazhe të ndjeshme ndaj gjinisë, të bazuara në të dhëna të disagreguara sipas gjinisë dhe të hartuara në mënyrë që të shmangin përforcimin e stereotipeve, paragjykimeve dhe supozimeve të dëmshme lidhur me viktimat dhe autorët e krimit të organizuar, dhe shpërndarja përmes platformave të përdorura zakonisht nga të rinjtë, komunitetet vendore dhe grupet e cenueshme</w:t>
            </w:r>
          </w:p>
        </w:tc>
        <w:tc>
          <w:tcPr>
            <w:tcW w:w="699" w:type="dxa"/>
            <w:tcBorders>
              <w:top w:val="nil"/>
              <w:left w:val="nil"/>
              <w:bottom w:val="single" w:sz="4" w:space="0" w:color="9CA3AF"/>
              <w:right w:val="single" w:sz="4" w:space="0" w:color="9CA3AF"/>
            </w:tcBorders>
            <w:shd w:val="clear" w:color="000000" w:fill="FFFFFF"/>
            <w:hideMark/>
          </w:tcPr>
          <w:p w14:paraId="614891B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91604AA</w:t>
            </w:r>
          </w:p>
        </w:tc>
        <w:tc>
          <w:tcPr>
            <w:tcW w:w="914" w:type="dxa"/>
            <w:tcBorders>
              <w:top w:val="nil"/>
              <w:left w:val="nil"/>
              <w:bottom w:val="single" w:sz="4" w:space="0" w:color="9CA3AF"/>
              <w:right w:val="single" w:sz="4" w:space="0" w:color="9CA3AF"/>
            </w:tcBorders>
            <w:shd w:val="clear" w:color="auto" w:fill="auto"/>
            <w:hideMark/>
          </w:tcPr>
          <w:p w14:paraId="380AD77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12F8129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Organizata Joqeveritare</w:t>
            </w:r>
          </w:p>
        </w:tc>
        <w:tc>
          <w:tcPr>
            <w:tcW w:w="439" w:type="dxa"/>
            <w:tcBorders>
              <w:top w:val="nil"/>
              <w:left w:val="nil"/>
              <w:bottom w:val="single" w:sz="4" w:space="0" w:color="9CA3AF"/>
              <w:right w:val="single" w:sz="4" w:space="0" w:color="9CA3AF"/>
            </w:tcBorders>
            <w:shd w:val="clear" w:color="auto" w:fill="auto"/>
            <w:hideMark/>
          </w:tcPr>
          <w:p w14:paraId="51ED42E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62D80C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AB1FD6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95236B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58D1B80"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C2529B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08BF0E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w:t>
            </w:r>
          </w:p>
        </w:tc>
        <w:tc>
          <w:tcPr>
            <w:tcW w:w="867" w:type="dxa"/>
            <w:tcBorders>
              <w:top w:val="nil"/>
              <w:left w:val="nil"/>
              <w:bottom w:val="single" w:sz="4" w:space="0" w:color="9CA3AF"/>
              <w:right w:val="single" w:sz="4" w:space="0" w:color="9CA3AF"/>
            </w:tcBorders>
            <w:shd w:val="clear" w:color="F1F5F9" w:fill="ECFDF5"/>
            <w:hideMark/>
          </w:tcPr>
          <w:p w14:paraId="2490B2D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qëndrueshmërisë publike dhe institucionale ndaj krimit të organizuar përmes përmirësimit të ndërgjegjësimit, njohurive dhe angazhimit proaktiv</w:t>
            </w:r>
          </w:p>
        </w:tc>
        <w:tc>
          <w:tcPr>
            <w:tcW w:w="517" w:type="dxa"/>
            <w:tcBorders>
              <w:top w:val="nil"/>
              <w:left w:val="nil"/>
              <w:bottom w:val="single" w:sz="4" w:space="0" w:color="9CA3AF"/>
              <w:right w:val="single" w:sz="4" w:space="0" w:color="9CA3AF"/>
            </w:tcBorders>
            <w:shd w:val="clear" w:color="F1F5F9" w:fill="ECFDF5"/>
            <w:hideMark/>
          </w:tcPr>
          <w:p w14:paraId="5E2A972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1.1.4</w:t>
            </w:r>
          </w:p>
        </w:tc>
        <w:tc>
          <w:tcPr>
            <w:tcW w:w="1007" w:type="dxa"/>
            <w:tcBorders>
              <w:top w:val="nil"/>
              <w:left w:val="nil"/>
              <w:bottom w:val="single" w:sz="4" w:space="0" w:color="9CA3AF"/>
              <w:right w:val="single" w:sz="4" w:space="0" w:color="9CA3AF"/>
            </w:tcBorders>
            <w:shd w:val="clear" w:color="F1F5F9" w:fill="ECFDF5"/>
            <w:hideMark/>
          </w:tcPr>
          <w:p w14:paraId="22F6CA2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Botimi i praktikave më të mira, manualeve dhe studimeve të përbashkëta mbi krimin financiar, korrupsionin dhe efektet e tyre negative në shoqëri</w:t>
            </w:r>
          </w:p>
        </w:tc>
        <w:tc>
          <w:tcPr>
            <w:tcW w:w="524" w:type="dxa"/>
            <w:tcBorders>
              <w:top w:val="nil"/>
              <w:left w:val="nil"/>
              <w:bottom w:val="single" w:sz="4" w:space="0" w:color="9CA3AF"/>
              <w:right w:val="single" w:sz="4" w:space="0" w:color="9CA3AF"/>
            </w:tcBorders>
            <w:shd w:val="clear" w:color="auto" w:fill="auto"/>
            <w:hideMark/>
          </w:tcPr>
          <w:p w14:paraId="70B713F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1.1.4</w:t>
            </w:r>
          </w:p>
        </w:tc>
        <w:tc>
          <w:tcPr>
            <w:tcW w:w="1307" w:type="dxa"/>
            <w:tcBorders>
              <w:top w:val="nil"/>
              <w:left w:val="nil"/>
              <w:bottom w:val="single" w:sz="4" w:space="0" w:color="9CA3AF"/>
              <w:right w:val="single" w:sz="4" w:space="0" w:color="9CA3AF"/>
            </w:tcBorders>
            <w:shd w:val="clear" w:color="auto" w:fill="auto"/>
            <w:hideMark/>
          </w:tcPr>
          <w:p w14:paraId="3A85A89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Botimi i praktikave më të mira, manualeve dhe studimeve të përbashkëta mbi krimin financiar, korrupsionin dhe ndikimin e krimit të organizuar në shoqëri, në bashkëpunim me institucionet akademike dhe shoqërinë civile.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Shpërndarja e këtyre botimeve në shkolla, bashki, institucione publike dhe organizata komunitare dhe integrimi i botimeve në aktivitetet e ndërgjegjësimit dhe trajnimit.</w:t>
            </w:r>
          </w:p>
        </w:tc>
        <w:tc>
          <w:tcPr>
            <w:tcW w:w="699" w:type="dxa"/>
            <w:tcBorders>
              <w:top w:val="nil"/>
              <w:left w:val="nil"/>
              <w:bottom w:val="single" w:sz="4" w:space="0" w:color="9CA3AF"/>
              <w:right w:val="single" w:sz="4" w:space="0" w:color="9CA3AF"/>
            </w:tcBorders>
            <w:shd w:val="clear" w:color="000000" w:fill="FFFFFF"/>
            <w:hideMark/>
          </w:tcPr>
          <w:p w14:paraId="34A2B71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91604AM</w:t>
            </w:r>
          </w:p>
        </w:tc>
        <w:tc>
          <w:tcPr>
            <w:tcW w:w="914" w:type="dxa"/>
            <w:tcBorders>
              <w:top w:val="nil"/>
              <w:left w:val="nil"/>
              <w:bottom w:val="single" w:sz="4" w:space="0" w:color="9CA3AF"/>
              <w:right w:val="single" w:sz="4" w:space="0" w:color="9CA3AF"/>
            </w:tcBorders>
            <w:shd w:val="clear" w:color="auto" w:fill="auto"/>
            <w:hideMark/>
          </w:tcPr>
          <w:p w14:paraId="61572407" w14:textId="2A3824AA"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Shtetit/Akademia e Sigurisë</w:t>
            </w:r>
          </w:p>
        </w:tc>
        <w:tc>
          <w:tcPr>
            <w:tcW w:w="966" w:type="dxa"/>
            <w:tcBorders>
              <w:top w:val="nil"/>
              <w:left w:val="nil"/>
              <w:bottom w:val="single" w:sz="4" w:space="0" w:color="9CA3AF"/>
              <w:right w:val="single" w:sz="4" w:space="0" w:color="9CA3AF"/>
            </w:tcBorders>
            <w:shd w:val="clear" w:color="auto" w:fill="auto"/>
            <w:hideMark/>
          </w:tcPr>
          <w:p w14:paraId="670E1A9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231F5BA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50C5AC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60466B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1E4E76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5D3A6A6"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164DE3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15AE6A6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w:t>
            </w:r>
          </w:p>
        </w:tc>
        <w:tc>
          <w:tcPr>
            <w:tcW w:w="867" w:type="dxa"/>
            <w:tcBorders>
              <w:top w:val="nil"/>
              <w:left w:val="nil"/>
              <w:bottom w:val="single" w:sz="4" w:space="0" w:color="9CA3AF"/>
              <w:right w:val="single" w:sz="4" w:space="0" w:color="9CA3AF"/>
            </w:tcBorders>
            <w:shd w:val="clear" w:color="F1F5F9" w:fill="ECFDF5"/>
            <w:hideMark/>
          </w:tcPr>
          <w:p w14:paraId="5F33E9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qëndrueshmërisë publike dhe institucionale ndaj krimit të organizuar përmes përmirësimit të ndërgjegjësimit, njohurive dhe angazhimit proaktiv</w:t>
            </w:r>
          </w:p>
        </w:tc>
        <w:tc>
          <w:tcPr>
            <w:tcW w:w="517" w:type="dxa"/>
            <w:tcBorders>
              <w:top w:val="nil"/>
              <w:left w:val="nil"/>
              <w:bottom w:val="single" w:sz="4" w:space="0" w:color="9CA3AF"/>
              <w:right w:val="single" w:sz="4" w:space="0" w:color="9CA3AF"/>
            </w:tcBorders>
            <w:shd w:val="clear" w:color="F1F5F9" w:fill="ECFDF5"/>
            <w:hideMark/>
          </w:tcPr>
          <w:p w14:paraId="6583467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1.1.5</w:t>
            </w:r>
          </w:p>
        </w:tc>
        <w:tc>
          <w:tcPr>
            <w:tcW w:w="1007" w:type="dxa"/>
            <w:tcBorders>
              <w:top w:val="nil"/>
              <w:left w:val="nil"/>
              <w:bottom w:val="single" w:sz="4" w:space="0" w:color="9CA3AF"/>
              <w:right w:val="single" w:sz="4" w:space="0" w:color="9CA3AF"/>
            </w:tcBorders>
            <w:shd w:val="clear" w:color="F1F5F9" w:fill="ECFDF5"/>
            <w:hideMark/>
          </w:tcPr>
          <w:p w14:paraId="7832BFC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të personelit të specializuar përgjegjës në luftën kundër trafikimit të pasurive kulturore, përmes trajnimit dhe shkëmbimit të njohurive.</w:t>
            </w:r>
          </w:p>
        </w:tc>
        <w:tc>
          <w:tcPr>
            <w:tcW w:w="524" w:type="dxa"/>
            <w:tcBorders>
              <w:top w:val="nil"/>
              <w:left w:val="nil"/>
              <w:bottom w:val="single" w:sz="4" w:space="0" w:color="9CA3AF"/>
              <w:right w:val="single" w:sz="4" w:space="0" w:color="9CA3AF"/>
            </w:tcBorders>
            <w:shd w:val="clear" w:color="auto" w:fill="auto"/>
            <w:hideMark/>
          </w:tcPr>
          <w:p w14:paraId="4DF44E3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1.1.5</w:t>
            </w:r>
          </w:p>
        </w:tc>
        <w:tc>
          <w:tcPr>
            <w:tcW w:w="1307" w:type="dxa"/>
            <w:tcBorders>
              <w:top w:val="nil"/>
              <w:left w:val="nil"/>
              <w:bottom w:val="single" w:sz="4" w:space="0" w:color="9CA3AF"/>
              <w:right w:val="single" w:sz="4" w:space="0" w:color="9CA3AF"/>
            </w:tcBorders>
            <w:shd w:val="clear" w:color="auto" w:fill="auto"/>
            <w:hideMark/>
          </w:tcPr>
          <w:p w14:paraId="3069B0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Realizimi i programeve të specializuara të trajnimit për personelin përgjegjës për luftën kundër trafikimit të pasurive kulturore, duke u fokusuar në parandalimin, zbulimin dhe koordinimin ndërinstitucional.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Lehtësimi i seminareve për shkëmbimin e njohurive me ekspertë vendas dhe ndërkombëtarë për të forcuar aftësitë profesionale dhe për të promovuar miratimin e praktikave moderne hetimore dhe parandaluese.</w:t>
            </w:r>
          </w:p>
        </w:tc>
        <w:tc>
          <w:tcPr>
            <w:tcW w:w="699" w:type="dxa"/>
            <w:tcBorders>
              <w:top w:val="nil"/>
              <w:left w:val="nil"/>
              <w:bottom w:val="single" w:sz="4" w:space="0" w:color="9CA3AF"/>
              <w:right w:val="single" w:sz="4" w:space="0" w:color="9CA3AF"/>
            </w:tcBorders>
            <w:shd w:val="clear" w:color="000000" w:fill="FFFFFF"/>
            <w:hideMark/>
          </w:tcPr>
          <w:p w14:paraId="6199B06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91202AB</w:t>
            </w:r>
          </w:p>
        </w:tc>
        <w:tc>
          <w:tcPr>
            <w:tcW w:w="914" w:type="dxa"/>
            <w:tcBorders>
              <w:top w:val="nil"/>
              <w:left w:val="nil"/>
              <w:bottom w:val="single" w:sz="4" w:space="0" w:color="9CA3AF"/>
              <w:right w:val="single" w:sz="4" w:space="0" w:color="9CA3AF"/>
            </w:tcBorders>
            <w:shd w:val="clear" w:color="auto" w:fill="auto"/>
            <w:hideMark/>
          </w:tcPr>
          <w:p w14:paraId="60104BE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Turizmit, Kulturës dhe Sportit/Instituti Kombëtar Regjistrimit të Trashëgimisë Kulturore</w:t>
            </w:r>
          </w:p>
        </w:tc>
        <w:tc>
          <w:tcPr>
            <w:tcW w:w="966" w:type="dxa"/>
            <w:tcBorders>
              <w:top w:val="nil"/>
              <w:left w:val="nil"/>
              <w:bottom w:val="single" w:sz="4" w:space="0" w:color="9CA3AF"/>
              <w:right w:val="single" w:sz="4" w:space="0" w:color="9CA3AF"/>
            </w:tcBorders>
            <w:shd w:val="clear" w:color="auto" w:fill="auto"/>
            <w:hideMark/>
          </w:tcPr>
          <w:p w14:paraId="6C3C045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557FD61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444679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F474A7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D00E1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0807DBF"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63AD08AB"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1.1</w:t>
            </w:r>
          </w:p>
        </w:tc>
        <w:tc>
          <w:tcPr>
            <w:tcW w:w="649" w:type="dxa"/>
            <w:tcBorders>
              <w:top w:val="nil"/>
              <w:left w:val="nil"/>
              <w:bottom w:val="nil"/>
              <w:right w:val="nil"/>
            </w:tcBorders>
            <w:shd w:val="clear" w:color="FDEADA" w:fill="FEF3C7"/>
            <w:noWrap/>
            <w:vAlign w:val="bottom"/>
            <w:hideMark/>
          </w:tcPr>
          <w:p w14:paraId="00326436"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283B2829"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21A166C7"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5C64C9DF"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lastRenderedPageBreak/>
              <w:t>OS 1.2 — Reduktimi i cenueshmërisë së komuniteteve me rrezik duke përmirësuar aksesin në mekanizmat e mbështetjes sociale, ekonomike dhe të riintegrimit</w:t>
            </w:r>
          </w:p>
        </w:tc>
      </w:tr>
      <w:tr w:rsidR="00F54824" w:rsidRPr="002128A6" w14:paraId="34964CF6"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47F09B6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single" w:sz="4" w:space="0" w:color="9CA3AF"/>
              <w:left w:val="nil"/>
              <w:bottom w:val="single" w:sz="4" w:space="0" w:color="9CA3AF"/>
              <w:right w:val="single" w:sz="4" w:space="0" w:color="9CA3AF"/>
            </w:tcBorders>
            <w:shd w:val="clear" w:color="F1F5F9" w:fill="ECFDF5"/>
            <w:hideMark/>
          </w:tcPr>
          <w:p w14:paraId="7486F10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w:t>
            </w:r>
          </w:p>
        </w:tc>
        <w:tc>
          <w:tcPr>
            <w:tcW w:w="867" w:type="dxa"/>
            <w:tcBorders>
              <w:top w:val="single" w:sz="4" w:space="0" w:color="9CA3AF"/>
              <w:left w:val="nil"/>
              <w:bottom w:val="single" w:sz="4" w:space="0" w:color="9CA3AF"/>
              <w:right w:val="single" w:sz="4" w:space="0" w:color="9CA3AF"/>
            </w:tcBorders>
            <w:shd w:val="clear" w:color="F1F5F9" w:fill="ECFDF5"/>
            <w:hideMark/>
          </w:tcPr>
          <w:p w14:paraId="77DA34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cenueshmërisë së komuniteteve me rrezik duke përmirësuar aksesin në mekanizmat e mbështetjes sociale, ekonomike dhe të riintegrimit</w:t>
            </w:r>
          </w:p>
        </w:tc>
        <w:tc>
          <w:tcPr>
            <w:tcW w:w="517" w:type="dxa"/>
            <w:tcBorders>
              <w:top w:val="single" w:sz="4" w:space="0" w:color="9CA3AF"/>
              <w:left w:val="nil"/>
              <w:bottom w:val="single" w:sz="4" w:space="0" w:color="9CA3AF"/>
              <w:right w:val="single" w:sz="4" w:space="0" w:color="9CA3AF"/>
            </w:tcBorders>
            <w:shd w:val="clear" w:color="F1F5F9" w:fill="ECFDF5"/>
            <w:hideMark/>
          </w:tcPr>
          <w:p w14:paraId="0918FB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1E69E51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Identifikimi dhe analizimi i zonave gjeografike, komuniteteve dhe grupeve sociale që janë të prekura dhe të cenueshme nga strukturat e paligjshme dhe aktivitetet kriminale, duke përdorur të dhëna të ndara sipas gjinisë</w:t>
            </w:r>
          </w:p>
        </w:tc>
        <w:tc>
          <w:tcPr>
            <w:tcW w:w="524" w:type="dxa"/>
            <w:tcBorders>
              <w:top w:val="single" w:sz="4" w:space="0" w:color="9CA3AF"/>
              <w:left w:val="nil"/>
              <w:bottom w:val="single" w:sz="4" w:space="0" w:color="9CA3AF"/>
              <w:right w:val="single" w:sz="4" w:space="0" w:color="9CA3AF"/>
            </w:tcBorders>
            <w:shd w:val="clear" w:color="auto" w:fill="auto"/>
            <w:hideMark/>
          </w:tcPr>
          <w:p w14:paraId="5F87609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1.2.1</w:t>
            </w:r>
          </w:p>
        </w:tc>
        <w:tc>
          <w:tcPr>
            <w:tcW w:w="1307" w:type="dxa"/>
            <w:tcBorders>
              <w:top w:val="single" w:sz="4" w:space="0" w:color="9CA3AF"/>
              <w:left w:val="nil"/>
              <w:bottom w:val="single" w:sz="4" w:space="0" w:color="9CA3AF"/>
              <w:right w:val="single" w:sz="4" w:space="0" w:color="9CA3AF"/>
            </w:tcBorders>
            <w:shd w:val="clear" w:color="auto" w:fill="auto"/>
            <w:hideMark/>
          </w:tcPr>
          <w:p w14:paraId="6791D05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vlerësimeve të strukturuara të cenueshmërisë në zonat gjeografike me rrezik të lartë, duke përdorur të dhëna të ndara sipas gjinisë, indikatorë socio-ekonomikë dhe inteligjencë të ligjzbatimit, me qëllim identifikimin e komuniteteve më të ekspozuara ndaj infiltrimit kriminal.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Përgatitja e raporteve analitike që hartëzojnë faktorët e rrezikut, nevojat e komunitetit dhe cenueshmëritë gjinore specifike, si dhe ndarja e tyre me qeverisjen vendore dhe ofruesit e shërbimeve sociale, për të orientuar ndërhyrjet e synuara.</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F2254B" w14:textId="7412EF66"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single" w:sz="4" w:space="0" w:color="9CA3AF"/>
              <w:left w:val="single" w:sz="4" w:space="0" w:color="9CA3AF"/>
              <w:bottom w:val="single" w:sz="4" w:space="0" w:color="9CA3AF"/>
              <w:right w:val="single" w:sz="4" w:space="0" w:color="9CA3AF"/>
            </w:tcBorders>
            <w:shd w:val="clear" w:color="auto" w:fill="auto"/>
            <w:hideMark/>
          </w:tcPr>
          <w:p w14:paraId="678D94F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9CA3AF"/>
              <w:left w:val="nil"/>
              <w:bottom w:val="single" w:sz="4" w:space="0" w:color="9CA3AF"/>
              <w:right w:val="single" w:sz="4" w:space="0" w:color="9CA3AF"/>
            </w:tcBorders>
            <w:shd w:val="clear" w:color="auto" w:fill="auto"/>
            <w:hideMark/>
          </w:tcPr>
          <w:p w14:paraId="3D98EF6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Bashkitë; Prefektura</w:t>
            </w:r>
          </w:p>
        </w:tc>
        <w:tc>
          <w:tcPr>
            <w:tcW w:w="439" w:type="dxa"/>
            <w:tcBorders>
              <w:top w:val="single" w:sz="4" w:space="0" w:color="9CA3AF"/>
              <w:left w:val="nil"/>
              <w:bottom w:val="single" w:sz="4" w:space="0" w:color="9CA3AF"/>
              <w:right w:val="single" w:sz="4" w:space="0" w:color="9CA3AF"/>
            </w:tcBorders>
            <w:shd w:val="clear" w:color="auto" w:fill="auto"/>
            <w:hideMark/>
          </w:tcPr>
          <w:p w14:paraId="2F25C95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57A9F6E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2E71F62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64FC0D4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8FE778E"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5134FF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50F04F7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w:t>
            </w:r>
          </w:p>
        </w:tc>
        <w:tc>
          <w:tcPr>
            <w:tcW w:w="867" w:type="dxa"/>
            <w:tcBorders>
              <w:top w:val="nil"/>
              <w:left w:val="nil"/>
              <w:bottom w:val="single" w:sz="4" w:space="0" w:color="9CA3AF"/>
              <w:right w:val="single" w:sz="4" w:space="0" w:color="9CA3AF"/>
            </w:tcBorders>
            <w:shd w:val="clear" w:color="F1F5F9" w:fill="ECFDF5"/>
            <w:hideMark/>
          </w:tcPr>
          <w:p w14:paraId="2E26393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cenueshmërisë së komuniteteve me rrezik duke përmirësuar aksesin në mekanizmat e mbështetjes sociale, ekonomike dhe të riintegrimit</w:t>
            </w:r>
          </w:p>
        </w:tc>
        <w:tc>
          <w:tcPr>
            <w:tcW w:w="517" w:type="dxa"/>
            <w:tcBorders>
              <w:top w:val="nil"/>
              <w:left w:val="nil"/>
              <w:bottom w:val="single" w:sz="4" w:space="0" w:color="9CA3AF"/>
              <w:right w:val="single" w:sz="4" w:space="0" w:color="9CA3AF"/>
            </w:tcBorders>
            <w:shd w:val="clear" w:color="F1F5F9" w:fill="ECFDF5"/>
            <w:hideMark/>
          </w:tcPr>
          <w:p w14:paraId="0B6CCAE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1.2.2</w:t>
            </w:r>
          </w:p>
        </w:tc>
        <w:tc>
          <w:tcPr>
            <w:tcW w:w="1007" w:type="dxa"/>
            <w:tcBorders>
              <w:top w:val="nil"/>
              <w:left w:val="nil"/>
              <w:bottom w:val="single" w:sz="4" w:space="0" w:color="9CA3AF"/>
              <w:right w:val="single" w:sz="4" w:space="0" w:color="9CA3AF"/>
            </w:tcBorders>
            <w:shd w:val="clear" w:color="F1F5F9" w:fill="ECFDF5"/>
            <w:hideMark/>
          </w:tcPr>
          <w:p w14:paraId="67B1631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Inkurajimi dhe nxitja e transferimit të pronave/aseteve të konfiskuara në pronësi të njësive të qeverisjes vendore, në mënyrë që të përdoren për qëllime sociale dhe në dobi të komuniteteve.</w:t>
            </w:r>
          </w:p>
        </w:tc>
        <w:tc>
          <w:tcPr>
            <w:tcW w:w="524" w:type="dxa"/>
            <w:tcBorders>
              <w:top w:val="nil"/>
              <w:left w:val="nil"/>
              <w:bottom w:val="single" w:sz="4" w:space="0" w:color="9CA3AF"/>
              <w:right w:val="single" w:sz="4" w:space="0" w:color="9CA3AF"/>
            </w:tcBorders>
            <w:shd w:val="clear" w:color="auto" w:fill="auto"/>
            <w:hideMark/>
          </w:tcPr>
          <w:p w14:paraId="1B33AC1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1.2.2</w:t>
            </w:r>
          </w:p>
        </w:tc>
        <w:tc>
          <w:tcPr>
            <w:tcW w:w="1307" w:type="dxa"/>
            <w:tcBorders>
              <w:top w:val="nil"/>
              <w:left w:val="nil"/>
              <w:bottom w:val="single" w:sz="4" w:space="0" w:color="9CA3AF"/>
              <w:right w:val="single" w:sz="4" w:space="0" w:color="9CA3AF"/>
            </w:tcBorders>
            <w:shd w:val="clear" w:color="auto" w:fill="auto"/>
            <w:hideMark/>
          </w:tcPr>
          <w:p w14:paraId="285DF1C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Lehtësimi i koordinimit midis institucioneve qendrore, AAPSK-së dhe njësive të qeverisjes vendore për të përshpejtuar transferimin e pronave të konfiskuara për projekte në dobi të komunitetit.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udhëzimeve teknike NjVV-ve për përgatitjen e propozimeve, vlerësimeve të fizibilitetit dhe planeve të ripërdorimit social, që të sigurohet përdorim i qëndrueshëm dhe transparent i aseteve të konfiskuara.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711501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91603AA</w:t>
            </w:r>
          </w:p>
        </w:tc>
        <w:tc>
          <w:tcPr>
            <w:tcW w:w="914" w:type="dxa"/>
            <w:tcBorders>
              <w:top w:val="nil"/>
              <w:left w:val="single" w:sz="4" w:space="0" w:color="9CA3AF"/>
              <w:bottom w:val="single" w:sz="4" w:space="0" w:color="9CA3AF"/>
              <w:right w:val="single" w:sz="4" w:space="0" w:color="9CA3AF"/>
            </w:tcBorders>
            <w:shd w:val="clear" w:color="auto" w:fill="auto"/>
            <w:hideMark/>
          </w:tcPr>
          <w:p w14:paraId="2E39377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e Administrimit të Pasurive të Sekuestruara dhe të Konfiskuara</w:t>
            </w:r>
          </w:p>
        </w:tc>
        <w:tc>
          <w:tcPr>
            <w:tcW w:w="966" w:type="dxa"/>
            <w:tcBorders>
              <w:top w:val="nil"/>
              <w:left w:val="nil"/>
              <w:bottom w:val="single" w:sz="4" w:space="0" w:color="9CA3AF"/>
              <w:right w:val="single" w:sz="4" w:space="0" w:color="9CA3AF"/>
            </w:tcBorders>
            <w:shd w:val="clear" w:color="auto" w:fill="auto"/>
            <w:hideMark/>
          </w:tcPr>
          <w:p w14:paraId="6411151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439" w:type="dxa"/>
            <w:tcBorders>
              <w:top w:val="nil"/>
              <w:left w:val="nil"/>
              <w:bottom w:val="single" w:sz="4" w:space="0" w:color="9CA3AF"/>
              <w:right w:val="single" w:sz="4" w:space="0" w:color="9CA3AF"/>
            </w:tcBorders>
            <w:shd w:val="clear" w:color="auto" w:fill="auto"/>
            <w:hideMark/>
          </w:tcPr>
          <w:p w14:paraId="7E63C74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4E2105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F9ACAE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067CBB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BD07DB0"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53D613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0EC78AF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w:t>
            </w:r>
          </w:p>
        </w:tc>
        <w:tc>
          <w:tcPr>
            <w:tcW w:w="867" w:type="dxa"/>
            <w:tcBorders>
              <w:top w:val="nil"/>
              <w:left w:val="nil"/>
              <w:bottom w:val="single" w:sz="4" w:space="0" w:color="9CA3AF"/>
              <w:right w:val="single" w:sz="4" w:space="0" w:color="9CA3AF"/>
            </w:tcBorders>
            <w:shd w:val="clear" w:color="F1F5F9" w:fill="ECFDF5"/>
            <w:hideMark/>
          </w:tcPr>
          <w:p w14:paraId="182C107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cenueshmërisë së komuniteteve me rrezik duke përmirësuar aksesin në mekanizmat e mbështetjes sociale, ekonomike dhe të riintegrimit</w:t>
            </w:r>
          </w:p>
        </w:tc>
        <w:tc>
          <w:tcPr>
            <w:tcW w:w="517" w:type="dxa"/>
            <w:tcBorders>
              <w:top w:val="nil"/>
              <w:left w:val="nil"/>
              <w:bottom w:val="single" w:sz="4" w:space="0" w:color="9CA3AF"/>
              <w:right w:val="single" w:sz="4" w:space="0" w:color="9CA3AF"/>
            </w:tcBorders>
            <w:shd w:val="clear" w:color="F1F5F9" w:fill="ECFDF5"/>
            <w:hideMark/>
          </w:tcPr>
          <w:p w14:paraId="6D803EB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1.2.3</w:t>
            </w:r>
          </w:p>
        </w:tc>
        <w:tc>
          <w:tcPr>
            <w:tcW w:w="1007" w:type="dxa"/>
            <w:tcBorders>
              <w:top w:val="nil"/>
              <w:left w:val="nil"/>
              <w:bottom w:val="single" w:sz="4" w:space="0" w:color="9CA3AF"/>
              <w:right w:val="single" w:sz="4" w:space="0" w:color="9CA3AF"/>
            </w:tcBorders>
            <w:shd w:val="clear" w:color="F1F5F9" w:fill="ECFDF5"/>
            <w:hideMark/>
          </w:tcPr>
          <w:p w14:paraId="6BF2764D" w14:textId="041AADE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Planifikimi dhe organizimi takimeve ndërgjegjësuese mbi procedurat për transferimin e aseteve të konfiskuara të aktivitetit kriminal, te</w:t>
            </w:r>
            <w:r w:rsidR="009F2103" w:rsidRPr="002128A6">
              <w:rPr>
                <w:rFonts w:ascii="Garamond" w:eastAsia="Times New Roman" w:hAnsi="Garamond" w:cs="Times New Roman"/>
                <w:kern w:val="0"/>
                <w:sz w:val="8"/>
                <w:szCs w:val="8"/>
                <w14:ligatures w14:val="none"/>
              </w:rPr>
              <w:t>k</w:t>
            </w:r>
            <w:r w:rsidRPr="002128A6">
              <w:rPr>
                <w:rFonts w:ascii="Garamond" w:eastAsia="Times New Roman" w:hAnsi="Garamond" w:cs="Times New Roman"/>
                <w:kern w:val="0"/>
                <w:sz w:val="8"/>
                <w:szCs w:val="8"/>
                <w14:ligatures w14:val="none"/>
              </w:rPr>
              <w:t xml:space="preserve"> institucionet qendrore dhe vendore, me qëllim lehtësimin e ripërdorimit social të tyre.</w:t>
            </w:r>
          </w:p>
        </w:tc>
        <w:tc>
          <w:tcPr>
            <w:tcW w:w="524" w:type="dxa"/>
            <w:tcBorders>
              <w:top w:val="nil"/>
              <w:left w:val="nil"/>
              <w:bottom w:val="single" w:sz="4" w:space="0" w:color="9CA3AF"/>
              <w:right w:val="single" w:sz="4" w:space="0" w:color="9CA3AF"/>
            </w:tcBorders>
            <w:shd w:val="clear" w:color="auto" w:fill="auto"/>
            <w:hideMark/>
          </w:tcPr>
          <w:p w14:paraId="4FB14C0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1.2.3</w:t>
            </w:r>
          </w:p>
        </w:tc>
        <w:tc>
          <w:tcPr>
            <w:tcW w:w="1307" w:type="dxa"/>
            <w:tcBorders>
              <w:top w:val="nil"/>
              <w:left w:val="nil"/>
              <w:bottom w:val="single" w:sz="4" w:space="0" w:color="9CA3AF"/>
              <w:right w:val="single" w:sz="4" w:space="0" w:color="9CA3AF"/>
            </w:tcBorders>
            <w:shd w:val="clear" w:color="auto" w:fill="auto"/>
            <w:hideMark/>
          </w:tcPr>
          <w:p w14:paraId="5FBD88B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Organizimi i takimeve dhe seminareve ndërgjegjësuese me institucionet qendrore dhe vendore për të sqaruar procedurat ligjore, përgjegjësitë dhe afatet kohore për transferimin e aseteve të konfiskuara.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Përgatitja dhe shpërndarja e materialeve udhëzuese, praktike për përdoruesin, që shpjegojnë hapat, dokumentacionin dhe kriteret e nevojshme për ripërdorimin social të pronave të konfiskuara.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532EA3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91601AG</w:t>
            </w:r>
          </w:p>
        </w:tc>
        <w:tc>
          <w:tcPr>
            <w:tcW w:w="914" w:type="dxa"/>
            <w:tcBorders>
              <w:top w:val="nil"/>
              <w:left w:val="single" w:sz="4" w:space="0" w:color="9CA3AF"/>
              <w:bottom w:val="single" w:sz="4" w:space="0" w:color="9CA3AF"/>
              <w:right w:val="single" w:sz="4" w:space="0" w:color="9CA3AF"/>
            </w:tcBorders>
            <w:shd w:val="clear" w:color="auto" w:fill="auto"/>
            <w:hideMark/>
          </w:tcPr>
          <w:p w14:paraId="0D4F0A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Brendshme/Agjencia e Administrimit të Pasurive të Sekuestruara dhe të Konfiskuara</w:t>
            </w:r>
          </w:p>
        </w:tc>
        <w:tc>
          <w:tcPr>
            <w:tcW w:w="966" w:type="dxa"/>
            <w:tcBorders>
              <w:top w:val="nil"/>
              <w:left w:val="nil"/>
              <w:bottom w:val="single" w:sz="4" w:space="0" w:color="9CA3AF"/>
              <w:right w:val="single" w:sz="4" w:space="0" w:color="9CA3AF"/>
            </w:tcBorders>
            <w:shd w:val="clear" w:color="auto" w:fill="auto"/>
            <w:hideMark/>
          </w:tcPr>
          <w:p w14:paraId="2C4473E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MPB; Ministritë e Linjës (relevante)</w:t>
            </w:r>
          </w:p>
        </w:tc>
        <w:tc>
          <w:tcPr>
            <w:tcW w:w="439" w:type="dxa"/>
            <w:tcBorders>
              <w:top w:val="nil"/>
              <w:left w:val="nil"/>
              <w:bottom w:val="single" w:sz="4" w:space="0" w:color="9CA3AF"/>
              <w:right w:val="single" w:sz="4" w:space="0" w:color="9CA3AF"/>
            </w:tcBorders>
            <w:shd w:val="clear" w:color="auto" w:fill="auto"/>
            <w:hideMark/>
          </w:tcPr>
          <w:p w14:paraId="591F053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617CD7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A32612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6,000,000</w:t>
            </w:r>
          </w:p>
        </w:tc>
        <w:tc>
          <w:tcPr>
            <w:tcW w:w="1352" w:type="dxa"/>
            <w:tcBorders>
              <w:top w:val="nil"/>
              <w:left w:val="nil"/>
              <w:bottom w:val="single" w:sz="4" w:space="0" w:color="9CA3AF"/>
              <w:right w:val="single" w:sz="4" w:space="0" w:color="9CA3AF"/>
            </w:tcBorders>
            <w:shd w:val="clear" w:color="auto" w:fill="auto"/>
            <w:hideMark/>
          </w:tcPr>
          <w:p w14:paraId="69C669A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Bankat e nivelit të dytë me marrëveshje sponsorizimi</w:t>
            </w:r>
          </w:p>
        </w:tc>
      </w:tr>
      <w:tr w:rsidR="00F54824" w:rsidRPr="002128A6" w14:paraId="0AEDBA1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872CE7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376752B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w:t>
            </w:r>
          </w:p>
        </w:tc>
        <w:tc>
          <w:tcPr>
            <w:tcW w:w="867" w:type="dxa"/>
            <w:tcBorders>
              <w:top w:val="nil"/>
              <w:left w:val="nil"/>
              <w:bottom w:val="single" w:sz="4" w:space="0" w:color="9CA3AF"/>
              <w:right w:val="single" w:sz="4" w:space="0" w:color="9CA3AF"/>
            </w:tcBorders>
            <w:shd w:val="clear" w:color="F1F5F9" w:fill="ECFDF5"/>
            <w:hideMark/>
          </w:tcPr>
          <w:p w14:paraId="11DD2C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cenueshmërisë së komuniteteve me rrezik duke përmirësuar aksesin në mekanizmat e mbështetjes sociale, ekonomike dhe të riintegrimit</w:t>
            </w:r>
          </w:p>
        </w:tc>
        <w:tc>
          <w:tcPr>
            <w:tcW w:w="517" w:type="dxa"/>
            <w:tcBorders>
              <w:top w:val="nil"/>
              <w:left w:val="nil"/>
              <w:bottom w:val="single" w:sz="4" w:space="0" w:color="9CA3AF"/>
              <w:right w:val="single" w:sz="4" w:space="0" w:color="9CA3AF"/>
            </w:tcBorders>
            <w:shd w:val="clear" w:color="F1F5F9" w:fill="ECFDF5"/>
            <w:hideMark/>
          </w:tcPr>
          <w:p w14:paraId="6CF25B7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1.2.4</w:t>
            </w:r>
          </w:p>
        </w:tc>
        <w:tc>
          <w:tcPr>
            <w:tcW w:w="1007" w:type="dxa"/>
            <w:tcBorders>
              <w:top w:val="nil"/>
              <w:left w:val="nil"/>
              <w:bottom w:val="single" w:sz="4" w:space="0" w:color="9CA3AF"/>
              <w:right w:val="single" w:sz="4" w:space="0" w:color="9CA3AF"/>
            </w:tcBorders>
            <w:shd w:val="clear" w:color="F1F5F9" w:fill="ECFDF5"/>
            <w:hideMark/>
          </w:tcPr>
          <w:p w14:paraId="28AC5CB2" w14:textId="08E226BB"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Përmirësimi i trajtimit të të burgosurve për sa </w:t>
            </w:r>
            <w:r w:rsidR="00043DE4" w:rsidRPr="002128A6">
              <w:rPr>
                <w:rFonts w:ascii="Garamond" w:eastAsia="Times New Roman" w:hAnsi="Garamond" w:cs="Times New Roman"/>
                <w:kern w:val="0"/>
                <w:sz w:val="8"/>
                <w:szCs w:val="8"/>
                <w14:ligatures w14:val="none"/>
              </w:rPr>
              <w:t>u</w:t>
            </w:r>
            <w:r w:rsidRPr="002128A6">
              <w:rPr>
                <w:rFonts w:ascii="Garamond" w:eastAsia="Times New Roman" w:hAnsi="Garamond" w:cs="Times New Roman"/>
                <w:kern w:val="0"/>
                <w:sz w:val="8"/>
                <w:szCs w:val="8"/>
                <w14:ligatures w14:val="none"/>
              </w:rPr>
              <w:t xml:space="preserve"> përket aspekteve </w:t>
            </w:r>
            <w:r w:rsidR="00EF05E1" w:rsidRPr="002128A6">
              <w:rPr>
                <w:rFonts w:ascii="Garamond" w:eastAsia="Times New Roman" w:hAnsi="Garamond" w:cs="Times New Roman"/>
                <w:kern w:val="0"/>
                <w:sz w:val="8"/>
                <w:szCs w:val="8"/>
                <w14:ligatures w14:val="none"/>
              </w:rPr>
              <w:t>psikosociale</w:t>
            </w:r>
            <w:r w:rsidRPr="002128A6">
              <w:rPr>
                <w:rFonts w:ascii="Garamond" w:eastAsia="Times New Roman" w:hAnsi="Garamond" w:cs="Times New Roman"/>
                <w:kern w:val="0"/>
                <w:sz w:val="8"/>
                <w:szCs w:val="8"/>
                <w14:ligatures w14:val="none"/>
              </w:rPr>
              <w:t xml:space="preserve"> dhe kulturore, si dhe i kushteve të strukturave dhe infrastrukturës së burgjeve, përfshirë përmes hartimit dhe zbatimit të programeve sociale dhe trajnimeve ose kurseve profesionale.</w:t>
            </w:r>
          </w:p>
        </w:tc>
        <w:tc>
          <w:tcPr>
            <w:tcW w:w="524" w:type="dxa"/>
            <w:tcBorders>
              <w:top w:val="nil"/>
              <w:left w:val="nil"/>
              <w:bottom w:val="single" w:sz="4" w:space="0" w:color="9CA3AF"/>
              <w:right w:val="single" w:sz="4" w:space="0" w:color="9CA3AF"/>
            </w:tcBorders>
            <w:shd w:val="clear" w:color="auto" w:fill="auto"/>
            <w:hideMark/>
          </w:tcPr>
          <w:p w14:paraId="776CD86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1.2.4</w:t>
            </w:r>
          </w:p>
        </w:tc>
        <w:tc>
          <w:tcPr>
            <w:tcW w:w="1307" w:type="dxa"/>
            <w:tcBorders>
              <w:top w:val="nil"/>
              <w:left w:val="nil"/>
              <w:bottom w:val="single" w:sz="4" w:space="0" w:color="9CA3AF"/>
              <w:right w:val="single" w:sz="4" w:space="0" w:color="9CA3AF"/>
            </w:tcBorders>
            <w:shd w:val="clear" w:color="auto" w:fill="auto"/>
            <w:hideMark/>
          </w:tcPr>
          <w:p w14:paraId="25B7BD8B" w14:textId="61627B5F"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Zhvillimi dhe zbatimi i programeve </w:t>
            </w:r>
            <w:r w:rsidR="00EF05E1" w:rsidRPr="002128A6">
              <w:rPr>
                <w:rFonts w:ascii="Garamond" w:eastAsia="Times New Roman" w:hAnsi="Garamond" w:cs="Times New Roman"/>
                <w:kern w:val="0"/>
                <w:sz w:val="8"/>
                <w:szCs w:val="8"/>
                <w14:ligatures w14:val="none"/>
              </w:rPr>
              <w:t>psikosociale</w:t>
            </w:r>
            <w:r w:rsidRPr="002128A6">
              <w:rPr>
                <w:rFonts w:ascii="Garamond" w:eastAsia="Times New Roman" w:hAnsi="Garamond" w:cs="Times New Roman"/>
                <w:kern w:val="0"/>
                <w:sz w:val="8"/>
                <w:szCs w:val="8"/>
                <w14:ligatures w14:val="none"/>
              </w:rPr>
              <w:t xml:space="preserve">, kulturore dhe profesionale në burgje, që mbështetin rehabilitimin, reduktojnë recidivizmin dhe forcojnë perspektivat e riintegrimit.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Përmirësimi i strukturave dhe infrastrukturës së burgjeve për të siguruar kushte humane dhe për të mundësuar ofrimin e trajnimeve të strukturuara, këshillimit dhe shërbimeve të riintegrimit.</w:t>
            </w:r>
          </w:p>
        </w:tc>
        <w:tc>
          <w:tcPr>
            <w:tcW w:w="699" w:type="dxa"/>
            <w:tcBorders>
              <w:top w:val="nil"/>
              <w:left w:val="single" w:sz="4" w:space="0" w:color="auto"/>
              <w:bottom w:val="single" w:sz="4" w:space="0" w:color="auto"/>
              <w:right w:val="single" w:sz="4" w:space="0" w:color="auto"/>
            </w:tcBorders>
            <w:shd w:val="clear" w:color="000000" w:fill="FFFFFF"/>
            <w:noWrap/>
            <w:vAlign w:val="center"/>
            <w:hideMark/>
          </w:tcPr>
          <w:p w14:paraId="14EF3F5C"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91408AB</w:t>
            </w:r>
          </w:p>
        </w:tc>
        <w:tc>
          <w:tcPr>
            <w:tcW w:w="914" w:type="dxa"/>
            <w:tcBorders>
              <w:top w:val="nil"/>
              <w:left w:val="single" w:sz="4" w:space="0" w:color="9CA3AF"/>
              <w:bottom w:val="single" w:sz="4" w:space="0" w:color="9CA3AF"/>
              <w:right w:val="single" w:sz="4" w:space="0" w:color="9CA3AF"/>
            </w:tcBorders>
            <w:shd w:val="clear" w:color="auto" w:fill="auto"/>
            <w:hideMark/>
          </w:tcPr>
          <w:p w14:paraId="395E794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Burgjeve</w:t>
            </w:r>
          </w:p>
        </w:tc>
        <w:tc>
          <w:tcPr>
            <w:tcW w:w="966" w:type="dxa"/>
            <w:tcBorders>
              <w:top w:val="nil"/>
              <w:left w:val="nil"/>
              <w:bottom w:val="single" w:sz="4" w:space="0" w:color="9CA3AF"/>
              <w:right w:val="single" w:sz="4" w:space="0" w:color="9CA3AF"/>
            </w:tcBorders>
            <w:shd w:val="clear" w:color="auto" w:fill="auto"/>
            <w:hideMark/>
          </w:tcPr>
          <w:p w14:paraId="7860406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Drejtësisë</w:t>
            </w:r>
          </w:p>
        </w:tc>
        <w:tc>
          <w:tcPr>
            <w:tcW w:w="439" w:type="dxa"/>
            <w:tcBorders>
              <w:top w:val="nil"/>
              <w:left w:val="nil"/>
              <w:bottom w:val="single" w:sz="4" w:space="0" w:color="9CA3AF"/>
              <w:right w:val="single" w:sz="4" w:space="0" w:color="9CA3AF"/>
            </w:tcBorders>
            <w:shd w:val="clear" w:color="auto" w:fill="auto"/>
            <w:hideMark/>
          </w:tcPr>
          <w:p w14:paraId="1F92DF6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090FFD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5B3559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BE63E3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EB8C03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D0802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1749718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w:t>
            </w:r>
          </w:p>
        </w:tc>
        <w:tc>
          <w:tcPr>
            <w:tcW w:w="867" w:type="dxa"/>
            <w:tcBorders>
              <w:top w:val="nil"/>
              <w:left w:val="nil"/>
              <w:bottom w:val="single" w:sz="4" w:space="0" w:color="9CA3AF"/>
              <w:right w:val="single" w:sz="4" w:space="0" w:color="9CA3AF"/>
            </w:tcBorders>
            <w:shd w:val="clear" w:color="F1F5F9" w:fill="ECFDF5"/>
            <w:hideMark/>
          </w:tcPr>
          <w:p w14:paraId="77957D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cenueshmërisë së komuniteteve me rrezik duke përmirësuar aksesin në mekanizmat e mbështetjes sociale, ekonomike dhe të riintegrimit</w:t>
            </w:r>
          </w:p>
        </w:tc>
        <w:tc>
          <w:tcPr>
            <w:tcW w:w="517" w:type="dxa"/>
            <w:tcBorders>
              <w:top w:val="nil"/>
              <w:left w:val="nil"/>
              <w:bottom w:val="single" w:sz="4" w:space="0" w:color="9CA3AF"/>
              <w:right w:val="single" w:sz="4" w:space="0" w:color="9CA3AF"/>
            </w:tcBorders>
            <w:shd w:val="clear" w:color="F1F5F9" w:fill="ECFDF5"/>
            <w:hideMark/>
          </w:tcPr>
          <w:p w14:paraId="3CEECF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1.2.5</w:t>
            </w:r>
          </w:p>
        </w:tc>
        <w:tc>
          <w:tcPr>
            <w:tcW w:w="1007" w:type="dxa"/>
            <w:tcBorders>
              <w:top w:val="nil"/>
              <w:left w:val="nil"/>
              <w:bottom w:val="single" w:sz="4" w:space="0" w:color="9CA3AF"/>
              <w:right w:val="single" w:sz="4" w:space="0" w:color="9CA3AF"/>
            </w:tcBorders>
            <w:shd w:val="clear" w:color="F1F5F9" w:fill="ECFDF5"/>
            <w:hideMark/>
          </w:tcPr>
          <w:p w14:paraId="3091D02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i analizave dhe studimeve në bashkëpunim ndërmjet Akademisë së Sigurisë, specialistëve të fushës, psikologëve dhe shoqërisë civile, për të analizuar arsyet, shkaqet dhe faktorët kontribuues që çojnë në vrasje, si edhe prezantimi i opinioneve dhe alternative për trajtimin e problematikave prëkatëse, si edhe luftimi i shkaqeve rrënjësore që çojnë në vrasje. </w:t>
            </w:r>
          </w:p>
        </w:tc>
        <w:tc>
          <w:tcPr>
            <w:tcW w:w="524" w:type="dxa"/>
            <w:tcBorders>
              <w:top w:val="nil"/>
              <w:left w:val="nil"/>
              <w:bottom w:val="single" w:sz="4" w:space="0" w:color="9CA3AF"/>
              <w:right w:val="single" w:sz="4" w:space="0" w:color="9CA3AF"/>
            </w:tcBorders>
            <w:shd w:val="clear" w:color="auto" w:fill="auto"/>
            <w:hideMark/>
          </w:tcPr>
          <w:p w14:paraId="64EB0BF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1.2.5</w:t>
            </w:r>
          </w:p>
        </w:tc>
        <w:tc>
          <w:tcPr>
            <w:tcW w:w="1307" w:type="dxa"/>
            <w:tcBorders>
              <w:top w:val="nil"/>
              <w:left w:val="nil"/>
              <w:bottom w:val="single" w:sz="4" w:space="0" w:color="9CA3AF"/>
              <w:right w:val="single" w:sz="4" w:space="0" w:color="9CA3AF"/>
            </w:tcBorders>
            <w:shd w:val="clear" w:color="auto" w:fill="auto"/>
            <w:hideMark/>
          </w:tcPr>
          <w:p w14:paraId="283795A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studimeve ndërdisiplinore, së bashku me Akademinë e Sigurisë, psikologët, kriminologët dhe shoqërinë civile, për të analizuar shkaqet rrënjësore, modelet e sjelljes dhe faktorët shtytës socio-ekonomikë që çojnë në vrasje.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Formulimi i rekomandimeve politike dhe opsioneve praktike për parandalimin, ndërhyrjen e hershme dhe përgjigjen në nivel komunitar, për të reduktuar krimin e dhunshëm.</w:t>
            </w:r>
          </w:p>
        </w:tc>
        <w:tc>
          <w:tcPr>
            <w:tcW w:w="699" w:type="dxa"/>
            <w:tcBorders>
              <w:top w:val="nil"/>
              <w:left w:val="single" w:sz="4" w:space="0" w:color="auto"/>
              <w:bottom w:val="single" w:sz="4" w:space="0" w:color="auto"/>
              <w:right w:val="single" w:sz="4" w:space="0" w:color="auto"/>
            </w:tcBorders>
            <w:shd w:val="clear" w:color="000000" w:fill="FFFFFF"/>
            <w:noWrap/>
            <w:vAlign w:val="center"/>
            <w:hideMark/>
          </w:tcPr>
          <w:p w14:paraId="77749F4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single" w:sz="4" w:space="0" w:color="9CA3AF"/>
              <w:bottom w:val="single" w:sz="4" w:space="0" w:color="9CA3AF"/>
              <w:right w:val="single" w:sz="4" w:space="0" w:color="9CA3AF"/>
            </w:tcBorders>
            <w:shd w:val="clear" w:color="auto" w:fill="auto"/>
            <w:hideMark/>
          </w:tcPr>
          <w:p w14:paraId="500F337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Shtetit/Akademia e Sigurisë</w:t>
            </w:r>
          </w:p>
        </w:tc>
        <w:tc>
          <w:tcPr>
            <w:tcW w:w="966" w:type="dxa"/>
            <w:tcBorders>
              <w:top w:val="nil"/>
              <w:left w:val="nil"/>
              <w:bottom w:val="single" w:sz="4" w:space="0" w:color="9CA3AF"/>
              <w:right w:val="single" w:sz="4" w:space="0" w:color="9CA3AF"/>
            </w:tcBorders>
            <w:shd w:val="clear" w:color="auto" w:fill="auto"/>
            <w:hideMark/>
          </w:tcPr>
          <w:p w14:paraId="72356F5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 Ministria e Drejtësisë; Drejtësisë</w:t>
            </w:r>
          </w:p>
        </w:tc>
        <w:tc>
          <w:tcPr>
            <w:tcW w:w="439" w:type="dxa"/>
            <w:tcBorders>
              <w:top w:val="nil"/>
              <w:left w:val="nil"/>
              <w:bottom w:val="single" w:sz="4" w:space="0" w:color="9CA3AF"/>
              <w:right w:val="single" w:sz="4" w:space="0" w:color="9CA3AF"/>
            </w:tcBorders>
            <w:shd w:val="clear" w:color="auto" w:fill="auto"/>
            <w:hideMark/>
          </w:tcPr>
          <w:p w14:paraId="06FDF93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84D551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9C73FF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BED6E9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26FDC4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0B205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587B50A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w:t>
            </w:r>
          </w:p>
        </w:tc>
        <w:tc>
          <w:tcPr>
            <w:tcW w:w="867" w:type="dxa"/>
            <w:tcBorders>
              <w:top w:val="nil"/>
              <w:left w:val="nil"/>
              <w:bottom w:val="single" w:sz="4" w:space="0" w:color="9CA3AF"/>
              <w:right w:val="single" w:sz="4" w:space="0" w:color="9CA3AF"/>
            </w:tcBorders>
            <w:shd w:val="clear" w:color="F1F5F9" w:fill="ECFDF5"/>
            <w:hideMark/>
          </w:tcPr>
          <w:p w14:paraId="0DD0E63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cenueshmërisë së komuniteteve me rrezik duke përmirësuar aksesin në mekanizmat e mbështetjes sociale, ekonomike dhe të riintegrimit</w:t>
            </w:r>
          </w:p>
        </w:tc>
        <w:tc>
          <w:tcPr>
            <w:tcW w:w="517" w:type="dxa"/>
            <w:tcBorders>
              <w:top w:val="nil"/>
              <w:left w:val="nil"/>
              <w:bottom w:val="single" w:sz="4" w:space="0" w:color="9CA3AF"/>
              <w:right w:val="single" w:sz="4" w:space="0" w:color="9CA3AF"/>
            </w:tcBorders>
            <w:shd w:val="clear" w:color="F1F5F9" w:fill="ECFDF5"/>
            <w:hideMark/>
          </w:tcPr>
          <w:p w14:paraId="221C888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1.2.6</w:t>
            </w:r>
          </w:p>
        </w:tc>
        <w:tc>
          <w:tcPr>
            <w:tcW w:w="1007" w:type="dxa"/>
            <w:tcBorders>
              <w:top w:val="nil"/>
              <w:left w:val="nil"/>
              <w:bottom w:val="nil"/>
              <w:right w:val="nil"/>
            </w:tcBorders>
            <w:shd w:val="clear" w:color="F1F5F9" w:fill="ECFDF5"/>
            <w:hideMark/>
          </w:tcPr>
          <w:p w14:paraId="3BAE4D8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Përgatitja dhe zbatimi i programeve të qëndrueshmërisë komunitare në të paktën 5 zona gjeografike me rrezik të lartë të identifikuara nga të dhënat e autoriteteve ligjzbatuese, që përfshijnë module të përgjegjshme ndaj gjinisë dhe që adresojnë rreziqet e diferencuara. </w:t>
            </w:r>
          </w:p>
        </w:tc>
        <w:tc>
          <w:tcPr>
            <w:tcW w:w="524" w:type="dxa"/>
            <w:tcBorders>
              <w:top w:val="nil"/>
              <w:left w:val="nil"/>
              <w:bottom w:val="nil"/>
              <w:right w:val="nil"/>
            </w:tcBorders>
            <w:shd w:val="clear" w:color="auto" w:fill="auto"/>
            <w:hideMark/>
          </w:tcPr>
          <w:p w14:paraId="28E10D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1.2.6</w:t>
            </w:r>
          </w:p>
        </w:tc>
        <w:tc>
          <w:tcPr>
            <w:tcW w:w="1307" w:type="dxa"/>
            <w:tcBorders>
              <w:top w:val="nil"/>
              <w:left w:val="nil"/>
              <w:bottom w:val="nil"/>
              <w:right w:val="nil"/>
            </w:tcBorders>
            <w:shd w:val="clear" w:color="auto" w:fill="auto"/>
            <w:hideMark/>
          </w:tcPr>
          <w:p w14:paraId="5CD0096B" w14:textId="5BDA6898"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dhe zbatimi i programeve të rezistencës komunitare në të paktën pesë zona me rrezik të lartë, duke përfshirë module të përgjegjshme ndaj gjinisë që adresojnë rreziqet e diferencuara me të cilat përballen gratë, burrat, vajzat dhe djemtë.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Mobilizimi i aktorëve vendorë, shkollat, bashkitë, OShC-të, grupet rinore, për të ofruar aktivitete parandaluese, nisma mentorimi dhe ndërhyrje për forcimin e komuniteteve, të përshtatura sipas c</w:t>
            </w:r>
            <w:r w:rsidR="00166584" w:rsidRPr="002128A6">
              <w:rPr>
                <w:rFonts w:ascii="Garamond" w:eastAsia="Times New Roman" w:hAnsi="Garamond" w:cs="Times New Roman"/>
                <w:kern w:val="0"/>
                <w:sz w:val="8"/>
                <w:szCs w:val="8"/>
                <w14:ligatures w14:val="none"/>
              </w:rPr>
              <w:t>e</w:t>
            </w:r>
            <w:r w:rsidRPr="002128A6">
              <w:rPr>
                <w:rFonts w:ascii="Garamond" w:eastAsia="Times New Roman" w:hAnsi="Garamond" w:cs="Times New Roman"/>
                <w:kern w:val="0"/>
                <w:sz w:val="8"/>
                <w:szCs w:val="8"/>
                <w14:ligatures w14:val="none"/>
              </w:rPr>
              <w:t>nueshmërive vendore.</w:t>
            </w:r>
          </w:p>
        </w:tc>
        <w:tc>
          <w:tcPr>
            <w:tcW w:w="699" w:type="dxa"/>
            <w:tcBorders>
              <w:top w:val="nil"/>
              <w:left w:val="single" w:sz="4" w:space="0" w:color="auto"/>
              <w:bottom w:val="single" w:sz="4" w:space="0" w:color="auto"/>
              <w:right w:val="single" w:sz="4" w:space="0" w:color="auto"/>
            </w:tcBorders>
            <w:shd w:val="clear" w:color="000000" w:fill="FFFFFF"/>
            <w:noWrap/>
            <w:vAlign w:val="center"/>
            <w:hideMark/>
          </w:tcPr>
          <w:p w14:paraId="34063BD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single" w:sz="4" w:space="0" w:color="9CA3AF"/>
              <w:bottom w:val="single" w:sz="4" w:space="0" w:color="9CA3AF"/>
              <w:right w:val="single" w:sz="4" w:space="0" w:color="9CA3AF"/>
            </w:tcBorders>
            <w:shd w:val="clear" w:color="auto" w:fill="auto"/>
            <w:hideMark/>
          </w:tcPr>
          <w:p w14:paraId="6E337FF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nil"/>
              <w:left w:val="nil"/>
              <w:bottom w:val="nil"/>
              <w:right w:val="nil"/>
            </w:tcBorders>
            <w:shd w:val="clear" w:color="auto" w:fill="auto"/>
            <w:hideMark/>
          </w:tcPr>
          <w:p w14:paraId="48C25D5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p>
        </w:tc>
        <w:tc>
          <w:tcPr>
            <w:tcW w:w="439" w:type="dxa"/>
            <w:tcBorders>
              <w:top w:val="nil"/>
              <w:left w:val="single" w:sz="4" w:space="0" w:color="9CA3AF"/>
              <w:bottom w:val="single" w:sz="4" w:space="0" w:color="9CA3AF"/>
              <w:right w:val="single" w:sz="4" w:space="0" w:color="9CA3AF"/>
            </w:tcBorders>
            <w:shd w:val="clear" w:color="auto" w:fill="auto"/>
            <w:hideMark/>
          </w:tcPr>
          <w:p w14:paraId="638478D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C1D024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nil"/>
              <w:right w:val="nil"/>
            </w:tcBorders>
            <w:shd w:val="clear" w:color="auto" w:fill="auto"/>
            <w:hideMark/>
          </w:tcPr>
          <w:p w14:paraId="2FED821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p>
        </w:tc>
        <w:tc>
          <w:tcPr>
            <w:tcW w:w="1352" w:type="dxa"/>
            <w:tcBorders>
              <w:top w:val="nil"/>
              <w:left w:val="nil"/>
              <w:bottom w:val="nil"/>
              <w:right w:val="nil"/>
            </w:tcBorders>
            <w:shd w:val="clear" w:color="auto" w:fill="auto"/>
            <w:hideMark/>
          </w:tcPr>
          <w:p w14:paraId="45A5530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p>
        </w:tc>
      </w:tr>
      <w:tr w:rsidR="00F54824" w:rsidRPr="002128A6" w14:paraId="4F23770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861B5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6771750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w:t>
            </w:r>
          </w:p>
        </w:tc>
        <w:tc>
          <w:tcPr>
            <w:tcW w:w="867" w:type="dxa"/>
            <w:tcBorders>
              <w:top w:val="nil"/>
              <w:left w:val="nil"/>
              <w:bottom w:val="single" w:sz="4" w:space="0" w:color="9CA3AF"/>
              <w:right w:val="single" w:sz="4" w:space="0" w:color="9CA3AF"/>
            </w:tcBorders>
            <w:shd w:val="clear" w:color="F1F5F9" w:fill="ECFDF5"/>
            <w:hideMark/>
          </w:tcPr>
          <w:p w14:paraId="06A2EE3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cenueshmërisë së komuniteteve me rrezik duke përmirësuar aksesin në mekanizmat e mbështetjes sociale, ekonomike dhe të riintegrimit</w:t>
            </w:r>
          </w:p>
        </w:tc>
        <w:tc>
          <w:tcPr>
            <w:tcW w:w="517" w:type="dxa"/>
            <w:tcBorders>
              <w:top w:val="nil"/>
              <w:left w:val="nil"/>
              <w:bottom w:val="single" w:sz="4" w:space="0" w:color="9CA3AF"/>
              <w:right w:val="single" w:sz="4" w:space="0" w:color="9CA3AF"/>
            </w:tcBorders>
            <w:shd w:val="clear" w:color="F1F5F9" w:fill="ECFDF5"/>
            <w:hideMark/>
          </w:tcPr>
          <w:p w14:paraId="3399DD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1.2.7</w:t>
            </w:r>
          </w:p>
        </w:tc>
        <w:tc>
          <w:tcPr>
            <w:tcW w:w="1007" w:type="dxa"/>
            <w:tcBorders>
              <w:top w:val="nil"/>
              <w:left w:val="nil"/>
              <w:bottom w:val="nil"/>
              <w:right w:val="nil"/>
            </w:tcBorders>
            <w:shd w:val="clear" w:color="F1F5F9" w:fill="ECFDF5"/>
            <w:hideMark/>
          </w:tcPr>
          <w:p w14:paraId="30CF399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Përgatitja dhe shpërndarja e materialeve parandaluese me ndjeshmëri gjinore dhe programeve të riintegrimit që ofrojnë mbështetje të përshtatur për gratë, burrat dhe të rinjtë. </w:t>
            </w:r>
          </w:p>
        </w:tc>
        <w:tc>
          <w:tcPr>
            <w:tcW w:w="524" w:type="dxa"/>
            <w:tcBorders>
              <w:top w:val="nil"/>
              <w:left w:val="nil"/>
              <w:bottom w:val="nil"/>
              <w:right w:val="nil"/>
            </w:tcBorders>
            <w:shd w:val="clear" w:color="auto" w:fill="auto"/>
            <w:hideMark/>
          </w:tcPr>
          <w:p w14:paraId="18E238A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1.2.7</w:t>
            </w:r>
          </w:p>
        </w:tc>
        <w:tc>
          <w:tcPr>
            <w:tcW w:w="1307" w:type="dxa"/>
            <w:tcBorders>
              <w:top w:val="nil"/>
              <w:left w:val="nil"/>
              <w:bottom w:val="nil"/>
              <w:right w:val="nil"/>
            </w:tcBorders>
            <w:shd w:val="clear" w:color="auto" w:fill="auto"/>
            <w:hideMark/>
          </w:tcPr>
          <w:p w14:paraId="39A3C80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Përgatitja e materialeve parandaluese të ndjeshme ndaj gjinisë dhe mjete riintegrimi të përshtatura me nevojat e grave, burrave dhe të rinjve, duke adresuar cenueshmëritë specifike që shfrytëzojnë grupet kriminale.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mbështetjes me synim riintegrimin, si këshillim, udhëzim profesional dhe rrugë referimi, për individët me rrezik, duke siguruar që shërbimet të pasqyrojnë nevojat dhe pengesat gjinore specifike.</w:t>
            </w:r>
          </w:p>
        </w:tc>
        <w:tc>
          <w:tcPr>
            <w:tcW w:w="699" w:type="dxa"/>
            <w:tcBorders>
              <w:top w:val="nil"/>
              <w:left w:val="single" w:sz="4" w:space="0" w:color="auto"/>
              <w:bottom w:val="single" w:sz="4" w:space="0" w:color="auto"/>
              <w:right w:val="single" w:sz="4" w:space="0" w:color="auto"/>
            </w:tcBorders>
            <w:shd w:val="clear" w:color="000000" w:fill="FFFFFF"/>
            <w:noWrap/>
            <w:vAlign w:val="center"/>
            <w:hideMark/>
          </w:tcPr>
          <w:p w14:paraId="5B3E0704"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single" w:sz="8" w:space="0" w:color="auto"/>
              <w:bottom w:val="single" w:sz="8" w:space="0" w:color="auto"/>
              <w:right w:val="single" w:sz="8" w:space="0" w:color="auto"/>
            </w:tcBorders>
            <w:shd w:val="clear" w:color="000000" w:fill="FFFFFF"/>
            <w:vAlign w:val="center"/>
            <w:hideMark/>
          </w:tcPr>
          <w:p w14:paraId="75A0070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nil"/>
              <w:left w:val="nil"/>
              <w:bottom w:val="nil"/>
              <w:right w:val="nil"/>
            </w:tcBorders>
            <w:shd w:val="clear" w:color="auto" w:fill="auto"/>
            <w:hideMark/>
          </w:tcPr>
          <w:p w14:paraId="173BA5CA"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p>
        </w:tc>
        <w:tc>
          <w:tcPr>
            <w:tcW w:w="439" w:type="dxa"/>
            <w:tcBorders>
              <w:top w:val="nil"/>
              <w:left w:val="single" w:sz="4" w:space="0" w:color="9CA3AF"/>
              <w:bottom w:val="single" w:sz="4" w:space="0" w:color="9CA3AF"/>
              <w:right w:val="single" w:sz="4" w:space="0" w:color="9CA3AF"/>
            </w:tcBorders>
            <w:shd w:val="clear" w:color="auto" w:fill="auto"/>
            <w:hideMark/>
          </w:tcPr>
          <w:p w14:paraId="6653FA0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EAC52A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nil"/>
              <w:right w:val="nil"/>
            </w:tcBorders>
            <w:shd w:val="clear" w:color="auto" w:fill="auto"/>
            <w:hideMark/>
          </w:tcPr>
          <w:p w14:paraId="73EBEEF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p>
        </w:tc>
        <w:tc>
          <w:tcPr>
            <w:tcW w:w="1352" w:type="dxa"/>
            <w:tcBorders>
              <w:top w:val="nil"/>
              <w:left w:val="nil"/>
              <w:bottom w:val="nil"/>
              <w:right w:val="nil"/>
            </w:tcBorders>
            <w:shd w:val="clear" w:color="auto" w:fill="auto"/>
            <w:hideMark/>
          </w:tcPr>
          <w:p w14:paraId="3D3C58B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p>
        </w:tc>
      </w:tr>
      <w:tr w:rsidR="00F54824" w:rsidRPr="002128A6" w14:paraId="16005C1E"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1E997978"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1.2</w:t>
            </w:r>
          </w:p>
        </w:tc>
        <w:tc>
          <w:tcPr>
            <w:tcW w:w="649" w:type="dxa"/>
            <w:tcBorders>
              <w:top w:val="nil"/>
              <w:left w:val="nil"/>
              <w:bottom w:val="nil"/>
              <w:right w:val="nil"/>
            </w:tcBorders>
            <w:shd w:val="clear" w:color="FDEADA" w:fill="FEF3C7"/>
            <w:noWrap/>
            <w:vAlign w:val="bottom"/>
            <w:hideMark/>
          </w:tcPr>
          <w:p w14:paraId="00D5C019"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6,000,000</w:t>
            </w:r>
          </w:p>
        </w:tc>
        <w:tc>
          <w:tcPr>
            <w:tcW w:w="1352" w:type="dxa"/>
            <w:tcBorders>
              <w:top w:val="nil"/>
              <w:left w:val="nil"/>
              <w:bottom w:val="nil"/>
              <w:right w:val="nil"/>
            </w:tcBorders>
            <w:shd w:val="clear" w:color="auto" w:fill="auto"/>
            <w:noWrap/>
            <w:vAlign w:val="bottom"/>
            <w:hideMark/>
          </w:tcPr>
          <w:p w14:paraId="233727D8"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2FB65F8C"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26DAB74A"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1.3 — Forcimi i sigurisë dhe i mbrojtjes së individëve me risk, përfshirë dëshmitarët, bashkëpunëtorët e drejtësisë dhe viktimat, përmes standardeve të mbrojtjes të harmonizuara me ato të BE-së</w:t>
            </w:r>
          </w:p>
        </w:tc>
      </w:tr>
      <w:tr w:rsidR="00F54824" w:rsidRPr="002128A6" w14:paraId="4B8C6630"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027C4EE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single" w:sz="4" w:space="0" w:color="9CA3AF"/>
              <w:left w:val="nil"/>
              <w:bottom w:val="single" w:sz="4" w:space="0" w:color="9CA3AF"/>
              <w:right w:val="single" w:sz="4" w:space="0" w:color="9CA3AF"/>
            </w:tcBorders>
            <w:shd w:val="clear" w:color="F1F5F9" w:fill="ECFDF5"/>
            <w:hideMark/>
          </w:tcPr>
          <w:p w14:paraId="75EB7EE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w:t>
            </w:r>
          </w:p>
        </w:tc>
        <w:tc>
          <w:tcPr>
            <w:tcW w:w="867" w:type="dxa"/>
            <w:tcBorders>
              <w:top w:val="single" w:sz="4" w:space="0" w:color="9CA3AF"/>
              <w:left w:val="nil"/>
              <w:bottom w:val="single" w:sz="4" w:space="0" w:color="9CA3AF"/>
              <w:right w:val="single" w:sz="4" w:space="0" w:color="9CA3AF"/>
            </w:tcBorders>
            <w:shd w:val="clear" w:color="F1F5F9" w:fill="ECFDF5"/>
            <w:hideMark/>
          </w:tcPr>
          <w:p w14:paraId="666FF54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sigurisë dhe i mbrojtjes së individëve me rrezik, përfshirë dëshmitarët, bashkëpunëtorët e drejtësisë, përmes standardeve të mbrojtjes të harmonizuara me ato të BE-së</w:t>
            </w:r>
          </w:p>
        </w:tc>
        <w:tc>
          <w:tcPr>
            <w:tcW w:w="517" w:type="dxa"/>
            <w:tcBorders>
              <w:top w:val="single" w:sz="4" w:space="0" w:color="9CA3AF"/>
              <w:left w:val="nil"/>
              <w:bottom w:val="single" w:sz="4" w:space="0" w:color="9CA3AF"/>
              <w:right w:val="single" w:sz="4" w:space="0" w:color="9CA3AF"/>
            </w:tcBorders>
            <w:shd w:val="clear" w:color="F1F5F9" w:fill="ECFDF5"/>
            <w:hideMark/>
          </w:tcPr>
          <w:p w14:paraId="7021116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3FA4DB1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Garantimi i jetës dhe sigurisë fizike të dëshmitarëve, bashkëpunëtorëve të drejtësisë, viktimave të trafikimit dhe zyrtarëve të ngarkuar me luftimin e krimit të organizuar.</w:t>
            </w:r>
          </w:p>
        </w:tc>
        <w:tc>
          <w:tcPr>
            <w:tcW w:w="524" w:type="dxa"/>
            <w:tcBorders>
              <w:top w:val="single" w:sz="4" w:space="0" w:color="9CA3AF"/>
              <w:left w:val="nil"/>
              <w:bottom w:val="single" w:sz="4" w:space="0" w:color="9CA3AF"/>
              <w:right w:val="single" w:sz="4" w:space="0" w:color="9CA3AF"/>
            </w:tcBorders>
            <w:shd w:val="clear" w:color="auto" w:fill="auto"/>
            <w:hideMark/>
          </w:tcPr>
          <w:p w14:paraId="32757F7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1.3.1</w:t>
            </w:r>
          </w:p>
        </w:tc>
        <w:tc>
          <w:tcPr>
            <w:tcW w:w="1307" w:type="dxa"/>
            <w:tcBorders>
              <w:top w:val="single" w:sz="4" w:space="0" w:color="9CA3AF"/>
              <w:left w:val="nil"/>
              <w:bottom w:val="single" w:sz="4" w:space="0" w:color="9CA3AF"/>
              <w:right w:val="single" w:sz="4" w:space="0" w:color="9CA3AF"/>
            </w:tcBorders>
            <w:shd w:val="clear" w:color="auto" w:fill="auto"/>
            <w:hideMark/>
          </w:tcPr>
          <w:p w14:paraId="60A87D2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vlerësimeve të vazhdueshme të riskut dhe hartimi i planeve të sigurisë të përshtatura për çdo person të mbrojtur, duke siguruar përshtatje të shpejtë me kërcënimet në evolim dhe rrethanat operacionale.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njësive mbrojtëse përmes trajnimit të specializuar, sistemeve të sigurta të komunikimit dhe protokolleve të koordinuara operacionale për të garantuar siguri fizike të pandërprerë.</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D546F6" w14:textId="33A3976E" w:rsidR="00C42826" w:rsidRPr="002128A6" w:rsidRDefault="00F54824"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w:t>
            </w:r>
            <w:r w:rsidR="00C42826" w:rsidRPr="002128A6">
              <w:rPr>
                <w:rFonts w:ascii="Garamond" w:eastAsia="Times New Roman" w:hAnsi="Garamond" w:cs="Times New Roman"/>
                <w:kern w:val="0"/>
                <w:sz w:val="8"/>
                <w:szCs w:val="8"/>
                <w14:ligatures w14:val="none"/>
              </w:rPr>
              <w:t>91604AD</w:t>
            </w:r>
          </w:p>
        </w:tc>
        <w:tc>
          <w:tcPr>
            <w:tcW w:w="914" w:type="dxa"/>
            <w:tcBorders>
              <w:top w:val="single" w:sz="4" w:space="0" w:color="9CA3AF"/>
              <w:left w:val="single" w:sz="4" w:space="0" w:color="9CA3AF"/>
              <w:bottom w:val="single" w:sz="4" w:space="0" w:color="9CA3AF"/>
              <w:right w:val="single" w:sz="4" w:space="0" w:color="9CA3AF"/>
            </w:tcBorders>
            <w:shd w:val="clear" w:color="auto" w:fill="auto"/>
            <w:hideMark/>
          </w:tcPr>
          <w:p w14:paraId="23101B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9CA3AF"/>
              <w:left w:val="nil"/>
              <w:bottom w:val="single" w:sz="4" w:space="0" w:color="9CA3AF"/>
              <w:right w:val="single" w:sz="4" w:space="0" w:color="9CA3AF"/>
            </w:tcBorders>
            <w:shd w:val="clear" w:color="auto" w:fill="auto"/>
            <w:hideMark/>
          </w:tcPr>
          <w:p w14:paraId="3BF7A4D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single" w:sz="4" w:space="0" w:color="9CA3AF"/>
              <w:left w:val="nil"/>
              <w:bottom w:val="single" w:sz="4" w:space="0" w:color="9CA3AF"/>
              <w:right w:val="single" w:sz="4" w:space="0" w:color="9CA3AF"/>
            </w:tcBorders>
            <w:shd w:val="clear" w:color="auto" w:fill="auto"/>
            <w:hideMark/>
          </w:tcPr>
          <w:p w14:paraId="267CB4D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1931531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144CCCA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6153165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9388D5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43918D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7D7A4B3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w:t>
            </w:r>
          </w:p>
        </w:tc>
        <w:tc>
          <w:tcPr>
            <w:tcW w:w="867" w:type="dxa"/>
            <w:tcBorders>
              <w:top w:val="nil"/>
              <w:left w:val="nil"/>
              <w:bottom w:val="single" w:sz="4" w:space="0" w:color="9CA3AF"/>
              <w:right w:val="single" w:sz="4" w:space="0" w:color="9CA3AF"/>
            </w:tcBorders>
            <w:shd w:val="clear" w:color="F1F5F9" w:fill="ECFDF5"/>
            <w:hideMark/>
          </w:tcPr>
          <w:p w14:paraId="57A5554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sigurisë dhe i mbrojtjes së individëve me rrezik, përfshirë dëshmitarët, bashkëpunëtorët e drejtësisë, përmes standardeve të mbrojtjes të harmonizuara me ato të BE-së</w:t>
            </w:r>
          </w:p>
        </w:tc>
        <w:tc>
          <w:tcPr>
            <w:tcW w:w="517" w:type="dxa"/>
            <w:tcBorders>
              <w:top w:val="nil"/>
              <w:left w:val="nil"/>
              <w:bottom w:val="single" w:sz="4" w:space="0" w:color="9CA3AF"/>
              <w:right w:val="single" w:sz="4" w:space="0" w:color="9CA3AF"/>
            </w:tcBorders>
            <w:shd w:val="clear" w:color="F1F5F9" w:fill="ECFDF5"/>
            <w:hideMark/>
          </w:tcPr>
          <w:p w14:paraId="7CC550D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1.3.2</w:t>
            </w:r>
          </w:p>
        </w:tc>
        <w:tc>
          <w:tcPr>
            <w:tcW w:w="1007" w:type="dxa"/>
            <w:tcBorders>
              <w:top w:val="nil"/>
              <w:left w:val="nil"/>
              <w:bottom w:val="single" w:sz="4" w:space="0" w:color="9CA3AF"/>
              <w:right w:val="single" w:sz="4" w:space="0" w:color="9CA3AF"/>
            </w:tcBorders>
            <w:shd w:val="clear" w:color="F1F5F9" w:fill="ECFDF5"/>
            <w:hideMark/>
          </w:tcPr>
          <w:p w14:paraId="38BB56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Nënshkrimi i marrëveshjeve me njësitë homologe për rialokimin jashtë të programeve të mbrojtjes me qëllim përforcimin e mekanizmave të sigurimit të jetës së bashkëpunëtorëve dhe dëshmitarëve të drejtësisë.</w:t>
            </w:r>
          </w:p>
        </w:tc>
        <w:tc>
          <w:tcPr>
            <w:tcW w:w="524" w:type="dxa"/>
            <w:tcBorders>
              <w:top w:val="nil"/>
              <w:left w:val="nil"/>
              <w:bottom w:val="single" w:sz="4" w:space="0" w:color="9CA3AF"/>
              <w:right w:val="single" w:sz="4" w:space="0" w:color="9CA3AF"/>
            </w:tcBorders>
            <w:shd w:val="clear" w:color="auto" w:fill="auto"/>
            <w:hideMark/>
          </w:tcPr>
          <w:p w14:paraId="05EB585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1.3.2</w:t>
            </w:r>
          </w:p>
        </w:tc>
        <w:tc>
          <w:tcPr>
            <w:tcW w:w="1307" w:type="dxa"/>
            <w:tcBorders>
              <w:top w:val="nil"/>
              <w:left w:val="nil"/>
              <w:bottom w:val="single" w:sz="4" w:space="0" w:color="9CA3AF"/>
              <w:right w:val="single" w:sz="4" w:space="0" w:color="9CA3AF"/>
            </w:tcBorders>
            <w:shd w:val="clear" w:color="auto" w:fill="auto"/>
            <w:hideMark/>
          </w:tcPr>
          <w:p w14:paraId="30A8BF33" w14:textId="4ACE151A"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Negocimi dhe formalizimi</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i marrëveshjeve dypalëshe dhe shumëpalëshe të bashkëpunimit me njësitë homologe të mbrojtjes, për të mundësuar zhvendosje të sigurt jashtme vendit kur mbrojtja brenda vendit është e pamjaftueshme.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Miratimi i procedurave të standardizuara për transferimet ndërkombëtare, përfshirë protokollet e ndarjes së informacionit, garancitë e konfidencialitetit dhe planifikimin e koordinuar operacional.</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4BBC6D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91604AD</w:t>
            </w:r>
          </w:p>
        </w:tc>
        <w:tc>
          <w:tcPr>
            <w:tcW w:w="914" w:type="dxa"/>
            <w:tcBorders>
              <w:top w:val="nil"/>
              <w:left w:val="single" w:sz="4" w:space="0" w:color="9CA3AF"/>
              <w:bottom w:val="single" w:sz="4" w:space="0" w:color="9CA3AF"/>
              <w:right w:val="single" w:sz="4" w:space="0" w:color="9CA3AF"/>
            </w:tcBorders>
            <w:shd w:val="clear" w:color="auto" w:fill="auto"/>
            <w:hideMark/>
          </w:tcPr>
          <w:p w14:paraId="42C8129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107E786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5EDD2AA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5BA4DD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7481C2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46CB3B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DF1A9F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9930C1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29446F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w:t>
            </w:r>
          </w:p>
        </w:tc>
        <w:tc>
          <w:tcPr>
            <w:tcW w:w="867" w:type="dxa"/>
            <w:tcBorders>
              <w:top w:val="nil"/>
              <w:left w:val="nil"/>
              <w:bottom w:val="single" w:sz="4" w:space="0" w:color="9CA3AF"/>
              <w:right w:val="single" w:sz="4" w:space="0" w:color="9CA3AF"/>
            </w:tcBorders>
            <w:shd w:val="clear" w:color="F1F5F9" w:fill="ECFDF5"/>
            <w:hideMark/>
          </w:tcPr>
          <w:p w14:paraId="416DE03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sigurisë dhe i mbrojtjes së individëve me rrezik, </w:t>
            </w:r>
            <w:r w:rsidRPr="002128A6">
              <w:rPr>
                <w:rFonts w:ascii="Garamond" w:eastAsia="Times New Roman" w:hAnsi="Garamond" w:cs="Times New Roman"/>
                <w:kern w:val="0"/>
                <w:sz w:val="8"/>
                <w:szCs w:val="8"/>
                <w14:ligatures w14:val="none"/>
              </w:rPr>
              <w:lastRenderedPageBreak/>
              <w:t>përfshirë dëshmitarët, bashkëpunëtorët e drejtësisë, përmes standardeve të mbrojtjes të harmonizuara me ato të BE-së</w:t>
            </w:r>
          </w:p>
        </w:tc>
        <w:tc>
          <w:tcPr>
            <w:tcW w:w="517" w:type="dxa"/>
            <w:tcBorders>
              <w:top w:val="nil"/>
              <w:left w:val="nil"/>
              <w:bottom w:val="single" w:sz="4" w:space="0" w:color="9CA3AF"/>
              <w:right w:val="single" w:sz="4" w:space="0" w:color="9CA3AF"/>
            </w:tcBorders>
            <w:shd w:val="clear" w:color="F1F5F9" w:fill="ECFDF5"/>
            <w:hideMark/>
          </w:tcPr>
          <w:p w14:paraId="2F3F8DA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1.3.3</w:t>
            </w:r>
          </w:p>
        </w:tc>
        <w:tc>
          <w:tcPr>
            <w:tcW w:w="1007" w:type="dxa"/>
            <w:tcBorders>
              <w:top w:val="nil"/>
              <w:left w:val="nil"/>
              <w:bottom w:val="single" w:sz="4" w:space="0" w:color="9CA3AF"/>
              <w:right w:val="single" w:sz="4" w:space="0" w:color="9CA3AF"/>
            </w:tcBorders>
            <w:shd w:val="clear" w:color="F1F5F9" w:fill="ECFDF5"/>
            <w:hideMark/>
          </w:tcPr>
          <w:p w14:paraId="3428FF5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Garantimi i mbrojtjes fizike dhe teknike në vendin e banimit si dhe </w:t>
            </w:r>
            <w:r w:rsidRPr="002128A6">
              <w:rPr>
                <w:rFonts w:ascii="Garamond" w:eastAsia="Times New Roman" w:hAnsi="Garamond" w:cs="Times New Roman"/>
                <w:kern w:val="0"/>
                <w:sz w:val="8"/>
                <w:szCs w:val="8"/>
                <w14:ligatures w14:val="none"/>
              </w:rPr>
              <w:lastRenderedPageBreak/>
              <w:t>gjatë lëvizjeve të tyre, për personat e përfshirë në programin e mbrojtjes me Vendim të Komisionit për Vlerësimin e Programit të Mbrojtjes së Dëshmitarëve dhe Bashkëpunëtorëve të Drejtësisë.</w:t>
            </w:r>
          </w:p>
        </w:tc>
        <w:tc>
          <w:tcPr>
            <w:tcW w:w="524" w:type="dxa"/>
            <w:tcBorders>
              <w:top w:val="nil"/>
              <w:left w:val="nil"/>
              <w:bottom w:val="single" w:sz="4" w:space="0" w:color="9CA3AF"/>
              <w:right w:val="single" w:sz="4" w:space="0" w:color="9CA3AF"/>
            </w:tcBorders>
            <w:shd w:val="clear" w:color="auto" w:fill="auto"/>
            <w:hideMark/>
          </w:tcPr>
          <w:p w14:paraId="23D808F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1.3.3.</w:t>
            </w:r>
          </w:p>
        </w:tc>
        <w:tc>
          <w:tcPr>
            <w:tcW w:w="1307" w:type="dxa"/>
            <w:tcBorders>
              <w:top w:val="nil"/>
              <w:left w:val="nil"/>
              <w:bottom w:val="single" w:sz="4" w:space="0" w:color="9CA3AF"/>
              <w:right w:val="single" w:sz="4" w:space="0" w:color="9CA3AF"/>
            </w:tcBorders>
            <w:shd w:val="clear" w:color="auto" w:fill="auto"/>
            <w:hideMark/>
          </w:tcPr>
          <w:p w14:paraId="31DBCDB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dhe mbajtja e masave mbrojtëse teknike, si sistemet e mbikëqyrjes, transportin e sigurt </w:t>
            </w:r>
            <w:r w:rsidRPr="002128A6">
              <w:rPr>
                <w:rFonts w:ascii="Garamond" w:eastAsia="Times New Roman" w:hAnsi="Garamond" w:cs="Times New Roman"/>
                <w:kern w:val="0"/>
                <w:sz w:val="8"/>
                <w:szCs w:val="8"/>
                <w14:ligatures w14:val="none"/>
              </w:rPr>
              <w:lastRenderedPageBreak/>
              <w:t xml:space="preserve">dhe rregullave të aksesit të kontrolluar në vendbanime dhe vendndodhje e tjera të sigurta.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operacioneve të sigurta dhe të paraplanifikuara të zhvendosjes/lëvizjes, duke përdorur vlerësim të rrezikut të rrugë të përdorura, skuadra shoqëruese dhe monitorim në kohë reale, për të parandaluar ekspozimin ndaj kërcënimeve.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86F6F8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 xml:space="preserve"> 91604AD</w:t>
            </w:r>
          </w:p>
        </w:tc>
        <w:tc>
          <w:tcPr>
            <w:tcW w:w="914" w:type="dxa"/>
            <w:tcBorders>
              <w:top w:val="nil"/>
              <w:left w:val="single" w:sz="4" w:space="0" w:color="9CA3AF"/>
              <w:bottom w:val="single" w:sz="4" w:space="0" w:color="9CA3AF"/>
              <w:right w:val="single" w:sz="4" w:space="0" w:color="9CA3AF"/>
            </w:tcBorders>
            <w:shd w:val="clear" w:color="auto" w:fill="auto"/>
            <w:hideMark/>
          </w:tcPr>
          <w:p w14:paraId="4616283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5B10C8B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2DF0604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9A986A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79FF48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E75F2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075C2B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B12921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727A837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w:t>
            </w:r>
          </w:p>
        </w:tc>
        <w:tc>
          <w:tcPr>
            <w:tcW w:w="867" w:type="dxa"/>
            <w:tcBorders>
              <w:top w:val="nil"/>
              <w:left w:val="nil"/>
              <w:bottom w:val="single" w:sz="4" w:space="0" w:color="9CA3AF"/>
              <w:right w:val="single" w:sz="4" w:space="0" w:color="9CA3AF"/>
            </w:tcBorders>
            <w:shd w:val="clear" w:color="F1F5F9" w:fill="ECFDF5"/>
            <w:hideMark/>
          </w:tcPr>
          <w:p w14:paraId="6113798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sigurisë dhe i mbrojtjes së individëve me rrezik, përfshirë dëshmitarët, bashkëpunëtorët e drejtësisë, përmes standardeve të mbrojtjes të harmonizuara me ato të BE-së</w:t>
            </w:r>
          </w:p>
        </w:tc>
        <w:tc>
          <w:tcPr>
            <w:tcW w:w="517" w:type="dxa"/>
            <w:tcBorders>
              <w:top w:val="nil"/>
              <w:left w:val="nil"/>
              <w:bottom w:val="single" w:sz="4" w:space="0" w:color="9CA3AF"/>
              <w:right w:val="single" w:sz="4" w:space="0" w:color="9CA3AF"/>
            </w:tcBorders>
            <w:shd w:val="clear" w:color="F1F5F9" w:fill="ECFDF5"/>
            <w:hideMark/>
          </w:tcPr>
          <w:p w14:paraId="4328FFB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1.3.4</w:t>
            </w:r>
          </w:p>
        </w:tc>
        <w:tc>
          <w:tcPr>
            <w:tcW w:w="1007" w:type="dxa"/>
            <w:tcBorders>
              <w:top w:val="nil"/>
              <w:left w:val="nil"/>
              <w:bottom w:val="single" w:sz="4" w:space="0" w:color="9CA3AF"/>
              <w:right w:val="single" w:sz="4" w:space="0" w:color="9CA3AF"/>
            </w:tcBorders>
            <w:shd w:val="clear" w:color="F1F5F9" w:fill="ECFDF5"/>
            <w:hideMark/>
          </w:tcPr>
          <w:p w14:paraId="16E7C0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Ofrimi i mbështetjes dhe testimit periodik dhe vjetor psikologjik për personat e përfshirë në programin e mbrojtjes.</w:t>
            </w:r>
          </w:p>
        </w:tc>
        <w:tc>
          <w:tcPr>
            <w:tcW w:w="524" w:type="dxa"/>
            <w:tcBorders>
              <w:top w:val="nil"/>
              <w:left w:val="nil"/>
              <w:bottom w:val="single" w:sz="4" w:space="0" w:color="9CA3AF"/>
              <w:right w:val="single" w:sz="4" w:space="0" w:color="9CA3AF"/>
            </w:tcBorders>
            <w:shd w:val="clear" w:color="auto" w:fill="auto"/>
            <w:hideMark/>
          </w:tcPr>
          <w:p w14:paraId="53C2EDA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1.3.4</w:t>
            </w:r>
          </w:p>
        </w:tc>
        <w:tc>
          <w:tcPr>
            <w:tcW w:w="1307" w:type="dxa"/>
            <w:tcBorders>
              <w:top w:val="nil"/>
              <w:left w:val="nil"/>
              <w:bottom w:val="single" w:sz="4" w:space="0" w:color="9CA3AF"/>
              <w:right w:val="single" w:sz="4" w:space="0" w:color="9CA3AF"/>
            </w:tcBorders>
            <w:shd w:val="clear" w:color="auto" w:fill="auto"/>
            <w:hideMark/>
          </w:tcPr>
          <w:p w14:paraId="78252CC9" w14:textId="576A2391"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vlerësimeve periodike psikologjike dhe e sesioneve të këshillimit, për të monitoruar mirëqenien emocionale, reagimet ndaj traumës dhe nivelet e stresit të personave të mbrojtur. </w:t>
            </w:r>
            <w:r w:rsidRPr="002128A6">
              <w:rPr>
                <w:rFonts w:ascii="Garamond" w:eastAsia="Times New Roman" w:hAnsi="Garamond" w:cs="Times New Roman"/>
                <w:kern w:val="0"/>
                <w:sz w:val="8"/>
                <w:szCs w:val="8"/>
                <w14:ligatures w14:val="none"/>
              </w:rPr>
              <w:br/>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Hartimi i planeve të personalizuara të mbështetjes psikologjike, përfshirë mekanizmat e ndërhyrjes në krizë dhe referimet te</w:t>
            </w:r>
            <w:r w:rsidR="009F2103"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profesionistët e specializuar të shëndetit mendor, kur është e nevojshme.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45340F8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91604AD</w:t>
            </w:r>
          </w:p>
        </w:tc>
        <w:tc>
          <w:tcPr>
            <w:tcW w:w="914" w:type="dxa"/>
            <w:tcBorders>
              <w:top w:val="nil"/>
              <w:left w:val="single" w:sz="4" w:space="0" w:color="9CA3AF"/>
              <w:bottom w:val="single" w:sz="4" w:space="0" w:color="9CA3AF"/>
              <w:right w:val="single" w:sz="4" w:space="0" w:color="9CA3AF"/>
            </w:tcBorders>
            <w:shd w:val="clear" w:color="auto" w:fill="auto"/>
            <w:hideMark/>
          </w:tcPr>
          <w:p w14:paraId="7944BFA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5D785A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6D36D61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BC1499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131EAA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3048BD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1CCDDFF"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0BB0FB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6356AC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w:t>
            </w:r>
          </w:p>
        </w:tc>
        <w:tc>
          <w:tcPr>
            <w:tcW w:w="867" w:type="dxa"/>
            <w:tcBorders>
              <w:top w:val="nil"/>
              <w:left w:val="nil"/>
              <w:bottom w:val="single" w:sz="4" w:space="0" w:color="9CA3AF"/>
              <w:right w:val="single" w:sz="4" w:space="0" w:color="9CA3AF"/>
            </w:tcBorders>
            <w:shd w:val="clear" w:color="F1F5F9" w:fill="ECFDF5"/>
            <w:hideMark/>
          </w:tcPr>
          <w:p w14:paraId="0F1C326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sigurisë dhe i mbrojtjes së individëve me rrezik, përfshirë dëshmitarët, bashkëpunëtorët e drejtësisë, përmes standardeve të mbrojtjes të harmonizuara me ato të BE-së</w:t>
            </w:r>
          </w:p>
        </w:tc>
        <w:tc>
          <w:tcPr>
            <w:tcW w:w="517" w:type="dxa"/>
            <w:tcBorders>
              <w:top w:val="nil"/>
              <w:left w:val="nil"/>
              <w:bottom w:val="single" w:sz="4" w:space="0" w:color="9CA3AF"/>
              <w:right w:val="single" w:sz="4" w:space="0" w:color="9CA3AF"/>
            </w:tcBorders>
            <w:shd w:val="clear" w:color="F1F5F9" w:fill="ECFDF5"/>
            <w:hideMark/>
          </w:tcPr>
          <w:p w14:paraId="47C76B7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1.3.5</w:t>
            </w:r>
          </w:p>
        </w:tc>
        <w:tc>
          <w:tcPr>
            <w:tcW w:w="1007" w:type="dxa"/>
            <w:tcBorders>
              <w:top w:val="nil"/>
              <w:left w:val="nil"/>
              <w:bottom w:val="single" w:sz="4" w:space="0" w:color="9CA3AF"/>
              <w:right w:val="single" w:sz="4" w:space="0" w:color="9CA3AF"/>
            </w:tcBorders>
            <w:shd w:val="clear" w:color="F1F5F9" w:fill="ECFDF5"/>
            <w:hideMark/>
          </w:tcPr>
          <w:p w14:paraId="4873B03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Rehabilitimi social i personave të përfshirë në programin e mbrojtjes me Vendim të Komisionit për Vlerësimin e Programit të Mbrojtjes së Dëshmitarëve dhe Bashkëpunëtorëve të Drejtësisë.</w:t>
            </w:r>
          </w:p>
        </w:tc>
        <w:tc>
          <w:tcPr>
            <w:tcW w:w="524" w:type="dxa"/>
            <w:tcBorders>
              <w:top w:val="nil"/>
              <w:left w:val="nil"/>
              <w:bottom w:val="single" w:sz="4" w:space="0" w:color="9CA3AF"/>
              <w:right w:val="single" w:sz="4" w:space="0" w:color="9CA3AF"/>
            </w:tcBorders>
            <w:shd w:val="clear" w:color="auto" w:fill="auto"/>
            <w:hideMark/>
          </w:tcPr>
          <w:p w14:paraId="193B257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1.3.5</w:t>
            </w:r>
          </w:p>
        </w:tc>
        <w:tc>
          <w:tcPr>
            <w:tcW w:w="1307" w:type="dxa"/>
            <w:tcBorders>
              <w:top w:val="nil"/>
              <w:left w:val="nil"/>
              <w:bottom w:val="single" w:sz="4" w:space="0" w:color="9CA3AF"/>
              <w:right w:val="single" w:sz="4" w:space="0" w:color="9CA3AF"/>
            </w:tcBorders>
            <w:shd w:val="clear" w:color="auto" w:fill="auto"/>
            <w:hideMark/>
          </w:tcPr>
          <w:p w14:paraId="0D18FBA8" w14:textId="6CBF7D76"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Realizimi i programeve të strukturuara të rehabilitimit, që përfshijnë zhvillimin e aftësive sociale, mbështetjen familjare dhe rrugët e riintegrimit komunitar, të përshtatura me nevojat individuale. </w:t>
            </w:r>
            <w:r w:rsidRPr="002128A6">
              <w:rPr>
                <w:rFonts w:ascii="Garamond" w:eastAsia="Times New Roman" w:hAnsi="Garamond" w:cs="Times New Roman"/>
                <w:kern w:val="0"/>
                <w:sz w:val="8"/>
                <w:szCs w:val="8"/>
                <w14:ligatures w14:val="none"/>
              </w:rPr>
              <w:br/>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Koordinimi me ofruesit e shërbimeve sociale, bashkitë dhe shoqërinë civile, për të siguruar strehim, arsim, kujdes shëndetësor dhe rrjete mbështetëse me bazë komunitare.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27B231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91604AD</w:t>
            </w:r>
          </w:p>
        </w:tc>
        <w:tc>
          <w:tcPr>
            <w:tcW w:w="914" w:type="dxa"/>
            <w:tcBorders>
              <w:top w:val="nil"/>
              <w:left w:val="single" w:sz="4" w:space="0" w:color="9CA3AF"/>
              <w:bottom w:val="single" w:sz="4" w:space="0" w:color="9CA3AF"/>
              <w:right w:val="single" w:sz="4" w:space="0" w:color="9CA3AF"/>
            </w:tcBorders>
            <w:shd w:val="clear" w:color="auto" w:fill="auto"/>
            <w:hideMark/>
          </w:tcPr>
          <w:p w14:paraId="18FCFE2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3CAEA96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13A5DE1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D44D92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54AFEF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923144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AE4D3A5"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B6D7E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12978F3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w:t>
            </w:r>
          </w:p>
        </w:tc>
        <w:tc>
          <w:tcPr>
            <w:tcW w:w="867" w:type="dxa"/>
            <w:tcBorders>
              <w:top w:val="nil"/>
              <w:left w:val="nil"/>
              <w:bottom w:val="single" w:sz="4" w:space="0" w:color="9CA3AF"/>
              <w:right w:val="single" w:sz="4" w:space="0" w:color="9CA3AF"/>
            </w:tcBorders>
            <w:shd w:val="clear" w:color="F1F5F9" w:fill="ECFDF5"/>
            <w:hideMark/>
          </w:tcPr>
          <w:p w14:paraId="5B5ECB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sigurisë dhe i mbrojtjes së individëve me rrezik, përfshirë dëshmitarët, bashkëpunëtorët e drejtësisë, përmes standardeve të mbrojtjes të harmonizuara me ato të BE-së</w:t>
            </w:r>
          </w:p>
        </w:tc>
        <w:tc>
          <w:tcPr>
            <w:tcW w:w="517" w:type="dxa"/>
            <w:tcBorders>
              <w:top w:val="nil"/>
              <w:left w:val="nil"/>
              <w:bottom w:val="single" w:sz="4" w:space="0" w:color="9CA3AF"/>
              <w:right w:val="single" w:sz="4" w:space="0" w:color="9CA3AF"/>
            </w:tcBorders>
            <w:shd w:val="clear" w:color="F1F5F9" w:fill="ECFDF5"/>
            <w:hideMark/>
          </w:tcPr>
          <w:p w14:paraId="5EBBBEF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1.3.6</w:t>
            </w:r>
          </w:p>
        </w:tc>
        <w:tc>
          <w:tcPr>
            <w:tcW w:w="1007" w:type="dxa"/>
            <w:tcBorders>
              <w:top w:val="nil"/>
              <w:left w:val="nil"/>
              <w:bottom w:val="single" w:sz="4" w:space="0" w:color="9CA3AF"/>
              <w:right w:val="single" w:sz="4" w:space="0" w:color="9CA3AF"/>
            </w:tcBorders>
            <w:shd w:val="clear" w:color="F1F5F9" w:fill="ECFDF5"/>
            <w:hideMark/>
          </w:tcPr>
          <w:p w14:paraId="6399323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Ofrimi i ndihmës financiare për personat e përfshirë në programin e mbrojtjes me Vendim të Komisionit për Vlerësimin e Programit të Mbrojtjes së Dëshmitarëve dhe Bashkëpunëtorëve të Drejtësisë.</w:t>
            </w:r>
          </w:p>
        </w:tc>
        <w:tc>
          <w:tcPr>
            <w:tcW w:w="524" w:type="dxa"/>
            <w:tcBorders>
              <w:top w:val="nil"/>
              <w:left w:val="nil"/>
              <w:bottom w:val="single" w:sz="4" w:space="0" w:color="9CA3AF"/>
              <w:right w:val="single" w:sz="4" w:space="0" w:color="9CA3AF"/>
            </w:tcBorders>
            <w:shd w:val="clear" w:color="auto" w:fill="auto"/>
            <w:hideMark/>
          </w:tcPr>
          <w:p w14:paraId="07283BD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1.3.6</w:t>
            </w:r>
          </w:p>
        </w:tc>
        <w:tc>
          <w:tcPr>
            <w:tcW w:w="1307" w:type="dxa"/>
            <w:tcBorders>
              <w:top w:val="nil"/>
              <w:left w:val="nil"/>
              <w:bottom w:val="single" w:sz="4" w:space="0" w:color="9CA3AF"/>
              <w:right w:val="single" w:sz="4" w:space="0" w:color="9CA3AF"/>
            </w:tcBorders>
            <w:shd w:val="clear" w:color="auto" w:fill="auto"/>
            <w:hideMark/>
          </w:tcPr>
          <w:p w14:paraId="2D8BF14F" w14:textId="0669EC88"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Alokimi dhe menaxhimi i paketave të mbështetjes financiare, që mbulojnë shpenzimet bazë të jetesës, nevojat emergjente dhe kostot e riintegrimit, për individët në programin e mbrojtjes. </w:t>
            </w:r>
            <w:r w:rsidRPr="002128A6">
              <w:rPr>
                <w:rFonts w:ascii="Garamond" w:eastAsia="Times New Roman" w:hAnsi="Garamond" w:cs="Times New Roman"/>
                <w:kern w:val="0"/>
                <w:sz w:val="8"/>
                <w:szCs w:val="8"/>
                <w14:ligatures w14:val="none"/>
              </w:rPr>
              <w:br/>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Rishikime periodike të ndihmës financiare për të siguruar mjaftueshmëri, transparencë dhe harmonizim me nevojat e ndryshueshme të personave të mbrojtur.</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CB52D8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91604AD</w:t>
            </w:r>
          </w:p>
        </w:tc>
        <w:tc>
          <w:tcPr>
            <w:tcW w:w="914" w:type="dxa"/>
            <w:tcBorders>
              <w:top w:val="nil"/>
              <w:left w:val="single" w:sz="4" w:space="0" w:color="9CA3AF"/>
              <w:bottom w:val="single" w:sz="4" w:space="0" w:color="9CA3AF"/>
              <w:right w:val="single" w:sz="4" w:space="0" w:color="9CA3AF"/>
            </w:tcBorders>
            <w:shd w:val="clear" w:color="auto" w:fill="auto"/>
            <w:hideMark/>
          </w:tcPr>
          <w:p w14:paraId="7D9F847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6BAA3B9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7CBE33F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7DCE95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0F0A19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A7523A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45AFC09"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79839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35F43DC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w:t>
            </w:r>
          </w:p>
        </w:tc>
        <w:tc>
          <w:tcPr>
            <w:tcW w:w="867" w:type="dxa"/>
            <w:tcBorders>
              <w:top w:val="nil"/>
              <w:left w:val="nil"/>
              <w:bottom w:val="single" w:sz="4" w:space="0" w:color="9CA3AF"/>
              <w:right w:val="single" w:sz="4" w:space="0" w:color="9CA3AF"/>
            </w:tcBorders>
            <w:shd w:val="clear" w:color="F1F5F9" w:fill="ECFDF5"/>
            <w:hideMark/>
          </w:tcPr>
          <w:p w14:paraId="75F1CF1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sigurisë dhe i mbrojtjes së individëve me rrezik, përfshirë dëshmitarët, bashkëpunëtorët e drejtësisë, përmes standardeve të mbrojtjes të harmonizuara me ato të BE-së</w:t>
            </w:r>
          </w:p>
        </w:tc>
        <w:tc>
          <w:tcPr>
            <w:tcW w:w="517" w:type="dxa"/>
            <w:tcBorders>
              <w:top w:val="nil"/>
              <w:left w:val="nil"/>
              <w:bottom w:val="single" w:sz="4" w:space="0" w:color="9CA3AF"/>
              <w:right w:val="single" w:sz="4" w:space="0" w:color="9CA3AF"/>
            </w:tcBorders>
            <w:shd w:val="clear" w:color="F1F5F9" w:fill="ECFDF5"/>
            <w:hideMark/>
          </w:tcPr>
          <w:p w14:paraId="58A32F4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1.3.7</w:t>
            </w:r>
          </w:p>
        </w:tc>
        <w:tc>
          <w:tcPr>
            <w:tcW w:w="1007" w:type="dxa"/>
            <w:tcBorders>
              <w:top w:val="nil"/>
              <w:left w:val="nil"/>
              <w:bottom w:val="single" w:sz="4" w:space="0" w:color="9CA3AF"/>
              <w:right w:val="single" w:sz="4" w:space="0" w:color="9CA3AF"/>
            </w:tcBorders>
            <w:shd w:val="clear" w:color="F1F5F9" w:fill="ECFDF5"/>
            <w:hideMark/>
          </w:tcPr>
          <w:p w14:paraId="0759830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Ofrimi i rikualifikimeve profesionale, me qëllim integrimin pas përfundimit të programit të mbrojtjes, për personat e përfshirë në programin e mbrojtjes me Vendim të Komisionit për Vlerësimin e Programit të Mbrojtjes së Dëshmitarëve dhe Bashkëpunëtorëve të Drejtësisë.</w:t>
            </w:r>
          </w:p>
        </w:tc>
        <w:tc>
          <w:tcPr>
            <w:tcW w:w="524" w:type="dxa"/>
            <w:tcBorders>
              <w:top w:val="nil"/>
              <w:left w:val="nil"/>
              <w:bottom w:val="single" w:sz="4" w:space="0" w:color="9CA3AF"/>
              <w:right w:val="single" w:sz="4" w:space="0" w:color="9CA3AF"/>
            </w:tcBorders>
            <w:shd w:val="clear" w:color="auto" w:fill="auto"/>
            <w:hideMark/>
          </w:tcPr>
          <w:p w14:paraId="100340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1.3.7</w:t>
            </w:r>
          </w:p>
        </w:tc>
        <w:tc>
          <w:tcPr>
            <w:tcW w:w="1307" w:type="dxa"/>
            <w:tcBorders>
              <w:top w:val="nil"/>
              <w:left w:val="nil"/>
              <w:bottom w:val="single" w:sz="4" w:space="0" w:color="9CA3AF"/>
              <w:right w:val="single" w:sz="4" w:space="0" w:color="9CA3AF"/>
            </w:tcBorders>
            <w:shd w:val="clear" w:color="auto" w:fill="auto"/>
            <w:hideMark/>
          </w:tcPr>
          <w:p w14:paraId="67BD6DF7" w14:textId="1DE34D9D"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Përgatitja dhe zbatimi i programeve të trajnimit profesional dhe të zhvillimit të aftësive, të përshtatura me nevojat e tregut të punës dhe profilet personale të personave të mbrojtur. </w:t>
            </w:r>
            <w:r w:rsidRPr="002128A6">
              <w:rPr>
                <w:rFonts w:ascii="Garamond" w:eastAsia="Times New Roman" w:hAnsi="Garamond" w:cs="Times New Roman"/>
                <w:kern w:val="0"/>
                <w:sz w:val="8"/>
                <w:szCs w:val="8"/>
                <w14:ligatures w14:val="none"/>
              </w:rPr>
              <w:br/>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Mbështetje për punësim, përfshirë këshillimin e karrierës, angazhimin e punëdhënësve dhe referimin te shërbimet e punësimit për të siguruar riintegrim të qëndrueshëm.</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93099DC"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91604AD</w:t>
            </w:r>
          </w:p>
        </w:tc>
        <w:tc>
          <w:tcPr>
            <w:tcW w:w="914" w:type="dxa"/>
            <w:tcBorders>
              <w:top w:val="nil"/>
              <w:left w:val="single" w:sz="4" w:space="0" w:color="9CA3AF"/>
              <w:bottom w:val="single" w:sz="4" w:space="0" w:color="9CA3AF"/>
              <w:right w:val="single" w:sz="4" w:space="0" w:color="9CA3AF"/>
            </w:tcBorders>
            <w:shd w:val="clear" w:color="auto" w:fill="auto"/>
            <w:hideMark/>
          </w:tcPr>
          <w:p w14:paraId="088B73C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68E6420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647F2BF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DC618B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3AE0B1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6ECC55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157B9A6"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183BAE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55A66E1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w:t>
            </w:r>
          </w:p>
        </w:tc>
        <w:tc>
          <w:tcPr>
            <w:tcW w:w="867" w:type="dxa"/>
            <w:tcBorders>
              <w:top w:val="nil"/>
              <w:left w:val="nil"/>
              <w:bottom w:val="single" w:sz="4" w:space="0" w:color="9CA3AF"/>
              <w:right w:val="single" w:sz="4" w:space="0" w:color="9CA3AF"/>
            </w:tcBorders>
            <w:shd w:val="clear" w:color="F1F5F9" w:fill="ECFDF5"/>
            <w:hideMark/>
          </w:tcPr>
          <w:p w14:paraId="6CDA1BF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sigurisë dhe i mbrojtjes së individëve me rrezik, përfshirë dëshmitarët, bashkëpunëtorët e drejtësisë, përmes standardeve të mbrojtjes të harmonizuara me ato të BE-së</w:t>
            </w:r>
          </w:p>
        </w:tc>
        <w:tc>
          <w:tcPr>
            <w:tcW w:w="517" w:type="dxa"/>
            <w:tcBorders>
              <w:top w:val="nil"/>
              <w:left w:val="nil"/>
              <w:bottom w:val="single" w:sz="4" w:space="0" w:color="9CA3AF"/>
              <w:right w:val="single" w:sz="4" w:space="0" w:color="9CA3AF"/>
            </w:tcBorders>
            <w:shd w:val="clear" w:color="F1F5F9" w:fill="ECFDF5"/>
            <w:hideMark/>
          </w:tcPr>
          <w:p w14:paraId="06704BC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1.3.8</w:t>
            </w:r>
          </w:p>
        </w:tc>
        <w:tc>
          <w:tcPr>
            <w:tcW w:w="1007" w:type="dxa"/>
            <w:tcBorders>
              <w:top w:val="nil"/>
              <w:left w:val="nil"/>
              <w:bottom w:val="single" w:sz="4" w:space="0" w:color="9CA3AF"/>
              <w:right w:val="single" w:sz="4" w:space="0" w:color="9CA3AF"/>
            </w:tcBorders>
            <w:shd w:val="clear" w:color="F1F5F9" w:fill="ECFDF5"/>
            <w:hideMark/>
          </w:tcPr>
          <w:p w14:paraId="1D187BE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Ofrimi i këshillimit dhe ndihmës ligjore të specializuar për personat e përfshirë në programin e mbrojtjes me Vendim të Komisionit për Vlerësimin e Programit të Mbrojtjes së Dëshmitarëve dhe Bashkëpunëtorëve të Drejtësisë.</w:t>
            </w:r>
          </w:p>
        </w:tc>
        <w:tc>
          <w:tcPr>
            <w:tcW w:w="524" w:type="dxa"/>
            <w:tcBorders>
              <w:top w:val="nil"/>
              <w:left w:val="nil"/>
              <w:bottom w:val="single" w:sz="4" w:space="0" w:color="9CA3AF"/>
              <w:right w:val="single" w:sz="4" w:space="0" w:color="9CA3AF"/>
            </w:tcBorders>
            <w:shd w:val="clear" w:color="auto" w:fill="auto"/>
            <w:hideMark/>
          </w:tcPr>
          <w:p w14:paraId="4F55CF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1.3.8</w:t>
            </w:r>
          </w:p>
        </w:tc>
        <w:tc>
          <w:tcPr>
            <w:tcW w:w="1307" w:type="dxa"/>
            <w:tcBorders>
              <w:top w:val="nil"/>
              <w:left w:val="nil"/>
              <w:bottom w:val="single" w:sz="4" w:space="0" w:color="9CA3AF"/>
              <w:right w:val="single" w:sz="4" w:space="0" w:color="9CA3AF"/>
            </w:tcBorders>
            <w:shd w:val="clear" w:color="auto" w:fill="auto"/>
            <w:hideMark/>
          </w:tcPr>
          <w:p w14:paraId="29F96955" w14:textId="6A277919"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Ofrimi i këshillimit të vazhdueshëm ligjor për personat e mbrojtur mbi të drejtat, detyrimet dhe aspektet procedurale të bashkëpunimit gjyqësor, duke siguruar pjesëmarrje të informuar në procedime. </w:t>
            </w:r>
            <w:r w:rsidRPr="002128A6">
              <w:rPr>
                <w:rFonts w:ascii="Garamond" w:eastAsia="Times New Roman" w:hAnsi="Garamond" w:cs="Times New Roman"/>
                <w:kern w:val="0"/>
                <w:sz w:val="8"/>
                <w:szCs w:val="8"/>
                <w14:ligatures w14:val="none"/>
              </w:rPr>
              <w:br/>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Ofrimi i përfaqësimit ligjor të specializuar dhe mbështetjes gjatë proceseve gjyqësore, procedurave administrative dhe çështjeve ligjore të lidhura me riintegrimin.</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04AAB02"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91604AD</w:t>
            </w:r>
          </w:p>
        </w:tc>
        <w:tc>
          <w:tcPr>
            <w:tcW w:w="914" w:type="dxa"/>
            <w:tcBorders>
              <w:top w:val="nil"/>
              <w:left w:val="single" w:sz="4" w:space="0" w:color="9CA3AF"/>
              <w:bottom w:val="single" w:sz="4" w:space="0" w:color="9CA3AF"/>
              <w:right w:val="single" w:sz="4" w:space="0" w:color="9CA3AF"/>
            </w:tcBorders>
            <w:shd w:val="clear" w:color="auto" w:fill="auto"/>
            <w:hideMark/>
          </w:tcPr>
          <w:p w14:paraId="2B8F505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340A8AB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1378C8F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BC2FCA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262963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B297AC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B698732"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5D79E63A"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1.3</w:t>
            </w:r>
          </w:p>
        </w:tc>
        <w:tc>
          <w:tcPr>
            <w:tcW w:w="649" w:type="dxa"/>
            <w:tcBorders>
              <w:top w:val="nil"/>
              <w:left w:val="nil"/>
              <w:bottom w:val="nil"/>
              <w:right w:val="nil"/>
            </w:tcBorders>
            <w:shd w:val="clear" w:color="FDEADA" w:fill="FEF3C7"/>
            <w:noWrap/>
            <w:vAlign w:val="bottom"/>
            <w:hideMark/>
          </w:tcPr>
          <w:p w14:paraId="28821F81"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22FF68F0"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3B7A6C65"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5A7451FE"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1.4 — Rritja e profesionalizmit, kapacitetit teknologjik dhe efikasitetit operacional të institucioneve ligjzbatuese dhe të drejtësisë</w:t>
            </w:r>
          </w:p>
        </w:tc>
      </w:tr>
      <w:tr w:rsidR="00F54824" w:rsidRPr="002128A6" w14:paraId="298A0DA8"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629D207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single" w:sz="4" w:space="0" w:color="9CA3AF"/>
              <w:left w:val="nil"/>
              <w:bottom w:val="single" w:sz="4" w:space="0" w:color="9CA3AF"/>
              <w:right w:val="single" w:sz="4" w:space="0" w:color="9CA3AF"/>
            </w:tcBorders>
            <w:shd w:val="clear" w:color="F1F5F9" w:fill="ECFDF5"/>
            <w:hideMark/>
          </w:tcPr>
          <w:p w14:paraId="40F3D49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single" w:sz="4" w:space="0" w:color="9CA3AF"/>
              <w:left w:val="nil"/>
              <w:bottom w:val="single" w:sz="4" w:space="0" w:color="9CA3AF"/>
              <w:right w:val="single" w:sz="4" w:space="0" w:color="9CA3AF"/>
            </w:tcBorders>
            <w:shd w:val="clear" w:color="F1F5F9" w:fill="ECFDF5"/>
            <w:hideMark/>
          </w:tcPr>
          <w:p w14:paraId="652F90C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single" w:sz="4" w:space="0" w:color="9CA3AF"/>
              <w:left w:val="nil"/>
              <w:bottom w:val="single" w:sz="4" w:space="0" w:color="9CA3AF"/>
              <w:right w:val="single" w:sz="4" w:space="0" w:color="9CA3AF"/>
            </w:tcBorders>
            <w:shd w:val="clear" w:color="F1F5F9" w:fill="ECFDF5"/>
            <w:hideMark/>
          </w:tcPr>
          <w:p w14:paraId="6CD105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29C020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Reformimi i Policisë Kriminale përmes modernizimit të strukturës organizative, përmirësimit të kapaciteteve teknologjike, trajnimit, zhvillimit profesional të personelit dhe forcimit të bashkëpunimit ndërkombëtar, përfshirë zbatimin e dispozitave të ligjit të ri nr. 82/2024 për Policinë e Shtetit.</w:t>
            </w:r>
          </w:p>
        </w:tc>
        <w:tc>
          <w:tcPr>
            <w:tcW w:w="524" w:type="dxa"/>
            <w:tcBorders>
              <w:top w:val="single" w:sz="4" w:space="0" w:color="9CA3AF"/>
              <w:left w:val="nil"/>
              <w:bottom w:val="single" w:sz="4" w:space="0" w:color="9CA3AF"/>
              <w:right w:val="single" w:sz="4" w:space="0" w:color="9CA3AF"/>
            </w:tcBorders>
            <w:shd w:val="clear" w:color="auto" w:fill="auto"/>
            <w:hideMark/>
          </w:tcPr>
          <w:p w14:paraId="4AA346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1.4.1</w:t>
            </w:r>
          </w:p>
        </w:tc>
        <w:tc>
          <w:tcPr>
            <w:tcW w:w="1307" w:type="dxa"/>
            <w:tcBorders>
              <w:top w:val="single" w:sz="4" w:space="0" w:color="9CA3AF"/>
              <w:left w:val="nil"/>
              <w:bottom w:val="single" w:sz="4" w:space="0" w:color="9CA3AF"/>
              <w:right w:val="single" w:sz="4" w:space="0" w:color="9CA3AF"/>
            </w:tcBorders>
            <w:shd w:val="clear" w:color="auto" w:fill="auto"/>
            <w:hideMark/>
          </w:tcPr>
          <w:p w14:paraId="74C4DBAF" w14:textId="7094202F"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Zbatimi i masave të ristrukturimit organizativ dhe modernizimit që kërkon Ligji nr. 82/2024, përfshirë rolet e përditësuara funksionale, strukturat e thjeshtuara të komandimit dhe mekanizmat e përmirësuar të llogaridhënies së brendshme.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Modernizimi i kapaciteteve teknologjike (si mjetet e hetimit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sistemet e komunikimit të sigurt dhe platformat analitike) dhe ofrimi i programeve të vazhdueshme të zhvillimit profesional të harmonizuara me standardet e policisë në BE.</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2CC80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91604AD</w:t>
            </w:r>
          </w:p>
        </w:tc>
        <w:tc>
          <w:tcPr>
            <w:tcW w:w="914" w:type="dxa"/>
            <w:tcBorders>
              <w:top w:val="single" w:sz="4" w:space="0" w:color="9CA3AF"/>
              <w:left w:val="single" w:sz="4" w:space="0" w:color="9CA3AF"/>
              <w:bottom w:val="single" w:sz="4" w:space="0" w:color="9CA3AF"/>
              <w:right w:val="single" w:sz="4" w:space="0" w:color="9CA3AF"/>
            </w:tcBorders>
            <w:shd w:val="clear" w:color="auto" w:fill="auto"/>
            <w:hideMark/>
          </w:tcPr>
          <w:p w14:paraId="34028D5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9CA3AF"/>
              <w:left w:val="nil"/>
              <w:bottom w:val="single" w:sz="4" w:space="0" w:color="9CA3AF"/>
              <w:right w:val="single" w:sz="4" w:space="0" w:color="9CA3AF"/>
            </w:tcBorders>
            <w:shd w:val="clear" w:color="auto" w:fill="auto"/>
            <w:hideMark/>
          </w:tcPr>
          <w:p w14:paraId="60F4D91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439" w:type="dxa"/>
            <w:tcBorders>
              <w:top w:val="single" w:sz="4" w:space="0" w:color="9CA3AF"/>
              <w:left w:val="nil"/>
              <w:bottom w:val="single" w:sz="4" w:space="0" w:color="9CA3AF"/>
              <w:right w:val="single" w:sz="4" w:space="0" w:color="9CA3AF"/>
            </w:tcBorders>
            <w:shd w:val="clear" w:color="auto" w:fill="auto"/>
            <w:hideMark/>
          </w:tcPr>
          <w:p w14:paraId="2C38E75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1E1030A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6E28338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174E150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D76996F"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03AA48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54C66EE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5B98DBD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1237D8F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1.4.2</w:t>
            </w:r>
          </w:p>
        </w:tc>
        <w:tc>
          <w:tcPr>
            <w:tcW w:w="1007" w:type="dxa"/>
            <w:tcBorders>
              <w:top w:val="nil"/>
              <w:left w:val="nil"/>
              <w:bottom w:val="single" w:sz="4" w:space="0" w:color="9CA3AF"/>
              <w:right w:val="single" w:sz="4" w:space="0" w:color="9CA3AF"/>
            </w:tcBorders>
            <w:shd w:val="clear" w:color="F1F5F9" w:fill="ECFDF5"/>
            <w:hideMark/>
          </w:tcPr>
          <w:p w14:paraId="038A9B1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hetimore kundër të gjitha formave të krimit të organizuar (në veçanti krimit ekonomik dhe financiar, krimit kibernetik, hetimit financiar, identifikimit dhe sekuestrimit të aseteve), përmes trajnimeve të avancuara, futjes dhe përdorimit të vazhdueshëm të teknologjive moderne, forcimit të kapaciteteve teknike, financiare, dhe infrastrukturore, përdorimit të inteligjencës kriminale, dhe bashkëpunimit e shkëmbimit të informacionit me partnerët ndërkombëtarë.</w:t>
            </w:r>
          </w:p>
        </w:tc>
        <w:tc>
          <w:tcPr>
            <w:tcW w:w="524" w:type="dxa"/>
            <w:tcBorders>
              <w:top w:val="nil"/>
              <w:left w:val="nil"/>
              <w:bottom w:val="single" w:sz="4" w:space="0" w:color="9CA3AF"/>
              <w:right w:val="single" w:sz="4" w:space="0" w:color="9CA3AF"/>
            </w:tcBorders>
            <w:shd w:val="clear" w:color="auto" w:fill="auto"/>
            <w:hideMark/>
          </w:tcPr>
          <w:p w14:paraId="776BF59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1.4.2</w:t>
            </w:r>
          </w:p>
        </w:tc>
        <w:tc>
          <w:tcPr>
            <w:tcW w:w="1307" w:type="dxa"/>
            <w:tcBorders>
              <w:top w:val="nil"/>
              <w:left w:val="nil"/>
              <w:bottom w:val="single" w:sz="4" w:space="0" w:color="9CA3AF"/>
              <w:right w:val="single" w:sz="4" w:space="0" w:color="9CA3AF"/>
            </w:tcBorders>
            <w:shd w:val="clear" w:color="auto" w:fill="auto"/>
            <w:hideMark/>
          </w:tcPr>
          <w:p w14:paraId="03B9FCA6" w14:textId="08E92BD2"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Ofrimi i programeve të avancuara të trajnimit mbi krimin ekonomik dhe financiar, hetimin e krimit kibernetik, profilizimin financiar dhe teknikat e gjurmimit të aseteve, duke siguruar zbatim të metodologjive moderne nga ana e hetuesve.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Zgjerimi i përdorimit të inteligjencës kriminale, kriminalistikës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 dhe mjeteve analitike, dhe forcimi i bashkëpunimit me partnerët ndërkombëtarë për të mbështetur hetime komplekse ndërkufitare.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11E2EC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single" w:sz="4" w:space="0" w:color="9CA3AF"/>
              <w:bottom w:val="single" w:sz="4" w:space="0" w:color="9CA3AF"/>
              <w:right w:val="single" w:sz="4" w:space="0" w:color="9CA3AF"/>
            </w:tcBorders>
            <w:shd w:val="clear" w:color="auto" w:fill="auto"/>
            <w:hideMark/>
          </w:tcPr>
          <w:p w14:paraId="4DF4F37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492CE30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439" w:type="dxa"/>
            <w:tcBorders>
              <w:top w:val="nil"/>
              <w:left w:val="nil"/>
              <w:bottom w:val="single" w:sz="4" w:space="0" w:color="9CA3AF"/>
              <w:right w:val="single" w:sz="4" w:space="0" w:color="9CA3AF"/>
            </w:tcBorders>
            <w:shd w:val="clear" w:color="auto" w:fill="auto"/>
            <w:hideMark/>
          </w:tcPr>
          <w:p w14:paraId="5A0EC30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35DFAC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76A867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CB4C1A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7F7B4F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9E908C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2C0258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7106B5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295E4AB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1.4.3</w:t>
            </w:r>
          </w:p>
        </w:tc>
        <w:tc>
          <w:tcPr>
            <w:tcW w:w="1007" w:type="dxa"/>
            <w:tcBorders>
              <w:top w:val="nil"/>
              <w:left w:val="nil"/>
              <w:bottom w:val="single" w:sz="4" w:space="0" w:color="9CA3AF"/>
              <w:right w:val="single" w:sz="4" w:space="0" w:color="9CA3AF"/>
            </w:tcBorders>
            <w:shd w:val="clear" w:color="F1F5F9" w:fill="ECFDF5"/>
            <w:hideMark/>
          </w:tcPr>
          <w:p w14:paraId="2164FEA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Rekrutimi punonjësve për shërbimin e policisë gjyqësore, në përputhje me nevojat operacionale të identifikuara dhe boshllëqet e prioritizuara të aftësive.</w:t>
            </w:r>
          </w:p>
        </w:tc>
        <w:tc>
          <w:tcPr>
            <w:tcW w:w="524" w:type="dxa"/>
            <w:tcBorders>
              <w:top w:val="nil"/>
              <w:left w:val="nil"/>
              <w:bottom w:val="single" w:sz="4" w:space="0" w:color="9CA3AF"/>
              <w:right w:val="single" w:sz="4" w:space="0" w:color="9CA3AF"/>
            </w:tcBorders>
            <w:shd w:val="clear" w:color="auto" w:fill="auto"/>
            <w:hideMark/>
          </w:tcPr>
          <w:p w14:paraId="3A8A6B5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1.4.3</w:t>
            </w:r>
          </w:p>
        </w:tc>
        <w:tc>
          <w:tcPr>
            <w:tcW w:w="1307" w:type="dxa"/>
            <w:tcBorders>
              <w:top w:val="nil"/>
              <w:left w:val="nil"/>
              <w:bottom w:val="single" w:sz="4" w:space="0" w:color="9CA3AF"/>
              <w:right w:val="single" w:sz="4" w:space="0" w:color="9CA3AF"/>
            </w:tcBorders>
            <w:shd w:val="clear" w:color="auto" w:fill="auto"/>
            <w:hideMark/>
          </w:tcPr>
          <w:p w14:paraId="6B45C40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vlerësimeve të nevojave për të identifikuar boshllëqet operacionale dhe fushat prioritare ku kërkohet personel shtesë të policisë gjyqësore.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proceseve transparente të rekrutimit për të garantuar përzgjedhjen e kandidatëve të kualifikuar me aftësitë e nevojshme për funksionet e specializuara hetimore.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E7EE47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91601AB</w:t>
            </w:r>
          </w:p>
        </w:tc>
        <w:tc>
          <w:tcPr>
            <w:tcW w:w="914" w:type="dxa"/>
            <w:tcBorders>
              <w:top w:val="nil"/>
              <w:left w:val="single" w:sz="4" w:space="0" w:color="9CA3AF"/>
              <w:bottom w:val="single" w:sz="4" w:space="0" w:color="9CA3AF"/>
              <w:right w:val="single" w:sz="4" w:space="0" w:color="9CA3AF"/>
            </w:tcBorders>
            <w:shd w:val="clear" w:color="auto" w:fill="auto"/>
            <w:hideMark/>
          </w:tcPr>
          <w:p w14:paraId="150F767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Byroja Kombëtare e Hetimit</w:t>
            </w:r>
          </w:p>
        </w:tc>
        <w:tc>
          <w:tcPr>
            <w:tcW w:w="966" w:type="dxa"/>
            <w:tcBorders>
              <w:top w:val="nil"/>
              <w:left w:val="nil"/>
              <w:bottom w:val="single" w:sz="4" w:space="0" w:color="9CA3AF"/>
              <w:right w:val="single" w:sz="4" w:space="0" w:color="9CA3AF"/>
            </w:tcBorders>
            <w:shd w:val="clear" w:color="auto" w:fill="auto"/>
            <w:hideMark/>
          </w:tcPr>
          <w:p w14:paraId="0D41310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1902224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1E8A2C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4B9889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CBA73C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FEB66AB"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4E6395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0F321DF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10B3528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4A721D2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1.4.4</w:t>
            </w:r>
          </w:p>
        </w:tc>
        <w:tc>
          <w:tcPr>
            <w:tcW w:w="1007" w:type="dxa"/>
            <w:tcBorders>
              <w:top w:val="nil"/>
              <w:left w:val="nil"/>
              <w:bottom w:val="single" w:sz="4" w:space="0" w:color="9CA3AF"/>
              <w:right w:val="single" w:sz="4" w:space="0" w:color="9CA3AF"/>
            </w:tcBorders>
            <w:shd w:val="clear" w:color="F1F5F9" w:fill="ECFDF5"/>
            <w:hideMark/>
          </w:tcPr>
          <w:p w14:paraId="16D50A4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Profilizimi i programeve të Akademisë së Sigurisë dhe arsimimi/trajnimi i punonjësve të Policisë së Shtetit në luftën kundër krimit të organizuar, përfshirë përmes përditësimit të kurrikulave dhe ofrimit të moduleve të specializuara të Akademisë së Sigurisë.</w:t>
            </w:r>
          </w:p>
        </w:tc>
        <w:tc>
          <w:tcPr>
            <w:tcW w:w="524" w:type="dxa"/>
            <w:tcBorders>
              <w:top w:val="nil"/>
              <w:left w:val="nil"/>
              <w:bottom w:val="single" w:sz="4" w:space="0" w:color="9CA3AF"/>
              <w:right w:val="single" w:sz="4" w:space="0" w:color="9CA3AF"/>
            </w:tcBorders>
            <w:shd w:val="clear" w:color="auto" w:fill="auto"/>
            <w:hideMark/>
          </w:tcPr>
          <w:p w14:paraId="05F9217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1.4.4</w:t>
            </w:r>
          </w:p>
        </w:tc>
        <w:tc>
          <w:tcPr>
            <w:tcW w:w="1307" w:type="dxa"/>
            <w:tcBorders>
              <w:top w:val="nil"/>
              <w:left w:val="nil"/>
              <w:bottom w:val="single" w:sz="4" w:space="0" w:color="9CA3AF"/>
              <w:right w:val="single" w:sz="4" w:space="0" w:color="9CA3AF"/>
            </w:tcBorders>
            <w:shd w:val="clear" w:color="auto" w:fill="auto"/>
            <w:hideMark/>
          </w:tcPr>
          <w:p w14:paraId="41857E8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Përditësimi i kurrikulave të Akademisë së Sigurisë, duke futur module të specializuara mbi krimin e organizuar, hetimin financiar, krimin kibernetik dhe policimin e udhëhequr nga inteligjenca.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cikleve të vazhdueshme të trajnimit për punonjësit e Policisë së Shtetit, duke siguruar harmonizim me tendencat evoluese të krimit, standardet e BE-së dhe nevojat operacionale.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9534ED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91604AM</w:t>
            </w:r>
          </w:p>
        </w:tc>
        <w:tc>
          <w:tcPr>
            <w:tcW w:w="914" w:type="dxa"/>
            <w:tcBorders>
              <w:top w:val="nil"/>
              <w:left w:val="single" w:sz="4" w:space="0" w:color="9CA3AF"/>
              <w:bottom w:val="single" w:sz="4" w:space="0" w:color="9CA3AF"/>
              <w:right w:val="single" w:sz="4" w:space="0" w:color="9CA3AF"/>
            </w:tcBorders>
            <w:shd w:val="clear" w:color="auto" w:fill="auto"/>
            <w:hideMark/>
          </w:tcPr>
          <w:p w14:paraId="4C04737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Shtetit/Akademia e Sigurisë</w:t>
            </w:r>
          </w:p>
        </w:tc>
        <w:tc>
          <w:tcPr>
            <w:tcW w:w="966" w:type="dxa"/>
            <w:tcBorders>
              <w:top w:val="nil"/>
              <w:left w:val="nil"/>
              <w:bottom w:val="single" w:sz="4" w:space="0" w:color="9CA3AF"/>
              <w:right w:val="single" w:sz="4" w:space="0" w:color="9CA3AF"/>
            </w:tcBorders>
            <w:shd w:val="clear" w:color="auto" w:fill="auto"/>
            <w:hideMark/>
          </w:tcPr>
          <w:p w14:paraId="61CF2CA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63F1870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3D6928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9C1181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FC627A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EC7BC28"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4CE68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QP I</w:t>
            </w:r>
          </w:p>
        </w:tc>
        <w:tc>
          <w:tcPr>
            <w:tcW w:w="330" w:type="dxa"/>
            <w:tcBorders>
              <w:top w:val="nil"/>
              <w:left w:val="nil"/>
              <w:bottom w:val="single" w:sz="4" w:space="0" w:color="9CA3AF"/>
              <w:right w:val="single" w:sz="4" w:space="0" w:color="9CA3AF"/>
            </w:tcBorders>
            <w:shd w:val="clear" w:color="F1F5F9" w:fill="ECFDF5"/>
            <w:hideMark/>
          </w:tcPr>
          <w:p w14:paraId="0D88907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4B1BC70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03B02E0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1.4.5</w:t>
            </w:r>
          </w:p>
        </w:tc>
        <w:tc>
          <w:tcPr>
            <w:tcW w:w="1007" w:type="dxa"/>
            <w:tcBorders>
              <w:top w:val="nil"/>
              <w:left w:val="nil"/>
              <w:bottom w:val="single" w:sz="4" w:space="0" w:color="9CA3AF"/>
              <w:right w:val="single" w:sz="4" w:space="0" w:color="9CA3AF"/>
            </w:tcBorders>
            <w:shd w:val="clear" w:color="F1F5F9" w:fill="ECFDF5"/>
            <w:hideMark/>
          </w:tcPr>
          <w:p w14:paraId="18E31A3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Trajnimi i oficerëve të policisë gjyqësore për hetimin financiar paralel me hetimin penal, për veprat parësore që gjenerojnë të ardhura kriminale.</w:t>
            </w:r>
          </w:p>
        </w:tc>
        <w:tc>
          <w:tcPr>
            <w:tcW w:w="524" w:type="dxa"/>
            <w:tcBorders>
              <w:top w:val="nil"/>
              <w:left w:val="nil"/>
              <w:bottom w:val="single" w:sz="4" w:space="0" w:color="9CA3AF"/>
              <w:right w:val="single" w:sz="4" w:space="0" w:color="9CA3AF"/>
            </w:tcBorders>
            <w:shd w:val="clear" w:color="auto" w:fill="auto"/>
            <w:hideMark/>
          </w:tcPr>
          <w:p w14:paraId="5B7074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1.4.5</w:t>
            </w:r>
          </w:p>
        </w:tc>
        <w:tc>
          <w:tcPr>
            <w:tcW w:w="1307" w:type="dxa"/>
            <w:tcBorders>
              <w:top w:val="nil"/>
              <w:left w:val="nil"/>
              <w:bottom w:val="single" w:sz="4" w:space="0" w:color="9CA3AF"/>
              <w:right w:val="single" w:sz="4" w:space="0" w:color="9CA3AF"/>
            </w:tcBorders>
            <w:shd w:val="clear" w:color="auto" w:fill="auto"/>
            <w:hideMark/>
          </w:tcPr>
          <w:p w14:paraId="04242E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Ofrimi i trajnimeve të specializuara për kryerjen e hetimeve financiare krahas hetimeve të veprave penale parësore, përfshirë gjurmimin e aseteve, analizën financiare dhe mbledhjen e provave.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Përgatitja e procedurave standarde operacionale dhe e ushtrimeve praktike të çështjeve, për të siguruar zbatim konsistent të teknikave të hetimit paralel financiar.</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7B0EDDF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91604AM</w:t>
            </w:r>
          </w:p>
        </w:tc>
        <w:tc>
          <w:tcPr>
            <w:tcW w:w="914" w:type="dxa"/>
            <w:tcBorders>
              <w:top w:val="nil"/>
              <w:left w:val="single" w:sz="4" w:space="0" w:color="9CA3AF"/>
              <w:bottom w:val="single" w:sz="4" w:space="0" w:color="9CA3AF"/>
              <w:right w:val="single" w:sz="4" w:space="0" w:color="9CA3AF"/>
            </w:tcBorders>
            <w:shd w:val="clear" w:color="auto" w:fill="auto"/>
            <w:hideMark/>
          </w:tcPr>
          <w:p w14:paraId="0465ED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554B83C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Përgjithshme; </w:t>
            </w:r>
            <w:r w:rsidRPr="002128A6">
              <w:rPr>
                <w:rFonts w:ascii="Garamond" w:eastAsia="Times New Roman" w:hAnsi="Garamond" w:cs="Times New Roman"/>
                <w:kern w:val="0"/>
                <w:sz w:val="8"/>
                <w:szCs w:val="8"/>
                <w14:ligatures w14:val="none"/>
              </w:rPr>
              <w:br/>
              <w:t>Prokuroria e Posaçme kundër Korrupsionit dhe Krimit të Organizuar; Byroja Kombëtare e Hetimit;</w:t>
            </w:r>
          </w:p>
        </w:tc>
        <w:tc>
          <w:tcPr>
            <w:tcW w:w="439" w:type="dxa"/>
            <w:tcBorders>
              <w:top w:val="nil"/>
              <w:left w:val="nil"/>
              <w:bottom w:val="single" w:sz="4" w:space="0" w:color="9CA3AF"/>
              <w:right w:val="single" w:sz="4" w:space="0" w:color="9CA3AF"/>
            </w:tcBorders>
            <w:shd w:val="clear" w:color="auto" w:fill="auto"/>
            <w:hideMark/>
          </w:tcPr>
          <w:p w14:paraId="4D0BF0E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E25351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473950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128A17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31F3FC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F8A27A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42209C7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782071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0FB4F26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1.4.6</w:t>
            </w:r>
          </w:p>
        </w:tc>
        <w:tc>
          <w:tcPr>
            <w:tcW w:w="1007" w:type="dxa"/>
            <w:tcBorders>
              <w:top w:val="nil"/>
              <w:left w:val="nil"/>
              <w:bottom w:val="single" w:sz="4" w:space="0" w:color="9CA3AF"/>
              <w:right w:val="single" w:sz="4" w:space="0" w:color="9CA3AF"/>
            </w:tcBorders>
            <w:shd w:val="clear" w:color="F1F5F9" w:fill="ECFDF5"/>
            <w:hideMark/>
          </w:tcPr>
          <w:p w14:paraId="2BC33D7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kapaciteteve njerëzore dhe teknike të Prokurorisë së Posaçme dhe Byrosë Kombëtare të Hetimit, me qëllim forcimin e luftës kundër krimit të organizuar dhe korrupsionit, si dhe efikasitetin e hetimit dhe ndjekjeve të veprave penale. </w:t>
            </w:r>
          </w:p>
        </w:tc>
        <w:tc>
          <w:tcPr>
            <w:tcW w:w="524" w:type="dxa"/>
            <w:tcBorders>
              <w:top w:val="nil"/>
              <w:left w:val="nil"/>
              <w:bottom w:val="single" w:sz="4" w:space="0" w:color="9CA3AF"/>
              <w:right w:val="single" w:sz="4" w:space="0" w:color="9CA3AF"/>
            </w:tcBorders>
            <w:shd w:val="clear" w:color="auto" w:fill="auto"/>
            <w:hideMark/>
          </w:tcPr>
          <w:p w14:paraId="7C1AE4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1.4.6</w:t>
            </w:r>
          </w:p>
        </w:tc>
        <w:tc>
          <w:tcPr>
            <w:tcW w:w="1307" w:type="dxa"/>
            <w:tcBorders>
              <w:top w:val="nil"/>
              <w:left w:val="nil"/>
              <w:bottom w:val="single" w:sz="4" w:space="0" w:color="9CA3AF"/>
              <w:right w:val="single" w:sz="4" w:space="0" w:color="9CA3AF"/>
            </w:tcBorders>
            <w:shd w:val="clear" w:color="auto" w:fill="auto"/>
            <w:hideMark/>
          </w:tcPr>
          <w:p w14:paraId="2EC9CC52" w14:textId="3367F014"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Rekrutimi i prokurorëve shtesë të specializuar, analistë dhe personel mbështetës, për të forcuar aftësinë e SPAK-ut, si dhe të hetuesve dhe oficerëve të shërbimeve të policisë </w:t>
            </w:r>
            <w:r w:rsidR="002651E7" w:rsidRPr="002128A6">
              <w:rPr>
                <w:rFonts w:ascii="Garamond" w:eastAsia="Times New Roman" w:hAnsi="Garamond" w:cs="Times New Roman"/>
                <w:kern w:val="0"/>
                <w:sz w:val="8"/>
                <w:szCs w:val="8"/>
                <w14:ligatures w14:val="none"/>
              </w:rPr>
              <w:t>gjyqësore</w:t>
            </w:r>
            <w:r w:rsidRPr="002128A6">
              <w:rPr>
                <w:rFonts w:ascii="Garamond" w:eastAsia="Times New Roman" w:hAnsi="Garamond" w:cs="Times New Roman"/>
                <w:kern w:val="0"/>
                <w:sz w:val="8"/>
                <w:szCs w:val="8"/>
                <w14:ligatures w14:val="none"/>
              </w:rPr>
              <w:t xml:space="preserve"> në Byronë Kombëtare të hetimit, me qëllim forcimin e kapaciteteve institucionale për hetimin dhe ndjekjen penale të krimit të organizuar dhe korrupsionit. Në kuadër të zbatimit të strukturës së re organizative, BKH-ja parashikohet të rekrutojë 40 hetues dhe 40 oficerë të shërbimeve të policisë gjyqësore.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Prokurimi i teknologjive të avancuara hetimore, sistemeve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 të sigurta dhe mjeteve analitike dhe pajisjeve në funksion të pavarësisë operacionale, për të rritur efikasitetin operacional të SPAK-ut dhe kapacitetet për trajtimin e çështjeve.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EB032E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94101AB</w:t>
            </w:r>
          </w:p>
        </w:tc>
        <w:tc>
          <w:tcPr>
            <w:tcW w:w="914" w:type="dxa"/>
            <w:tcBorders>
              <w:top w:val="nil"/>
              <w:left w:val="single" w:sz="4" w:space="0" w:color="9CA3AF"/>
              <w:bottom w:val="single" w:sz="4" w:space="0" w:color="9CA3AF"/>
              <w:right w:val="single" w:sz="4" w:space="0" w:color="9CA3AF"/>
            </w:tcBorders>
            <w:shd w:val="clear" w:color="auto" w:fill="auto"/>
            <w:hideMark/>
          </w:tcPr>
          <w:p w14:paraId="189D2B2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Posaçme kundër Korrupsionit dhe Krimit të Organizuar;</w:t>
            </w:r>
          </w:p>
        </w:tc>
        <w:tc>
          <w:tcPr>
            <w:tcW w:w="966" w:type="dxa"/>
            <w:tcBorders>
              <w:top w:val="nil"/>
              <w:left w:val="nil"/>
              <w:bottom w:val="single" w:sz="4" w:space="0" w:color="9CA3AF"/>
              <w:right w:val="single" w:sz="4" w:space="0" w:color="9CA3AF"/>
            </w:tcBorders>
            <w:shd w:val="clear" w:color="auto" w:fill="auto"/>
            <w:hideMark/>
          </w:tcPr>
          <w:p w14:paraId="608D0DD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1E59FF4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DA3036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1C6AAF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D9974B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4764E2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0DDE6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6BF37F3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7764D5E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726F905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1.4.7</w:t>
            </w:r>
          </w:p>
        </w:tc>
        <w:tc>
          <w:tcPr>
            <w:tcW w:w="1007" w:type="dxa"/>
            <w:tcBorders>
              <w:top w:val="nil"/>
              <w:left w:val="nil"/>
              <w:bottom w:val="single" w:sz="4" w:space="0" w:color="9CA3AF"/>
              <w:right w:val="single" w:sz="4" w:space="0" w:color="9CA3AF"/>
            </w:tcBorders>
            <w:shd w:val="clear" w:color="F1F5F9" w:fill="ECFDF5"/>
            <w:hideMark/>
          </w:tcPr>
          <w:p w14:paraId="3D00DF6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kapaciteteve hetimore dhe analitike (njerëzore dhe teknike) të Prokurorisë së Posaçme dhe Byrosë Kombëtare të Hetimit, me qëllim forcimin e luftës kundër krimit të organizuar dhe korrupsionit, si dhe efikasitetin e hetimit dhe ndjekjeve të veprave penale.</w:t>
            </w:r>
          </w:p>
        </w:tc>
        <w:tc>
          <w:tcPr>
            <w:tcW w:w="524" w:type="dxa"/>
            <w:tcBorders>
              <w:top w:val="nil"/>
              <w:left w:val="nil"/>
              <w:bottom w:val="single" w:sz="4" w:space="0" w:color="9CA3AF"/>
              <w:right w:val="single" w:sz="4" w:space="0" w:color="9CA3AF"/>
            </w:tcBorders>
            <w:shd w:val="clear" w:color="auto" w:fill="auto"/>
            <w:hideMark/>
          </w:tcPr>
          <w:p w14:paraId="65863F4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1.4.7</w:t>
            </w:r>
          </w:p>
        </w:tc>
        <w:tc>
          <w:tcPr>
            <w:tcW w:w="1307" w:type="dxa"/>
            <w:tcBorders>
              <w:top w:val="nil"/>
              <w:left w:val="nil"/>
              <w:bottom w:val="single" w:sz="4" w:space="0" w:color="9CA3AF"/>
              <w:right w:val="single" w:sz="4" w:space="0" w:color="9CA3AF"/>
            </w:tcBorders>
            <w:shd w:val="clear" w:color="auto" w:fill="auto"/>
            <w:hideMark/>
          </w:tcPr>
          <w:p w14:paraId="6A35E1ED" w14:textId="72F785E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Ngritja e skuadrave analitike shumëdisiplinore, të pajisura me mjete moderne për analizën e të dhënave, skicimin e lidhjeve, profilizimin financiar dhe përpunimin e provave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trajnimit të vazhdueshëm për hetuesit dhe analistët e SPAK-ut mbi ndërtimin e çështjeve komplekse, shfrytëzimin e inteligjencës dhe mekanizmat e bashkëpunimit ndërkombëtar.</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029333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91604AB; 91604AR</w:t>
            </w:r>
          </w:p>
        </w:tc>
        <w:tc>
          <w:tcPr>
            <w:tcW w:w="914" w:type="dxa"/>
            <w:tcBorders>
              <w:top w:val="nil"/>
              <w:left w:val="single" w:sz="4" w:space="0" w:color="9CA3AF"/>
              <w:bottom w:val="single" w:sz="4" w:space="0" w:color="9CA3AF"/>
              <w:right w:val="single" w:sz="4" w:space="0" w:color="9CA3AF"/>
            </w:tcBorders>
            <w:shd w:val="clear" w:color="auto" w:fill="auto"/>
            <w:hideMark/>
          </w:tcPr>
          <w:p w14:paraId="379E90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592BE7E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046BC3F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54A703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3BED2E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AACDBB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1E4E1B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9A20BD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48ADC5E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4D8DCD4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540872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1.4.8</w:t>
            </w:r>
          </w:p>
        </w:tc>
        <w:tc>
          <w:tcPr>
            <w:tcW w:w="1007" w:type="dxa"/>
            <w:tcBorders>
              <w:top w:val="nil"/>
              <w:left w:val="nil"/>
              <w:bottom w:val="single" w:sz="4" w:space="0" w:color="9CA3AF"/>
              <w:right w:val="single" w:sz="4" w:space="0" w:color="9CA3AF"/>
            </w:tcBorders>
            <w:shd w:val="clear" w:color="F1F5F9" w:fill="ECFDF5"/>
            <w:hideMark/>
          </w:tcPr>
          <w:p w14:paraId="632A3A01" w14:textId="62F36F2E"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Operacionalizimi plotë i sistemit </w:t>
            </w:r>
            <w:r w:rsidRPr="006815D8">
              <w:rPr>
                <w:rFonts w:ascii="Garamond" w:eastAsia="Times New Roman" w:hAnsi="Garamond" w:cs="Times New Roman"/>
                <w:i/>
                <w:iCs/>
                <w:kern w:val="0"/>
                <w:sz w:val="8"/>
                <w:szCs w:val="8"/>
                <w14:ligatures w14:val="none"/>
              </w:rPr>
              <w:t>e-Presto,</w:t>
            </w:r>
            <w:r w:rsidRPr="002128A6">
              <w:rPr>
                <w:rFonts w:ascii="Garamond" w:eastAsia="Times New Roman" w:hAnsi="Garamond" w:cs="Times New Roman"/>
                <w:kern w:val="0"/>
                <w:sz w:val="8"/>
                <w:szCs w:val="8"/>
                <w14:ligatures w14:val="none"/>
              </w:rPr>
              <w:t xml:space="preserve"> për të cilin masat administrative paraprake për zhvillimin teknologjik kanë përfunduar, ndërkohë që </w:t>
            </w:r>
            <w:r w:rsidR="00A3583C" w:rsidRPr="002128A6">
              <w:rPr>
                <w:rFonts w:ascii="Garamond" w:eastAsia="Times New Roman" w:hAnsi="Garamond" w:cs="Times New Roman"/>
                <w:kern w:val="0"/>
                <w:sz w:val="8"/>
                <w:szCs w:val="8"/>
                <w14:ligatures w14:val="none"/>
              </w:rPr>
              <w:t>prokurorët</w:t>
            </w:r>
            <w:r w:rsidRPr="002128A6">
              <w:rPr>
                <w:rFonts w:ascii="Garamond" w:eastAsia="Times New Roman" w:hAnsi="Garamond" w:cs="Times New Roman"/>
                <w:kern w:val="0"/>
                <w:sz w:val="8"/>
                <w:szCs w:val="8"/>
                <w14:ligatures w14:val="none"/>
              </w:rPr>
              <w:t xml:space="preserve"> e prokurorive të përgjithshme finalizojnë dhe përditësojnë çështjet dhe seksionet përkatëse.</w:t>
            </w:r>
          </w:p>
        </w:tc>
        <w:tc>
          <w:tcPr>
            <w:tcW w:w="524" w:type="dxa"/>
            <w:tcBorders>
              <w:top w:val="nil"/>
              <w:left w:val="nil"/>
              <w:bottom w:val="single" w:sz="4" w:space="0" w:color="9CA3AF"/>
              <w:right w:val="single" w:sz="4" w:space="0" w:color="9CA3AF"/>
            </w:tcBorders>
            <w:shd w:val="clear" w:color="auto" w:fill="auto"/>
            <w:hideMark/>
          </w:tcPr>
          <w:p w14:paraId="6600366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1.4.8</w:t>
            </w:r>
          </w:p>
        </w:tc>
        <w:tc>
          <w:tcPr>
            <w:tcW w:w="1307" w:type="dxa"/>
            <w:tcBorders>
              <w:top w:val="nil"/>
              <w:left w:val="nil"/>
              <w:bottom w:val="single" w:sz="4" w:space="0" w:color="9CA3AF"/>
              <w:right w:val="single" w:sz="4" w:space="0" w:color="9CA3AF"/>
            </w:tcBorders>
            <w:shd w:val="clear" w:color="auto" w:fill="auto"/>
            <w:hideMark/>
          </w:tcPr>
          <w:p w14:paraId="31338819" w14:textId="464704A6"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Përfundimi i hedhjes së të dhënave, përditësimeve të çështjeve dhe popullimit të seksioneve nga prokurorët në zyrat me juridiksion të përgjithshëm, për të siguruar funksionalitet të plotë të sistemit</w:t>
            </w:r>
            <w:r w:rsidR="00F54824" w:rsidRPr="002128A6">
              <w:rPr>
                <w:rFonts w:ascii="Garamond" w:eastAsia="Times New Roman" w:hAnsi="Garamond" w:cs="Times New Roman"/>
                <w:kern w:val="0"/>
                <w:sz w:val="8"/>
                <w:szCs w:val="8"/>
                <w14:ligatures w14:val="none"/>
              </w:rPr>
              <w:t xml:space="preserve"> </w:t>
            </w:r>
            <w:r w:rsidRPr="006815D8">
              <w:rPr>
                <w:rFonts w:ascii="Garamond" w:eastAsia="Times New Roman" w:hAnsi="Garamond" w:cs="Times New Roman"/>
                <w:i/>
                <w:iCs/>
                <w:kern w:val="0"/>
                <w:sz w:val="8"/>
                <w:szCs w:val="8"/>
                <w14:ligatures w14:val="none"/>
              </w:rPr>
              <w:t xml:space="preserve">e-Presto. </w:t>
            </w:r>
            <w:r w:rsidRPr="006815D8">
              <w:rPr>
                <w:rFonts w:ascii="Garamond" w:eastAsia="Times New Roman" w:hAnsi="Garamond" w:cs="Times New Roman"/>
                <w:i/>
                <w:iCs/>
                <w:kern w:val="0"/>
                <w:sz w:val="8"/>
                <w:szCs w:val="8"/>
                <w14:ligatures w14:val="none"/>
              </w:rPr>
              <w:br/>
            </w:r>
            <w:r w:rsidRPr="002128A6">
              <w:rPr>
                <w:rFonts w:ascii="Garamond" w:eastAsia="Times New Roman" w:hAnsi="Garamond" w:cs="Times New Roman"/>
                <w:kern w:val="0"/>
                <w:sz w:val="8"/>
                <w:szCs w:val="8"/>
                <w14:ligatures w14:val="none"/>
              </w:rPr>
              <w:br/>
              <w:t>Ofrimi i trajnimit dhe mbështetjes teknike për prokurorët dhe personelin administrativ, për të siguruar përdorim konsistent të sistemit për menaxhimin dhe raportimin e çështjeve.</w:t>
            </w:r>
          </w:p>
        </w:tc>
        <w:tc>
          <w:tcPr>
            <w:tcW w:w="699" w:type="dxa"/>
            <w:tcBorders>
              <w:top w:val="nil"/>
              <w:left w:val="single" w:sz="4" w:space="0" w:color="auto"/>
              <w:bottom w:val="single" w:sz="4" w:space="0" w:color="auto"/>
              <w:right w:val="single" w:sz="4" w:space="0" w:color="auto"/>
            </w:tcBorders>
            <w:shd w:val="clear" w:color="000000" w:fill="FFFFFF"/>
            <w:noWrap/>
            <w:vAlign w:val="center"/>
            <w:hideMark/>
          </w:tcPr>
          <w:p w14:paraId="20F904E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19Ah805</w:t>
            </w:r>
          </w:p>
        </w:tc>
        <w:tc>
          <w:tcPr>
            <w:tcW w:w="914" w:type="dxa"/>
            <w:tcBorders>
              <w:top w:val="nil"/>
              <w:left w:val="single" w:sz="4" w:space="0" w:color="9CA3AF"/>
              <w:bottom w:val="single" w:sz="4" w:space="0" w:color="9CA3AF"/>
              <w:right w:val="single" w:sz="4" w:space="0" w:color="9CA3AF"/>
            </w:tcBorders>
            <w:shd w:val="clear" w:color="auto" w:fill="auto"/>
            <w:hideMark/>
          </w:tcPr>
          <w:p w14:paraId="0C3D88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w:t>
            </w:r>
          </w:p>
        </w:tc>
        <w:tc>
          <w:tcPr>
            <w:tcW w:w="966" w:type="dxa"/>
            <w:tcBorders>
              <w:top w:val="nil"/>
              <w:left w:val="nil"/>
              <w:bottom w:val="single" w:sz="4" w:space="0" w:color="9CA3AF"/>
              <w:right w:val="single" w:sz="4" w:space="0" w:color="9CA3AF"/>
            </w:tcBorders>
            <w:shd w:val="clear" w:color="auto" w:fill="auto"/>
            <w:hideMark/>
          </w:tcPr>
          <w:p w14:paraId="2FAC6E6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05133AF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DC999E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nil"/>
              <w:left w:val="nil"/>
              <w:bottom w:val="single" w:sz="4" w:space="0" w:color="9CA3AF"/>
              <w:right w:val="single" w:sz="4" w:space="0" w:color="9CA3AF"/>
            </w:tcBorders>
            <w:shd w:val="clear" w:color="auto" w:fill="auto"/>
            <w:hideMark/>
          </w:tcPr>
          <w:p w14:paraId="4A22F98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3,738,600</w:t>
            </w:r>
          </w:p>
        </w:tc>
        <w:tc>
          <w:tcPr>
            <w:tcW w:w="1352" w:type="dxa"/>
            <w:tcBorders>
              <w:top w:val="nil"/>
              <w:left w:val="nil"/>
              <w:bottom w:val="single" w:sz="4" w:space="0" w:color="9CA3AF"/>
              <w:right w:val="single" w:sz="4" w:space="0" w:color="9CA3AF"/>
            </w:tcBorders>
            <w:shd w:val="clear" w:color="auto" w:fill="auto"/>
            <w:hideMark/>
          </w:tcPr>
          <w:p w14:paraId="3ACBA77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Misioni Euralius</w:t>
            </w:r>
          </w:p>
        </w:tc>
      </w:tr>
      <w:tr w:rsidR="00F54824" w:rsidRPr="002128A6" w14:paraId="47A7DD5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4B30C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53E53D1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1C661CF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1471CF4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1.4.9</w:t>
            </w:r>
          </w:p>
        </w:tc>
        <w:tc>
          <w:tcPr>
            <w:tcW w:w="1007" w:type="dxa"/>
            <w:tcBorders>
              <w:top w:val="nil"/>
              <w:left w:val="nil"/>
              <w:bottom w:val="single" w:sz="4" w:space="0" w:color="9CA3AF"/>
              <w:right w:val="single" w:sz="4" w:space="0" w:color="9CA3AF"/>
            </w:tcBorders>
            <w:shd w:val="clear" w:color="F1F5F9" w:fill="ECFDF5"/>
            <w:hideMark/>
          </w:tcPr>
          <w:p w14:paraId="6D299C5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Operacionalizimi plotë i i Sistemit të Menaxhimit të Çështjeve në Prokurorinë e Përgjithshme.</w:t>
            </w:r>
          </w:p>
        </w:tc>
        <w:tc>
          <w:tcPr>
            <w:tcW w:w="524" w:type="dxa"/>
            <w:tcBorders>
              <w:top w:val="nil"/>
              <w:left w:val="nil"/>
              <w:bottom w:val="single" w:sz="4" w:space="0" w:color="9CA3AF"/>
              <w:right w:val="single" w:sz="4" w:space="0" w:color="9CA3AF"/>
            </w:tcBorders>
            <w:shd w:val="clear" w:color="auto" w:fill="auto"/>
            <w:hideMark/>
          </w:tcPr>
          <w:p w14:paraId="705F0B9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1.4.9</w:t>
            </w:r>
          </w:p>
        </w:tc>
        <w:tc>
          <w:tcPr>
            <w:tcW w:w="1307" w:type="dxa"/>
            <w:tcBorders>
              <w:top w:val="nil"/>
              <w:left w:val="nil"/>
              <w:bottom w:val="single" w:sz="4" w:space="0" w:color="9CA3AF"/>
              <w:right w:val="single" w:sz="4" w:space="0" w:color="9CA3AF"/>
            </w:tcBorders>
            <w:shd w:val="clear" w:color="auto" w:fill="auto"/>
            <w:hideMark/>
          </w:tcPr>
          <w:p w14:paraId="094BBDC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Finalizimi i integrimit të sistemit, aksesit të përdoruesit dhe migrimit të të dhënave, për të mundësuar përdorim të plotë operacional të Sistemit të Menaxhimit të Çështjeve në Prokurorinë e Përgjithshme.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trajnimit për prokurorët dhe personelin administrativ mbi funksionalitetet e SMÇ-së, që të përmirësohet cilësia e të dhënave, gjurmimi i çështjeve dhe alokimi i burimeve bazuar në evidenca.</w:t>
            </w:r>
          </w:p>
        </w:tc>
        <w:tc>
          <w:tcPr>
            <w:tcW w:w="699" w:type="dxa"/>
            <w:tcBorders>
              <w:top w:val="nil"/>
              <w:left w:val="single" w:sz="4" w:space="0" w:color="auto"/>
              <w:bottom w:val="single" w:sz="4" w:space="0" w:color="auto"/>
              <w:right w:val="single" w:sz="4" w:space="0" w:color="auto"/>
            </w:tcBorders>
            <w:shd w:val="clear" w:color="000000" w:fill="FFFFFF"/>
            <w:noWrap/>
            <w:vAlign w:val="center"/>
            <w:hideMark/>
          </w:tcPr>
          <w:p w14:paraId="39BC37C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92801AA</w:t>
            </w:r>
          </w:p>
        </w:tc>
        <w:tc>
          <w:tcPr>
            <w:tcW w:w="914" w:type="dxa"/>
            <w:tcBorders>
              <w:top w:val="nil"/>
              <w:left w:val="single" w:sz="4" w:space="0" w:color="9CA3AF"/>
              <w:bottom w:val="single" w:sz="4" w:space="0" w:color="9CA3AF"/>
              <w:right w:val="single" w:sz="4" w:space="0" w:color="9CA3AF"/>
            </w:tcBorders>
            <w:shd w:val="clear" w:color="auto" w:fill="auto"/>
            <w:hideMark/>
          </w:tcPr>
          <w:p w14:paraId="04B3FDB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w:t>
            </w:r>
          </w:p>
        </w:tc>
        <w:tc>
          <w:tcPr>
            <w:tcW w:w="966" w:type="dxa"/>
            <w:tcBorders>
              <w:top w:val="nil"/>
              <w:left w:val="nil"/>
              <w:bottom w:val="single" w:sz="4" w:space="0" w:color="9CA3AF"/>
              <w:right w:val="single" w:sz="4" w:space="0" w:color="9CA3AF"/>
            </w:tcBorders>
            <w:shd w:val="clear" w:color="auto" w:fill="auto"/>
            <w:hideMark/>
          </w:tcPr>
          <w:p w14:paraId="0819596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Shtetit/Akademia e Sigurisë; Struktura e Posaçme Kundër Korrupsionit dhe Krimit të Organizuar;</w:t>
            </w:r>
          </w:p>
        </w:tc>
        <w:tc>
          <w:tcPr>
            <w:tcW w:w="439" w:type="dxa"/>
            <w:tcBorders>
              <w:top w:val="nil"/>
              <w:left w:val="nil"/>
              <w:bottom w:val="single" w:sz="4" w:space="0" w:color="9CA3AF"/>
              <w:right w:val="single" w:sz="4" w:space="0" w:color="9CA3AF"/>
            </w:tcBorders>
            <w:shd w:val="clear" w:color="auto" w:fill="auto"/>
            <w:hideMark/>
          </w:tcPr>
          <w:p w14:paraId="4F88A5C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84CB4C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1C14A2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723,750,000</w:t>
            </w:r>
          </w:p>
        </w:tc>
        <w:tc>
          <w:tcPr>
            <w:tcW w:w="1352" w:type="dxa"/>
            <w:tcBorders>
              <w:top w:val="nil"/>
              <w:left w:val="nil"/>
              <w:bottom w:val="single" w:sz="4" w:space="0" w:color="9CA3AF"/>
              <w:right w:val="single" w:sz="4" w:space="0" w:color="9CA3AF"/>
            </w:tcBorders>
            <w:shd w:val="clear" w:color="auto" w:fill="auto"/>
            <w:hideMark/>
          </w:tcPr>
          <w:p w14:paraId="2F46BC0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Financim i plotë nga Bashkimi Evropian: Procesi i vlerësimit të nevojave tani ka përfunduar dhe është në fazën e analizës, fazat që i paraprijnë fazës së tenderimit të firmës që do të bëjë programimin. Nuk ka një vlerë të caktuar për sistemin, por financimi do të mbështetet plotësisht nga BE, përmes projektit EU4Digital Justice të zbatuar nga UNOPS dhe të financuar nga Bashkimi Evropian në kuadër të IPA III me një buxhet prej 7.5 milionë eurosh për të gjithë sistemin e drejtësisë, ku në terma tregues parashikohet që rreth 2.5 milionë euro do të merren për zbatimin e këtij sistemi në Prokurorinë Publike për një periudhë zbatimi prej 48 muajsh.</w:t>
            </w:r>
          </w:p>
        </w:tc>
      </w:tr>
      <w:tr w:rsidR="00F54824" w:rsidRPr="002128A6" w14:paraId="2D64B7EE"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DE31E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5D04FBE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w:t>
            </w:r>
          </w:p>
        </w:tc>
        <w:tc>
          <w:tcPr>
            <w:tcW w:w="867" w:type="dxa"/>
            <w:tcBorders>
              <w:top w:val="nil"/>
              <w:left w:val="nil"/>
              <w:bottom w:val="single" w:sz="4" w:space="0" w:color="9CA3AF"/>
              <w:right w:val="single" w:sz="4" w:space="0" w:color="9CA3AF"/>
            </w:tcBorders>
            <w:shd w:val="clear" w:color="F1F5F9" w:fill="ECFDF5"/>
            <w:hideMark/>
          </w:tcPr>
          <w:p w14:paraId="2341316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profesionalizmit, kapacitetit teknologjik dhe efikasitetit operacional të institucioneve ligjzbatuese dhe të drejtësisë.</w:t>
            </w:r>
          </w:p>
        </w:tc>
        <w:tc>
          <w:tcPr>
            <w:tcW w:w="517" w:type="dxa"/>
            <w:tcBorders>
              <w:top w:val="nil"/>
              <w:left w:val="nil"/>
              <w:bottom w:val="single" w:sz="4" w:space="0" w:color="9CA3AF"/>
              <w:right w:val="single" w:sz="4" w:space="0" w:color="9CA3AF"/>
            </w:tcBorders>
            <w:shd w:val="clear" w:color="F1F5F9" w:fill="ECFDF5"/>
            <w:hideMark/>
          </w:tcPr>
          <w:p w14:paraId="171002E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1.4.10</w:t>
            </w:r>
          </w:p>
        </w:tc>
        <w:tc>
          <w:tcPr>
            <w:tcW w:w="1007" w:type="dxa"/>
            <w:tcBorders>
              <w:top w:val="nil"/>
              <w:left w:val="nil"/>
              <w:bottom w:val="single" w:sz="4" w:space="0" w:color="9CA3AF"/>
              <w:right w:val="single" w:sz="4" w:space="0" w:color="9CA3AF"/>
            </w:tcBorders>
            <w:shd w:val="clear" w:color="F1F5F9" w:fill="ECFDF5"/>
            <w:hideMark/>
          </w:tcPr>
          <w:p w14:paraId="5C4BEEE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Operacionalizimi plotë i Sistemit të Menaxhimit të Çështjeve në Prokurorinë e Posaçme kundër Korrupsionit dhe Krimit të Organizuar dhe Byrosë Kombëtare të Hetimit.</w:t>
            </w:r>
          </w:p>
        </w:tc>
        <w:tc>
          <w:tcPr>
            <w:tcW w:w="524" w:type="dxa"/>
            <w:tcBorders>
              <w:top w:val="nil"/>
              <w:left w:val="nil"/>
              <w:bottom w:val="single" w:sz="4" w:space="0" w:color="9CA3AF"/>
              <w:right w:val="single" w:sz="4" w:space="0" w:color="9CA3AF"/>
            </w:tcBorders>
            <w:shd w:val="clear" w:color="auto" w:fill="auto"/>
            <w:hideMark/>
          </w:tcPr>
          <w:p w14:paraId="6819A48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1.4.10</w:t>
            </w:r>
          </w:p>
        </w:tc>
        <w:tc>
          <w:tcPr>
            <w:tcW w:w="1307" w:type="dxa"/>
            <w:tcBorders>
              <w:top w:val="nil"/>
              <w:left w:val="nil"/>
              <w:bottom w:val="single" w:sz="4" w:space="0" w:color="9CA3AF"/>
              <w:right w:val="single" w:sz="4" w:space="0" w:color="9CA3AF"/>
            </w:tcBorders>
            <w:shd w:val="clear" w:color="auto" w:fill="auto"/>
            <w:hideMark/>
          </w:tcPr>
          <w:p w14:paraId="3AC8E1B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Instalimi, konfigurimi dhe funksionimi i sigurt i Sistemit të Menaxhimit të Çështjeve brenda SPAK-ut, përfshirë integrimin me mjetet hetimore dhe analitike.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trajnimit të specializuar për prokurorët dhe personelin e SPAK-ut për të maksimizuar përdorimin e sistemit për menaxhimin e çështjeve komplekse, monitorimin e performancës dhe planifikimin strategjik</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47884F8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94101AB</w:t>
            </w:r>
          </w:p>
        </w:tc>
        <w:tc>
          <w:tcPr>
            <w:tcW w:w="914" w:type="dxa"/>
            <w:tcBorders>
              <w:top w:val="nil"/>
              <w:left w:val="single" w:sz="4" w:space="0" w:color="9CA3AF"/>
              <w:bottom w:val="single" w:sz="4" w:space="0" w:color="9CA3AF"/>
              <w:right w:val="single" w:sz="4" w:space="0" w:color="9CA3AF"/>
            </w:tcBorders>
            <w:shd w:val="clear" w:color="auto" w:fill="auto"/>
            <w:hideMark/>
          </w:tcPr>
          <w:p w14:paraId="535F8EF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Prokuroria e Posaçme Kundër Korrupsionit dhe Krimit të Organizuar</w:t>
            </w:r>
          </w:p>
        </w:tc>
        <w:tc>
          <w:tcPr>
            <w:tcW w:w="966" w:type="dxa"/>
            <w:tcBorders>
              <w:top w:val="nil"/>
              <w:left w:val="nil"/>
              <w:bottom w:val="single" w:sz="4" w:space="0" w:color="9CA3AF"/>
              <w:right w:val="single" w:sz="4" w:space="0" w:color="9CA3AF"/>
            </w:tcBorders>
            <w:shd w:val="clear" w:color="auto" w:fill="auto"/>
            <w:hideMark/>
          </w:tcPr>
          <w:p w14:paraId="13FB5D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 Byroja Kombëtare e Hetimit, Prokuroria e Përgjithshme, Ministria e Drejtësisë;</w:t>
            </w:r>
          </w:p>
        </w:tc>
        <w:tc>
          <w:tcPr>
            <w:tcW w:w="439" w:type="dxa"/>
            <w:tcBorders>
              <w:top w:val="nil"/>
              <w:left w:val="nil"/>
              <w:bottom w:val="single" w:sz="4" w:space="0" w:color="9CA3AF"/>
              <w:right w:val="single" w:sz="4" w:space="0" w:color="9CA3AF"/>
            </w:tcBorders>
            <w:shd w:val="clear" w:color="auto" w:fill="auto"/>
            <w:hideMark/>
          </w:tcPr>
          <w:p w14:paraId="2D2DFA6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7EC98E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nil"/>
              <w:left w:val="nil"/>
              <w:bottom w:val="single" w:sz="4" w:space="0" w:color="9CA3AF"/>
              <w:right w:val="single" w:sz="4" w:space="0" w:color="9CA3AF"/>
            </w:tcBorders>
            <w:shd w:val="clear" w:color="auto" w:fill="auto"/>
            <w:hideMark/>
          </w:tcPr>
          <w:p w14:paraId="2AB30BC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1D7585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Pritet konfirmimi i financimit nga UNOPS.</w:t>
            </w:r>
          </w:p>
        </w:tc>
      </w:tr>
      <w:tr w:rsidR="00F54824" w:rsidRPr="002128A6" w14:paraId="55678FDD"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0BF0F364"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1.4</w:t>
            </w:r>
          </w:p>
        </w:tc>
        <w:tc>
          <w:tcPr>
            <w:tcW w:w="649" w:type="dxa"/>
            <w:tcBorders>
              <w:top w:val="nil"/>
              <w:left w:val="nil"/>
              <w:bottom w:val="nil"/>
              <w:right w:val="nil"/>
            </w:tcBorders>
            <w:shd w:val="clear" w:color="FDEADA" w:fill="FEF3C7"/>
            <w:noWrap/>
            <w:vAlign w:val="bottom"/>
            <w:hideMark/>
          </w:tcPr>
          <w:p w14:paraId="35B5F335"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727,488,600</w:t>
            </w:r>
          </w:p>
        </w:tc>
        <w:tc>
          <w:tcPr>
            <w:tcW w:w="1352" w:type="dxa"/>
            <w:tcBorders>
              <w:top w:val="nil"/>
              <w:left w:val="nil"/>
              <w:bottom w:val="nil"/>
              <w:right w:val="nil"/>
            </w:tcBorders>
            <w:shd w:val="clear" w:color="auto" w:fill="auto"/>
            <w:noWrap/>
            <w:vAlign w:val="bottom"/>
            <w:hideMark/>
          </w:tcPr>
          <w:p w14:paraId="204014B8"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02C74D2B"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0106F3E5"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1.5 — Reduktimi i stimujve dhe mundësive financiare për krimin e organizuar nëpërmjet forcimit të kontrolleve ekonomike dhe ndërprerjes së burimeve të financimit</w:t>
            </w:r>
          </w:p>
        </w:tc>
      </w:tr>
      <w:tr w:rsidR="00F54824" w:rsidRPr="002128A6" w14:paraId="7F6A9243"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32E82E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single" w:sz="4" w:space="0" w:color="9CA3AF"/>
              <w:left w:val="nil"/>
              <w:bottom w:val="single" w:sz="4" w:space="0" w:color="9CA3AF"/>
              <w:right w:val="single" w:sz="4" w:space="0" w:color="9CA3AF"/>
            </w:tcBorders>
            <w:shd w:val="clear" w:color="F1F5F9" w:fill="ECFDF5"/>
            <w:hideMark/>
          </w:tcPr>
          <w:p w14:paraId="1041867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w:t>
            </w:r>
          </w:p>
        </w:tc>
        <w:tc>
          <w:tcPr>
            <w:tcW w:w="867" w:type="dxa"/>
            <w:tcBorders>
              <w:top w:val="single" w:sz="4" w:space="0" w:color="9CA3AF"/>
              <w:left w:val="nil"/>
              <w:bottom w:val="single" w:sz="4" w:space="0" w:color="9CA3AF"/>
              <w:right w:val="single" w:sz="4" w:space="0" w:color="9CA3AF"/>
            </w:tcBorders>
            <w:shd w:val="clear" w:color="F1F5F9" w:fill="ECFDF5"/>
            <w:hideMark/>
          </w:tcPr>
          <w:p w14:paraId="3CCFB7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stimujve dhe mundësive financiare për krimin e organizuar nëpërmjet forcimit të kontrolleve ekonomike dhe ndërprerjes së burimeve të financimit.</w:t>
            </w:r>
          </w:p>
        </w:tc>
        <w:tc>
          <w:tcPr>
            <w:tcW w:w="517" w:type="dxa"/>
            <w:tcBorders>
              <w:top w:val="single" w:sz="4" w:space="0" w:color="9CA3AF"/>
              <w:left w:val="nil"/>
              <w:bottom w:val="single" w:sz="4" w:space="0" w:color="9CA3AF"/>
              <w:right w:val="single" w:sz="4" w:space="0" w:color="9CA3AF"/>
            </w:tcBorders>
            <w:shd w:val="clear" w:color="F1F5F9" w:fill="ECFDF5"/>
            <w:hideMark/>
          </w:tcPr>
          <w:p w14:paraId="07B1BB9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4876EB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Kryerja e vlerësimit kombëtar të kërcënimeve nga krimi i organizuar dhe krimet e rënda.</w:t>
            </w:r>
          </w:p>
        </w:tc>
        <w:tc>
          <w:tcPr>
            <w:tcW w:w="524" w:type="dxa"/>
            <w:tcBorders>
              <w:top w:val="single" w:sz="4" w:space="0" w:color="9CA3AF"/>
              <w:left w:val="nil"/>
              <w:bottom w:val="single" w:sz="4" w:space="0" w:color="9CA3AF"/>
              <w:right w:val="single" w:sz="4" w:space="0" w:color="9CA3AF"/>
            </w:tcBorders>
            <w:shd w:val="clear" w:color="auto" w:fill="auto"/>
            <w:hideMark/>
          </w:tcPr>
          <w:p w14:paraId="1525E3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1.5.1</w:t>
            </w:r>
          </w:p>
        </w:tc>
        <w:tc>
          <w:tcPr>
            <w:tcW w:w="1307" w:type="dxa"/>
            <w:tcBorders>
              <w:top w:val="single" w:sz="4" w:space="0" w:color="9CA3AF"/>
              <w:left w:val="nil"/>
              <w:bottom w:val="single" w:sz="4" w:space="0" w:color="9CA3AF"/>
              <w:right w:val="single" w:sz="4" w:space="0" w:color="9CA3AF"/>
            </w:tcBorders>
            <w:shd w:val="clear" w:color="auto" w:fill="auto"/>
            <w:hideMark/>
          </w:tcPr>
          <w:p w14:paraId="69A84CC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Kryerja e një vlerësim gjithëpërfshirës kombëtar të kërcënimeve, duke integruar inteligjencën ligjzbatuese, të dhënat e sektorit financiar dhe treguesit specifikë sektorialë të rrezikut, për të identifikuar tregjet kriminale, tendencat në zhvillim dhe sektorët me rrezik të lartë.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Përgatitja e një raport analitik me kërcënimet e prioritizuara, masat zbutëse të rekomanduara dhe inteligjencën që orienton veprimet, me qëllim që të udhëheqë planifikimin operacional dhe alokimin e burimeve nëpër institucione.</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976A4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91603AA</w:t>
            </w:r>
          </w:p>
        </w:tc>
        <w:tc>
          <w:tcPr>
            <w:tcW w:w="914" w:type="dxa"/>
            <w:tcBorders>
              <w:top w:val="single" w:sz="4" w:space="0" w:color="9CA3AF"/>
              <w:left w:val="single" w:sz="4" w:space="0" w:color="9CA3AF"/>
              <w:bottom w:val="single" w:sz="4" w:space="0" w:color="9CA3AF"/>
              <w:right w:val="single" w:sz="4" w:space="0" w:color="9CA3AF"/>
            </w:tcBorders>
            <w:shd w:val="clear" w:color="auto" w:fill="auto"/>
            <w:hideMark/>
          </w:tcPr>
          <w:p w14:paraId="63D41D4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single" w:sz="4" w:space="0" w:color="9CA3AF"/>
              <w:left w:val="nil"/>
              <w:bottom w:val="single" w:sz="4" w:space="0" w:color="9CA3AF"/>
              <w:right w:val="single" w:sz="4" w:space="0" w:color="9CA3AF"/>
            </w:tcBorders>
            <w:shd w:val="clear" w:color="auto" w:fill="auto"/>
            <w:hideMark/>
          </w:tcPr>
          <w:p w14:paraId="5B73E25E" w14:textId="28ABD808"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Ministritë relevante të linjës; Policia e Shtetit, Agjencia e Inteligjencës Financiare, Shërbimi Informativ i Shtetit, Autoriteti Kombëtar për Sigurinë Kibernetike,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Prokuroria e Përgjithshme; Prokuroria e Posaçme; Byroja Kombëtare e Hetimit;</w:t>
            </w:r>
          </w:p>
        </w:tc>
        <w:tc>
          <w:tcPr>
            <w:tcW w:w="439" w:type="dxa"/>
            <w:tcBorders>
              <w:top w:val="single" w:sz="4" w:space="0" w:color="9CA3AF"/>
              <w:left w:val="nil"/>
              <w:bottom w:val="single" w:sz="4" w:space="0" w:color="9CA3AF"/>
              <w:right w:val="single" w:sz="4" w:space="0" w:color="9CA3AF"/>
            </w:tcBorders>
            <w:shd w:val="clear" w:color="auto" w:fill="auto"/>
            <w:hideMark/>
          </w:tcPr>
          <w:p w14:paraId="07C0051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6C9128F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17DE4AA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45E1B85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602543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67A034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01DDC7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w:t>
            </w:r>
          </w:p>
        </w:tc>
        <w:tc>
          <w:tcPr>
            <w:tcW w:w="867" w:type="dxa"/>
            <w:tcBorders>
              <w:top w:val="nil"/>
              <w:left w:val="nil"/>
              <w:bottom w:val="single" w:sz="4" w:space="0" w:color="9CA3AF"/>
              <w:right w:val="single" w:sz="4" w:space="0" w:color="9CA3AF"/>
            </w:tcBorders>
            <w:shd w:val="clear" w:color="F1F5F9" w:fill="ECFDF5"/>
            <w:hideMark/>
          </w:tcPr>
          <w:p w14:paraId="344E0A0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stimujve dhe mundësive financiare për krimin e organizuar nëpërmjet forcimit të kontrolleve ekonomike dhe ndërprerjes së burimeve të financimit.</w:t>
            </w:r>
          </w:p>
        </w:tc>
        <w:tc>
          <w:tcPr>
            <w:tcW w:w="517" w:type="dxa"/>
            <w:tcBorders>
              <w:top w:val="nil"/>
              <w:left w:val="nil"/>
              <w:bottom w:val="single" w:sz="4" w:space="0" w:color="9CA3AF"/>
              <w:right w:val="single" w:sz="4" w:space="0" w:color="9CA3AF"/>
            </w:tcBorders>
            <w:shd w:val="clear" w:color="F1F5F9" w:fill="ECFDF5"/>
            <w:hideMark/>
          </w:tcPr>
          <w:p w14:paraId="30E3959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1.5.2</w:t>
            </w:r>
          </w:p>
        </w:tc>
        <w:tc>
          <w:tcPr>
            <w:tcW w:w="1007" w:type="dxa"/>
            <w:tcBorders>
              <w:top w:val="nil"/>
              <w:left w:val="nil"/>
              <w:bottom w:val="single" w:sz="4" w:space="0" w:color="9CA3AF"/>
              <w:right w:val="single" w:sz="4" w:space="0" w:color="9CA3AF"/>
            </w:tcBorders>
            <w:shd w:val="clear" w:color="F1F5F9" w:fill="ECFDF5"/>
            <w:hideMark/>
          </w:tcPr>
          <w:p w14:paraId="25EDE98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kontrolleve të bazuara në rrezik, të kryera kundër informalitetit, evazionit fiskal dhe shmangies tatimore</w:t>
            </w:r>
          </w:p>
        </w:tc>
        <w:tc>
          <w:tcPr>
            <w:tcW w:w="524" w:type="dxa"/>
            <w:tcBorders>
              <w:top w:val="nil"/>
              <w:left w:val="nil"/>
              <w:bottom w:val="single" w:sz="4" w:space="0" w:color="9CA3AF"/>
              <w:right w:val="single" w:sz="4" w:space="0" w:color="9CA3AF"/>
            </w:tcBorders>
            <w:shd w:val="clear" w:color="auto" w:fill="auto"/>
            <w:hideMark/>
          </w:tcPr>
          <w:p w14:paraId="332440E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1.5.2</w:t>
            </w:r>
          </w:p>
        </w:tc>
        <w:tc>
          <w:tcPr>
            <w:tcW w:w="1307" w:type="dxa"/>
            <w:tcBorders>
              <w:top w:val="nil"/>
              <w:left w:val="nil"/>
              <w:bottom w:val="single" w:sz="4" w:space="0" w:color="9CA3AF"/>
              <w:right w:val="single" w:sz="4" w:space="0" w:color="9CA3AF"/>
            </w:tcBorders>
            <w:shd w:val="clear" w:color="auto" w:fill="auto"/>
            <w:hideMark/>
          </w:tcPr>
          <w:p w14:paraId="10D995A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i inspektimeve dhe auditime të shënjestruara të bazuara në rrezik, në sektorët me ekspozim të lartë ndaj informalitetit dhe evazionit fiskal, duke përdorur analitikë të të dhënave dhe shkëmbim ndërinstitucional të informacionit për të prioritizuar çështjet.</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zbatueshmëriësë duke integruar rezultatet e inteligjencës financiare, treguesit e transaksioneve të dyshimta dhe profilet specifike sektoriale të rrezikut në planifikimin e inspektimeve dhe procedurat vijuese.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64E53E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91004AA</w:t>
            </w:r>
          </w:p>
        </w:tc>
        <w:tc>
          <w:tcPr>
            <w:tcW w:w="914" w:type="dxa"/>
            <w:tcBorders>
              <w:top w:val="nil"/>
              <w:left w:val="single" w:sz="4" w:space="0" w:color="9CA3AF"/>
              <w:bottom w:val="single" w:sz="4" w:space="0" w:color="9CA3AF"/>
              <w:right w:val="single" w:sz="4" w:space="0" w:color="9CA3AF"/>
            </w:tcBorders>
            <w:shd w:val="clear" w:color="auto" w:fill="auto"/>
            <w:hideMark/>
          </w:tcPr>
          <w:p w14:paraId="05F5758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Tatimeve</w:t>
            </w:r>
          </w:p>
        </w:tc>
        <w:tc>
          <w:tcPr>
            <w:tcW w:w="966" w:type="dxa"/>
            <w:tcBorders>
              <w:top w:val="nil"/>
              <w:left w:val="nil"/>
              <w:bottom w:val="single" w:sz="4" w:space="0" w:color="9CA3AF"/>
              <w:right w:val="single" w:sz="4" w:space="0" w:color="9CA3AF"/>
            </w:tcBorders>
            <w:shd w:val="clear" w:color="auto" w:fill="auto"/>
            <w:hideMark/>
          </w:tcPr>
          <w:p w14:paraId="34AB514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439" w:type="dxa"/>
            <w:tcBorders>
              <w:top w:val="nil"/>
              <w:left w:val="nil"/>
              <w:bottom w:val="single" w:sz="4" w:space="0" w:color="9CA3AF"/>
              <w:right w:val="single" w:sz="4" w:space="0" w:color="9CA3AF"/>
            </w:tcBorders>
            <w:shd w:val="clear" w:color="auto" w:fill="auto"/>
            <w:hideMark/>
          </w:tcPr>
          <w:p w14:paraId="2B59ED5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3F295D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C6C442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07EA8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8DAD74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2668D9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435397C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w:t>
            </w:r>
          </w:p>
        </w:tc>
        <w:tc>
          <w:tcPr>
            <w:tcW w:w="867" w:type="dxa"/>
            <w:tcBorders>
              <w:top w:val="nil"/>
              <w:left w:val="nil"/>
              <w:bottom w:val="single" w:sz="4" w:space="0" w:color="9CA3AF"/>
              <w:right w:val="single" w:sz="4" w:space="0" w:color="9CA3AF"/>
            </w:tcBorders>
            <w:shd w:val="clear" w:color="F1F5F9" w:fill="ECFDF5"/>
            <w:hideMark/>
          </w:tcPr>
          <w:p w14:paraId="78F27BA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stimujve dhe mundësive financiare për krimin e organizuar nëpërmjet forcimit të kontrolleve </w:t>
            </w:r>
            <w:r w:rsidRPr="002128A6">
              <w:rPr>
                <w:rFonts w:ascii="Garamond" w:eastAsia="Times New Roman" w:hAnsi="Garamond" w:cs="Times New Roman"/>
                <w:kern w:val="0"/>
                <w:sz w:val="8"/>
                <w:szCs w:val="8"/>
                <w14:ligatures w14:val="none"/>
              </w:rPr>
              <w:lastRenderedPageBreak/>
              <w:t>ekonomike dhe ndërprerjes së burimeve të financimit.</w:t>
            </w:r>
          </w:p>
        </w:tc>
        <w:tc>
          <w:tcPr>
            <w:tcW w:w="517" w:type="dxa"/>
            <w:tcBorders>
              <w:top w:val="nil"/>
              <w:left w:val="nil"/>
              <w:bottom w:val="single" w:sz="4" w:space="0" w:color="9CA3AF"/>
              <w:right w:val="single" w:sz="4" w:space="0" w:color="9CA3AF"/>
            </w:tcBorders>
            <w:shd w:val="clear" w:color="F1F5F9" w:fill="ECFDF5"/>
            <w:hideMark/>
          </w:tcPr>
          <w:p w14:paraId="097F28D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1.5.3</w:t>
            </w:r>
          </w:p>
        </w:tc>
        <w:tc>
          <w:tcPr>
            <w:tcW w:w="1007" w:type="dxa"/>
            <w:tcBorders>
              <w:top w:val="nil"/>
              <w:left w:val="nil"/>
              <w:bottom w:val="single" w:sz="4" w:space="0" w:color="9CA3AF"/>
              <w:right w:val="single" w:sz="4" w:space="0" w:color="9CA3AF"/>
            </w:tcBorders>
            <w:shd w:val="clear" w:color="F1F5F9" w:fill="ECFDF5"/>
            <w:hideMark/>
          </w:tcPr>
          <w:p w14:paraId="6E4D775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kontrolleve dhe inspektimeve të koordinuara dhe inspektimeve te bizneset me rrezik të lartë.</w:t>
            </w:r>
          </w:p>
        </w:tc>
        <w:tc>
          <w:tcPr>
            <w:tcW w:w="524" w:type="dxa"/>
            <w:tcBorders>
              <w:top w:val="nil"/>
              <w:left w:val="nil"/>
              <w:bottom w:val="single" w:sz="4" w:space="0" w:color="9CA3AF"/>
              <w:right w:val="single" w:sz="4" w:space="0" w:color="9CA3AF"/>
            </w:tcBorders>
            <w:shd w:val="clear" w:color="auto" w:fill="auto"/>
            <w:hideMark/>
          </w:tcPr>
          <w:p w14:paraId="2CE9601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1.5.3</w:t>
            </w:r>
          </w:p>
        </w:tc>
        <w:tc>
          <w:tcPr>
            <w:tcW w:w="1307" w:type="dxa"/>
            <w:tcBorders>
              <w:top w:val="nil"/>
              <w:left w:val="nil"/>
              <w:bottom w:val="single" w:sz="4" w:space="0" w:color="9CA3AF"/>
              <w:right w:val="single" w:sz="4" w:space="0" w:color="9CA3AF"/>
            </w:tcBorders>
            <w:shd w:val="clear" w:color="auto" w:fill="auto"/>
            <w:hideMark/>
          </w:tcPr>
          <w:p w14:paraId="101901E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Ngritja e skuadrave të përbashkëta të inspektimit/kontrollit/mbikëqyrjes, që përfshijnë autoritetet mbikëqyrëse në fushën e PPP/FT, autoritetet doganore dhe tatimore, </w:t>
            </w:r>
            <w:r w:rsidRPr="002128A6">
              <w:rPr>
                <w:rFonts w:ascii="Garamond" w:eastAsia="Times New Roman" w:hAnsi="Garamond" w:cs="Times New Roman"/>
                <w:kern w:val="0"/>
                <w:sz w:val="8"/>
                <w:szCs w:val="8"/>
                <w14:ligatures w14:val="none"/>
              </w:rPr>
              <w:lastRenderedPageBreak/>
              <w:t>autoritetet licencuese, për të kryer kontrolle të koordinuara të bizneseve me rrezik të lartë, duke siguruar zbatim konsistent dhe dublikim të reduktuar, sipas fushës së përgjegjësisë.</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Zhvillimi dhe zbatimi i mjeteve specifike sektoriale të vlerësimit të rrezikut, për të identifikuar bizneset me ekspozim të shtuar ndaj infiltrimit të krimit të organizuar, duke mundësuar ndërhyrje të hershme dhe mbikëqyrje të bazuar në risk.</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2A6A5B0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91004AA</w:t>
            </w:r>
          </w:p>
        </w:tc>
        <w:tc>
          <w:tcPr>
            <w:tcW w:w="914" w:type="dxa"/>
            <w:tcBorders>
              <w:top w:val="nil"/>
              <w:left w:val="single" w:sz="4" w:space="0" w:color="9CA3AF"/>
              <w:bottom w:val="single" w:sz="4" w:space="0" w:color="9CA3AF"/>
              <w:right w:val="single" w:sz="4" w:space="0" w:color="9CA3AF"/>
            </w:tcBorders>
            <w:shd w:val="clear" w:color="auto" w:fill="auto"/>
            <w:hideMark/>
          </w:tcPr>
          <w:p w14:paraId="4D31DA4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Tatimeve</w:t>
            </w:r>
          </w:p>
        </w:tc>
        <w:tc>
          <w:tcPr>
            <w:tcW w:w="966" w:type="dxa"/>
            <w:tcBorders>
              <w:top w:val="nil"/>
              <w:left w:val="nil"/>
              <w:bottom w:val="single" w:sz="4" w:space="0" w:color="9CA3AF"/>
              <w:right w:val="single" w:sz="4" w:space="0" w:color="9CA3AF"/>
            </w:tcBorders>
            <w:shd w:val="clear" w:color="auto" w:fill="auto"/>
            <w:hideMark/>
          </w:tcPr>
          <w:p w14:paraId="0C90AAD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439" w:type="dxa"/>
            <w:tcBorders>
              <w:top w:val="nil"/>
              <w:left w:val="nil"/>
              <w:bottom w:val="single" w:sz="4" w:space="0" w:color="9CA3AF"/>
              <w:right w:val="single" w:sz="4" w:space="0" w:color="9CA3AF"/>
            </w:tcBorders>
            <w:shd w:val="clear" w:color="auto" w:fill="auto"/>
            <w:hideMark/>
          </w:tcPr>
          <w:p w14:paraId="24F7D9E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36EF87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33EB1A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731B43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C98968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E81950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1C3F56B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w:t>
            </w:r>
          </w:p>
        </w:tc>
        <w:tc>
          <w:tcPr>
            <w:tcW w:w="867" w:type="dxa"/>
            <w:tcBorders>
              <w:top w:val="nil"/>
              <w:left w:val="nil"/>
              <w:bottom w:val="single" w:sz="4" w:space="0" w:color="9CA3AF"/>
              <w:right w:val="single" w:sz="4" w:space="0" w:color="9CA3AF"/>
            </w:tcBorders>
            <w:shd w:val="clear" w:color="F1F5F9" w:fill="ECFDF5"/>
            <w:hideMark/>
          </w:tcPr>
          <w:p w14:paraId="44EF235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stimujve dhe mundësive financiare për krimin e organizuar nëpërmjet forcimit të kontrolleve ekonomike dhe ndërprerjes së burimeve të financimit.</w:t>
            </w:r>
          </w:p>
        </w:tc>
        <w:tc>
          <w:tcPr>
            <w:tcW w:w="517" w:type="dxa"/>
            <w:tcBorders>
              <w:top w:val="nil"/>
              <w:left w:val="nil"/>
              <w:bottom w:val="single" w:sz="4" w:space="0" w:color="9CA3AF"/>
              <w:right w:val="single" w:sz="4" w:space="0" w:color="9CA3AF"/>
            </w:tcBorders>
            <w:shd w:val="clear" w:color="F1F5F9" w:fill="ECFDF5"/>
            <w:hideMark/>
          </w:tcPr>
          <w:p w14:paraId="252ABD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1.5.4</w:t>
            </w:r>
          </w:p>
        </w:tc>
        <w:tc>
          <w:tcPr>
            <w:tcW w:w="1007" w:type="dxa"/>
            <w:tcBorders>
              <w:top w:val="nil"/>
              <w:left w:val="nil"/>
              <w:bottom w:val="single" w:sz="4" w:space="0" w:color="9CA3AF"/>
              <w:right w:val="single" w:sz="4" w:space="0" w:color="9CA3AF"/>
            </w:tcBorders>
            <w:shd w:val="clear" w:color="F1F5F9" w:fill="ECFDF5"/>
            <w:hideMark/>
          </w:tcPr>
          <w:p w14:paraId="73A2B73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Monitorimi i mallrave me rrezik të lartë mallrave të cenueshme ndaj evazionit fiskal</w:t>
            </w:r>
          </w:p>
        </w:tc>
        <w:tc>
          <w:tcPr>
            <w:tcW w:w="524" w:type="dxa"/>
            <w:tcBorders>
              <w:top w:val="nil"/>
              <w:left w:val="nil"/>
              <w:bottom w:val="single" w:sz="4" w:space="0" w:color="9CA3AF"/>
              <w:right w:val="single" w:sz="4" w:space="0" w:color="9CA3AF"/>
            </w:tcBorders>
            <w:shd w:val="clear" w:color="auto" w:fill="auto"/>
            <w:hideMark/>
          </w:tcPr>
          <w:p w14:paraId="445CAF7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1.5.4</w:t>
            </w:r>
          </w:p>
        </w:tc>
        <w:tc>
          <w:tcPr>
            <w:tcW w:w="1307" w:type="dxa"/>
            <w:tcBorders>
              <w:top w:val="nil"/>
              <w:left w:val="nil"/>
              <w:bottom w:val="single" w:sz="4" w:space="0" w:color="9CA3AF"/>
              <w:right w:val="single" w:sz="4" w:space="0" w:color="9CA3AF"/>
            </w:tcBorders>
            <w:shd w:val="clear" w:color="auto" w:fill="auto"/>
            <w:hideMark/>
          </w:tcPr>
          <w:p w14:paraId="32C488CE" w14:textId="2FC6309D"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Monitorimi sistematik i mallrave me rrezik të lartë, si karburanti, duhani, alkooli dhe produktet e akcizës, duke përdorur sistemet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të gjurmimit, të dhënat doganore dhe profilizimin e bazuar në rrezik.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veprimeve të përbashkëta operacionale për të zbuluar parregullsitë në zinxhirët e importit, eksportit dhe shpërndarjes, duke siguruar referim në kohë të rasteve të dyshimta për hetim dhe ndjekje financiare.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8C1042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91005AA</w:t>
            </w:r>
          </w:p>
        </w:tc>
        <w:tc>
          <w:tcPr>
            <w:tcW w:w="914" w:type="dxa"/>
            <w:tcBorders>
              <w:top w:val="nil"/>
              <w:left w:val="single" w:sz="4" w:space="0" w:color="9CA3AF"/>
              <w:bottom w:val="single" w:sz="4" w:space="0" w:color="9CA3AF"/>
              <w:right w:val="single" w:sz="4" w:space="0" w:color="9CA3AF"/>
            </w:tcBorders>
            <w:shd w:val="clear" w:color="auto" w:fill="auto"/>
            <w:hideMark/>
          </w:tcPr>
          <w:p w14:paraId="5FC82FC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Tatimeve</w:t>
            </w:r>
          </w:p>
        </w:tc>
        <w:tc>
          <w:tcPr>
            <w:tcW w:w="966" w:type="dxa"/>
            <w:tcBorders>
              <w:top w:val="nil"/>
              <w:left w:val="nil"/>
              <w:bottom w:val="single" w:sz="4" w:space="0" w:color="9CA3AF"/>
              <w:right w:val="single" w:sz="4" w:space="0" w:color="9CA3AF"/>
            </w:tcBorders>
            <w:shd w:val="clear" w:color="auto" w:fill="auto"/>
            <w:hideMark/>
          </w:tcPr>
          <w:p w14:paraId="1DDE555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439" w:type="dxa"/>
            <w:tcBorders>
              <w:top w:val="nil"/>
              <w:left w:val="nil"/>
              <w:bottom w:val="single" w:sz="4" w:space="0" w:color="9CA3AF"/>
              <w:right w:val="single" w:sz="4" w:space="0" w:color="9CA3AF"/>
            </w:tcBorders>
            <w:shd w:val="clear" w:color="auto" w:fill="auto"/>
            <w:hideMark/>
          </w:tcPr>
          <w:p w14:paraId="757DA9B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0E50F5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E8AADF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9408E1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5DF10B1"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14D4528D"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1.5</w:t>
            </w:r>
          </w:p>
        </w:tc>
        <w:tc>
          <w:tcPr>
            <w:tcW w:w="649" w:type="dxa"/>
            <w:tcBorders>
              <w:top w:val="nil"/>
              <w:left w:val="nil"/>
              <w:bottom w:val="nil"/>
              <w:right w:val="nil"/>
            </w:tcBorders>
            <w:shd w:val="clear" w:color="FDEADA" w:fill="FEF3C7"/>
            <w:noWrap/>
            <w:vAlign w:val="bottom"/>
            <w:hideMark/>
          </w:tcPr>
          <w:p w14:paraId="306FAEF6"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4797CEA3"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2A8572E9"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79902918"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1.6 — Zbatimi efikas i qasjes administrative për të parandaluar infiltrimin e krimit të organizuar në ekonomi dhe në administratën publike</w:t>
            </w:r>
          </w:p>
        </w:tc>
      </w:tr>
      <w:tr w:rsidR="00F54824" w:rsidRPr="002128A6" w14:paraId="54377B75"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5C960B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single" w:sz="4" w:space="0" w:color="9CA3AF"/>
              <w:left w:val="nil"/>
              <w:bottom w:val="single" w:sz="4" w:space="0" w:color="9CA3AF"/>
              <w:right w:val="single" w:sz="4" w:space="0" w:color="9CA3AF"/>
            </w:tcBorders>
            <w:shd w:val="clear" w:color="F1F5F9" w:fill="ECFDF5"/>
            <w:hideMark/>
          </w:tcPr>
          <w:p w14:paraId="0340D9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w:t>
            </w:r>
          </w:p>
        </w:tc>
        <w:tc>
          <w:tcPr>
            <w:tcW w:w="867" w:type="dxa"/>
            <w:tcBorders>
              <w:top w:val="single" w:sz="4" w:space="0" w:color="9CA3AF"/>
              <w:left w:val="nil"/>
              <w:bottom w:val="single" w:sz="4" w:space="0" w:color="9CA3AF"/>
              <w:right w:val="single" w:sz="4" w:space="0" w:color="9CA3AF"/>
            </w:tcBorders>
            <w:shd w:val="clear" w:color="F1F5F9" w:fill="ECFDF5"/>
            <w:hideMark/>
          </w:tcPr>
          <w:p w14:paraId="69DB036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efektshëm i qasjes administrative për të parandaluar infiltrimin e krimit të organizuar në ekonomi dhe në administratën publike.</w:t>
            </w:r>
          </w:p>
        </w:tc>
        <w:tc>
          <w:tcPr>
            <w:tcW w:w="517" w:type="dxa"/>
            <w:tcBorders>
              <w:top w:val="single" w:sz="4" w:space="0" w:color="9CA3AF"/>
              <w:left w:val="nil"/>
              <w:bottom w:val="single" w:sz="4" w:space="0" w:color="9CA3AF"/>
              <w:right w:val="single" w:sz="4" w:space="0" w:color="9CA3AF"/>
            </w:tcBorders>
            <w:shd w:val="clear" w:color="F1F5F9" w:fill="ECFDF5"/>
            <w:hideMark/>
          </w:tcPr>
          <w:p w14:paraId="121E65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331A84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i Udhëzuesit Kombëtar për Qasjen Administrative ndaj Krimit të Organizuar</w:t>
            </w:r>
          </w:p>
        </w:tc>
        <w:tc>
          <w:tcPr>
            <w:tcW w:w="524" w:type="dxa"/>
            <w:tcBorders>
              <w:top w:val="single" w:sz="4" w:space="0" w:color="9CA3AF"/>
              <w:left w:val="nil"/>
              <w:bottom w:val="single" w:sz="4" w:space="0" w:color="9CA3AF"/>
              <w:right w:val="single" w:sz="4" w:space="0" w:color="9CA3AF"/>
            </w:tcBorders>
            <w:shd w:val="clear" w:color="auto" w:fill="auto"/>
            <w:hideMark/>
          </w:tcPr>
          <w:p w14:paraId="1B5035E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1.6.1</w:t>
            </w:r>
          </w:p>
        </w:tc>
        <w:tc>
          <w:tcPr>
            <w:tcW w:w="1307" w:type="dxa"/>
            <w:tcBorders>
              <w:top w:val="single" w:sz="4" w:space="0" w:color="9CA3AF"/>
              <w:left w:val="nil"/>
              <w:bottom w:val="single" w:sz="4" w:space="0" w:color="9CA3AF"/>
              <w:right w:val="single" w:sz="4" w:space="0" w:color="9CA3AF"/>
            </w:tcBorders>
            <w:shd w:val="clear" w:color="auto" w:fill="auto"/>
            <w:hideMark/>
          </w:tcPr>
          <w:p w14:paraId="6F30068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i Udhëzuesit Kombëtar duke konsoliduar praktikat më të mira të BE-së (ENAA), legjislacionin kombëtar dhe mandatet institucionale, si dhe duke vendosur procedura të qarta për parandalimin, shkëmbimin e informacionit dhe zbutjen e riskut administrativ.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konsultimeve ndërinstitucionale me autoritetet ligjzbatuese dhe tatimore, doganat, inspektoratet, qeverisjen vendore dhe shoqërinë civile, për të konsoliduar Udhëzuesin dhe për të siguruar zbatueshmëri praktike nëpër sektorë.</w:t>
            </w:r>
          </w:p>
        </w:tc>
        <w:tc>
          <w:tcPr>
            <w:tcW w:w="699" w:type="dxa"/>
            <w:tcBorders>
              <w:top w:val="single" w:sz="4" w:space="0" w:color="000000"/>
              <w:left w:val="nil"/>
              <w:bottom w:val="single" w:sz="4" w:space="0" w:color="000000"/>
              <w:right w:val="single" w:sz="4" w:space="0" w:color="000000"/>
            </w:tcBorders>
            <w:shd w:val="clear" w:color="000000" w:fill="FFFFFF"/>
            <w:vAlign w:val="center"/>
            <w:hideMark/>
          </w:tcPr>
          <w:p w14:paraId="20764FD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single" w:sz="4" w:space="0" w:color="9CA3AF"/>
              <w:left w:val="single" w:sz="4" w:space="0" w:color="9CA3AF"/>
              <w:bottom w:val="single" w:sz="4" w:space="0" w:color="9CA3AF"/>
              <w:right w:val="single" w:sz="4" w:space="0" w:color="9CA3AF"/>
            </w:tcBorders>
            <w:shd w:val="clear" w:color="auto" w:fill="auto"/>
            <w:hideMark/>
          </w:tcPr>
          <w:p w14:paraId="75E0CD6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single" w:sz="4" w:space="0" w:color="9CA3AF"/>
              <w:left w:val="nil"/>
              <w:bottom w:val="single" w:sz="4" w:space="0" w:color="9CA3AF"/>
              <w:right w:val="single" w:sz="4" w:space="0" w:color="9CA3AF"/>
            </w:tcBorders>
            <w:shd w:val="clear" w:color="auto" w:fill="auto"/>
            <w:hideMark/>
          </w:tcPr>
          <w:p w14:paraId="4C33F4E1" w14:textId="7518229D"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Qendra për Studimin e Demokracisë dhe Qeverisjes; Agjencia e Inteligjencës Financiare; Drejtoria e Përgjithshme e Doganave; Kontrolli i Lartë i Shtetit;</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Bashkitë</w:t>
            </w:r>
          </w:p>
        </w:tc>
        <w:tc>
          <w:tcPr>
            <w:tcW w:w="439" w:type="dxa"/>
            <w:tcBorders>
              <w:top w:val="single" w:sz="4" w:space="0" w:color="9CA3AF"/>
              <w:left w:val="nil"/>
              <w:bottom w:val="single" w:sz="4" w:space="0" w:color="9CA3AF"/>
              <w:right w:val="single" w:sz="4" w:space="0" w:color="9CA3AF"/>
            </w:tcBorders>
            <w:shd w:val="clear" w:color="auto" w:fill="auto"/>
            <w:hideMark/>
          </w:tcPr>
          <w:p w14:paraId="0046324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2003C62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single" w:sz="4" w:space="0" w:color="9CA3AF"/>
              <w:left w:val="nil"/>
              <w:bottom w:val="single" w:sz="4" w:space="0" w:color="9CA3AF"/>
              <w:right w:val="single" w:sz="4" w:space="0" w:color="9CA3AF"/>
            </w:tcBorders>
            <w:shd w:val="clear" w:color="auto" w:fill="auto"/>
            <w:hideMark/>
          </w:tcPr>
          <w:p w14:paraId="4BD4AEE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791,300</w:t>
            </w:r>
          </w:p>
        </w:tc>
        <w:tc>
          <w:tcPr>
            <w:tcW w:w="1352" w:type="dxa"/>
            <w:tcBorders>
              <w:top w:val="single" w:sz="4" w:space="0" w:color="9CA3AF"/>
              <w:left w:val="nil"/>
              <w:bottom w:val="single" w:sz="4" w:space="0" w:color="9CA3AF"/>
              <w:right w:val="single" w:sz="4" w:space="0" w:color="9CA3AF"/>
            </w:tcBorders>
            <w:shd w:val="clear" w:color="auto" w:fill="auto"/>
            <w:hideMark/>
          </w:tcPr>
          <w:p w14:paraId="39462C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Projekti "Promovimi i përdorimit sistematik të qasjes administrative për të luftuar krimin e organizuar në Shqipëri" i financuar nga Fondi Bullgar i Zhvillimit dhe i zbatuar nga Qendra për Studimin e Demokracisë dhe Qeverisjes</w:t>
            </w:r>
          </w:p>
        </w:tc>
      </w:tr>
      <w:tr w:rsidR="00F54824" w:rsidRPr="002128A6" w14:paraId="0B9A31B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F882A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55C5A3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w:t>
            </w:r>
          </w:p>
        </w:tc>
        <w:tc>
          <w:tcPr>
            <w:tcW w:w="867" w:type="dxa"/>
            <w:tcBorders>
              <w:top w:val="nil"/>
              <w:left w:val="nil"/>
              <w:bottom w:val="single" w:sz="4" w:space="0" w:color="9CA3AF"/>
              <w:right w:val="single" w:sz="4" w:space="0" w:color="9CA3AF"/>
            </w:tcBorders>
            <w:shd w:val="clear" w:color="F1F5F9" w:fill="ECFDF5"/>
            <w:hideMark/>
          </w:tcPr>
          <w:p w14:paraId="1A2B0CD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efektshëm i qasjes administrative për të parandaluar infiltrimin e krimit të organizuar në ekonomi dhe në administratën publike.</w:t>
            </w:r>
          </w:p>
        </w:tc>
        <w:tc>
          <w:tcPr>
            <w:tcW w:w="517" w:type="dxa"/>
            <w:tcBorders>
              <w:top w:val="nil"/>
              <w:left w:val="nil"/>
              <w:bottom w:val="single" w:sz="4" w:space="0" w:color="9CA3AF"/>
              <w:right w:val="single" w:sz="4" w:space="0" w:color="9CA3AF"/>
            </w:tcBorders>
            <w:shd w:val="clear" w:color="F1F5F9" w:fill="ECFDF5"/>
            <w:hideMark/>
          </w:tcPr>
          <w:p w14:paraId="0098E54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1.6.2</w:t>
            </w:r>
          </w:p>
        </w:tc>
        <w:tc>
          <w:tcPr>
            <w:tcW w:w="1007" w:type="dxa"/>
            <w:tcBorders>
              <w:top w:val="nil"/>
              <w:left w:val="nil"/>
              <w:bottom w:val="single" w:sz="4" w:space="0" w:color="9CA3AF"/>
              <w:right w:val="single" w:sz="4" w:space="0" w:color="9CA3AF"/>
            </w:tcBorders>
            <w:shd w:val="clear" w:color="F1F5F9" w:fill="ECFDF5"/>
            <w:hideMark/>
          </w:tcPr>
          <w:p w14:paraId="04A1C09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Ngritja e një rrjeti ndërinstitucional për zbatimin e qasjes administrative, që përfshin të gjitha agjencitë me kompetenca inspektimi dhe licencimi, për shkëmbimin e të dhënave dhe sinjalizimin e rrezikut. </w:t>
            </w:r>
          </w:p>
        </w:tc>
        <w:tc>
          <w:tcPr>
            <w:tcW w:w="524" w:type="dxa"/>
            <w:tcBorders>
              <w:top w:val="nil"/>
              <w:left w:val="nil"/>
              <w:bottom w:val="single" w:sz="4" w:space="0" w:color="9CA3AF"/>
              <w:right w:val="single" w:sz="4" w:space="0" w:color="9CA3AF"/>
            </w:tcBorders>
            <w:shd w:val="clear" w:color="auto" w:fill="auto"/>
            <w:hideMark/>
          </w:tcPr>
          <w:p w14:paraId="4C6575B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1.6.2</w:t>
            </w:r>
          </w:p>
        </w:tc>
        <w:tc>
          <w:tcPr>
            <w:tcW w:w="1307" w:type="dxa"/>
            <w:tcBorders>
              <w:top w:val="nil"/>
              <w:left w:val="nil"/>
              <w:bottom w:val="single" w:sz="4" w:space="0" w:color="9CA3AF"/>
              <w:right w:val="single" w:sz="4" w:space="0" w:color="9CA3AF"/>
            </w:tcBorders>
            <w:shd w:val="clear" w:color="auto" w:fill="auto"/>
            <w:hideMark/>
          </w:tcPr>
          <w:p w14:paraId="6B618FD4" w14:textId="1ABB7BC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Formalizimi i rrjetit ndërinstitucional përmes memorandumeve të bashkëpunimit, duke përcaktuar role, përgjegjësi, protokolle të shkëmbimit të të dhënave dhe procedura të sinjalizimit të rrezikut midis të gjitha organeve të inspektimit dhe licencimit.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Ngritja dhe vënia në punë e një platformë t</w:t>
            </w:r>
            <w:r w:rsidR="009F2103" w:rsidRPr="002128A6">
              <w:rPr>
                <w:rFonts w:ascii="Garamond" w:eastAsia="Times New Roman" w:hAnsi="Garamond" w:cs="Times New Roman"/>
                <w:kern w:val="0"/>
                <w:sz w:val="8"/>
                <w:szCs w:val="8"/>
                <w14:ligatures w14:val="none"/>
              </w:rPr>
              <w:t>ë</w:t>
            </w:r>
            <w:r w:rsidRPr="002128A6">
              <w:rPr>
                <w:rFonts w:ascii="Garamond" w:eastAsia="Times New Roman" w:hAnsi="Garamond" w:cs="Times New Roman"/>
                <w:kern w:val="0"/>
                <w:sz w:val="8"/>
                <w:szCs w:val="8"/>
                <w14:ligatures w14:val="none"/>
              </w:rPr>
              <w:t xml:space="preserve"> sigurt për ndarjen e informacionit, e cila mundëson shkëmbim në kohë reale të të dhënave administrative, sinjalizimeve dhe tregues të rrezikut, midis institucioneve pjesëmarrëse.</w:t>
            </w:r>
          </w:p>
        </w:tc>
        <w:tc>
          <w:tcPr>
            <w:tcW w:w="699" w:type="dxa"/>
            <w:tcBorders>
              <w:top w:val="nil"/>
              <w:left w:val="nil"/>
              <w:bottom w:val="single" w:sz="4" w:space="0" w:color="000000"/>
              <w:right w:val="single" w:sz="4" w:space="0" w:color="000000"/>
            </w:tcBorders>
            <w:shd w:val="clear" w:color="000000" w:fill="FFFFFF"/>
            <w:vAlign w:val="center"/>
            <w:hideMark/>
          </w:tcPr>
          <w:p w14:paraId="18D7A84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single" w:sz="4" w:space="0" w:color="9CA3AF"/>
              <w:bottom w:val="single" w:sz="4" w:space="0" w:color="9CA3AF"/>
              <w:right w:val="single" w:sz="4" w:space="0" w:color="9CA3AF"/>
            </w:tcBorders>
            <w:shd w:val="clear" w:color="auto" w:fill="auto"/>
            <w:hideMark/>
          </w:tcPr>
          <w:p w14:paraId="245EC9B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nil"/>
              <w:left w:val="nil"/>
              <w:bottom w:val="single" w:sz="4" w:space="0" w:color="9CA3AF"/>
              <w:right w:val="single" w:sz="4" w:space="0" w:color="9CA3AF"/>
            </w:tcBorders>
            <w:shd w:val="clear" w:color="auto" w:fill="auto"/>
            <w:hideMark/>
          </w:tcPr>
          <w:p w14:paraId="636D2DD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Qendra për Studimin e Demokracisë dhe Qeverisjes; Agjencia e Inteligjencës Financiare; Drejtoria e Përgjithshme e Tatimeve;Drejtoria e Përgjithshme e Doganave; Kontrolli i Lartë i Shtetit; Agjencia Kombëtare e Shoqërisë së Informacionit; ASIG; Bashkitë</w:t>
            </w:r>
          </w:p>
        </w:tc>
        <w:tc>
          <w:tcPr>
            <w:tcW w:w="439" w:type="dxa"/>
            <w:tcBorders>
              <w:top w:val="nil"/>
              <w:left w:val="nil"/>
              <w:bottom w:val="single" w:sz="4" w:space="0" w:color="9CA3AF"/>
              <w:right w:val="single" w:sz="4" w:space="0" w:color="9CA3AF"/>
            </w:tcBorders>
            <w:shd w:val="clear" w:color="auto" w:fill="auto"/>
            <w:hideMark/>
          </w:tcPr>
          <w:p w14:paraId="6E85AD4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955AB3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nil"/>
              <w:left w:val="nil"/>
              <w:bottom w:val="single" w:sz="4" w:space="0" w:color="9CA3AF"/>
              <w:right w:val="single" w:sz="4" w:space="0" w:color="9CA3AF"/>
            </w:tcBorders>
            <w:shd w:val="clear" w:color="auto" w:fill="auto"/>
            <w:hideMark/>
          </w:tcPr>
          <w:p w14:paraId="0696A48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181,420</w:t>
            </w:r>
          </w:p>
        </w:tc>
        <w:tc>
          <w:tcPr>
            <w:tcW w:w="1352" w:type="dxa"/>
            <w:tcBorders>
              <w:top w:val="nil"/>
              <w:left w:val="nil"/>
              <w:bottom w:val="single" w:sz="4" w:space="0" w:color="9CA3AF"/>
              <w:right w:val="single" w:sz="4" w:space="0" w:color="9CA3AF"/>
            </w:tcBorders>
            <w:shd w:val="clear" w:color="auto" w:fill="auto"/>
            <w:hideMark/>
          </w:tcPr>
          <w:p w14:paraId="5C322AA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Projekti "Promovimi i përdorimit sistematik të qasjes administrative për të luftuar krimin e organizuar në Shqipëri" i financuar nga Fondi Bullgar i Zhvillimit dhe i zbatuar nga Qendra për Studimin e Demokracisë dhe Qeverisjes</w:t>
            </w:r>
          </w:p>
        </w:tc>
      </w:tr>
      <w:tr w:rsidR="00F54824" w:rsidRPr="002128A6" w14:paraId="55CD1940"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571068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4C15325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w:t>
            </w:r>
          </w:p>
        </w:tc>
        <w:tc>
          <w:tcPr>
            <w:tcW w:w="867" w:type="dxa"/>
            <w:tcBorders>
              <w:top w:val="nil"/>
              <w:left w:val="nil"/>
              <w:bottom w:val="single" w:sz="4" w:space="0" w:color="9CA3AF"/>
              <w:right w:val="single" w:sz="4" w:space="0" w:color="9CA3AF"/>
            </w:tcBorders>
            <w:shd w:val="clear" w:color="F1F5F9" w:fill="ECFDF5"/>
            <w:hideMark/>
          </w:tcPr>
          <w:p w14:paraId="64398C7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efektshëm i qasjes administrative për të parandaluar infiltrimin e krimit të organizuar në ekonomi dhe në administratën publike.</w:t>
            </w:r>
          </w:p>
        </w:tc>
        <w:tc>
          <w:tcPr>
            <w:tcW w:w="517" w:type="dxa"/>
            <w:tcBorders>
              <w:top w:val="nil"/>
              <w:left w:val="nil"/>
              <w:bottom w:val="single" w:sz="4" w:space="0" w:color="9CA3AF"/>
              <w:right w:val="single" w:sz="4" w:space="0" w:color="9CA3AF"/>
            </w:tcBorders>
            <w:shd w:val="clear" w:color="F1F5F9" w:fill="ECFDF5"/>
            <w:hideMark/>
          </w:tcPr>
          <w:p w14:paraId="0ECDE4E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1.6.3</w:t>
            </w:r>
          </w:p>
        </w:tc>
        <w:tc>
          <w:tcPr>
            <w:tcW w:w="1007" w:type="dxa"/>
            <w:tcBorders>
              <w:top w:val="nil"/>
              <w:left w:val="nil"/>
              <w:bottom w:val="single" w:sz="4" w:space="0" w:color="9CA3AF"/>
              <w:right w:val="single" w:sz="4" w:space="0" w:color="9CA3AF"/>
            </w:tcBorders>
            <w:shd w:val="clear" w:color="F1F5F9" w:fill="ECFDF5"/>
            <w:hideMark/>
          </w:tcPr>
          <w:p w14:paraId="0BD2620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Ngritja e mekanizmave të verifikimit të integritetit për operatorët ekonomikë që marrin pjesë në tenderë publikë, licenca, ose subvencione shtetërore, përmes filtrave të bazuar në të dhëna administrative. </w:t>
            </w:r>
          </w:p>
        </w:tc>
        <w:tc>
          <w:tcPr>
            <w:tcW w:w="524" w:type="dxa"/>
            <w:tcBorders>
              <w:top w:val="nil"/>
              <w:left w:val="nil"/>
              <w:bottom w:val="single" w:sz="4" w:space="0" w:color="9CA3AF"/>
              <w:right w:val="single" w:sz="4" w:space="0" w:color="9CA3AF"/>
            </w:tcBorders>
            <w:shd w:val="clear" w:color="auto" w:fill="auto"/>
            <w:hideMark/>
          </w:tcPr>
          <w:p w14:paraId="2108968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1.6.3</w:t>
            </w:r>
          </w:p>
        </w:tc>
        <w:tc>
          <w:tcPr>
            <w:tcW w:w="1307" w:type="dxa"/>
            <w:tcBorders>
              <w:top w:val="nil"/>
              <w:left w:val="nil"/>
              <w:bottom w:val="single" w:sz="4" w:space="0" w:color="9CA3AF"/>
              <w:right w:val="single" w:sz="4" w:space="0" w:color="9CA3AF"/>
            </w:tcBorders>
            <w:shd w:val="clear" w:color="auto" w:fill="auto"/>
            <w:hideMark/>
          </w:tcPr>
          <w:p w14:paraId="6183213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Miratimi dhe zbatimi i filtrave administrativë të integritetit, bazuar në të dhënat tatimore, historikun e licencimit, konstatimet e inspektimeve, informacionin për pronësinë përfituese dhe sinjalizimet e autoriteteve ligjzbatuese, me qëllim skanimin e operatorëve ekonomikë përpara se të merren vendimet publike.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Integrimi i procedurave të verifikimit të integritetit në praktikat e prokurimit, licencimit dhe subvencionit, duke siguruar që operatorët me rrezik të lartë të sinjalizohen, rishikohen ose përjashtohen në përputhje me dispozitat ligjore.</w:t>
            </w:r>
          </w:p>
        </w:tc>
        <w:tc>
          <w:tcPr>
            <w:tcW w:w="699" w:type="dxa"/>
            <w:tcBorders>
              <w:top w:val="nil"/>
              <w:left w:val="nil"/>
              <w:bottom w:val="single" w:sz="4" w:space="0" w:color="000000"/>
              <w:right w:val="single" w:sz="4" w:space="0" w:color="000000"/>
            </w:tcBorders>
            <w:shd w:val="clear" w:color="000000" w:fill="FFFFFF"/>
            <w:vAlign w:val="center"/>
            <w:hideMark/>
          </w:tcPr>
          <w:p w14:paraId="7E9E1DF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single" w:sz="4" w:space="0" w:color="9CA3AF"/>
              <w:bottom w:val="single" w:sz="4" w:space="0" w:color="9CA3AF"/>
              <w:right w:val="single" w:sz="4" w:space="0" w:color="9CA3AF"/>
            </w:tcBorders>
            <w:shd w:val="clear" w:color="auto" w:fill="auto"/>
            <w:hideMark/>
          </w:tcPr>
          <w:p w14:paraId="12F03E3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nil"/>
              <w:left w:val="nil"/>
              <w:bottom w:val="single" w:sz="4" w:space="0" w:color="9CA3AF"/>
              <w:right w:val="single" w:sz="4" w:space="0" w:color="9CA3AF"/>
            </w:tcBorders>
            <w:shd w:val="clear" w:color="auto" w:fill="auto"/>
            <w:hideMark/>
          </w:tcPr>
          <w:p w14:paraId="258E666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Qendra për Studimin e Demokracisë dhe Qeverisjes; Agjencia e Inteligjencës Financiare; Drejtoria e Përgjithshme e Tatimeve;Drejtoria e Përgjithshme e Doganave; Kontrolli i Lartë i Shtetit; Agjencia Kombëtare e Shoqërisë së Informacionit; ASIG; Bashkitë</w:t>
            </w:r>
          </w:p>
        </w:tc>
        <w:tc>
          <w:tcPr>
            <w:tcW w:w="439" w:type="dxa"/>
            <w:tcBorders>
              <w:top w:val="nil"/>
              <w:left w:val="nil"/>
              <w:bottom w:val="single" w:sz="4" w:space="0" w:color="9CA3AF"/>
              <w:right w:val="single" w:sz="4" w:space="0" w:color="9CA3AF"/>
            </w:tcBorders>
            <w:shd w:val="clear" w:color="auto" w:fill="auto"/>
            <w:hideMark/>
          </w:tcPr>
          <w:p w14:paraId="62FBEC7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5AA6F2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nil"/>
              <w:left w:val="nil"/>
              <w:bottom w:val="single" w:sz="4" w:space="0" w:color="9CA3AF"/>
              <w:right w:val="single" w:sz="4" w:space="0" w:color="9CA3AF"/>
            </w:tcBorders>
            <w:shd w:val="clear" w:color="auto" w:fill="auto"/>
            <w:hideMark/>
          </w:tcPr>
          <w:p w14:paraId="2677560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540,400</w:t>
            </w:r>
          </w:p>
        </w:tc>
        <w:tc>
          <w:tcPr>
            <w:tcW w:w="1352" w:type="dxa"/>
            <w:tcBorders>
              <w:top w:val="nil"/>
              <w:left w:val="nil"/>
              <w:bottom w:val="single" w:sz="4" w:space="0" w:color="9CA3AF"/>
              <w:right w:val="single" w:sz="4" w:space="0" w:color="9CA3AF"/>
            </w:tcBorders>
            <w:shd w:val="clear" w:color="auto" w:fill="auto"/>
            <w:hideMark/>
          </w:tcPr>
          <w:p w14:paraId="4B2B439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Projekti "Promovimi i përdorimit sistematik të qasjes administrative për të luftuar krimin e organizuar në Shqipëri" i financuar nga Fondi Bullgar i Zhvillimit dhe i zbatuar nga Qendra për Studimin e Demokracisë dhe Qeverisjes</w:t>
            </w:r>
          </w:p>
        </w:tc>
      </w:tr>
      <w:tr w:rsidR="00F54824" w:rsidRPr="002128A6" w14:paraId="235BAA5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84E8F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w:t>
            </w:r>
          </w:p>
        </w:tc>
        <w:tc>
          <w:tcPr>
            <w:tcW w:w="330" w:type="dxa"/>
            <w:tcBorders>
              <w:top w:val="nil"/>
              <w:left w:val="nil"/>
              <w:bottom w:val="single" w:sz="4" w:space="0" w:color="9CA3AF"/>
              <w:right w:val="single" w:sz="4" w:space="0" w:color="9CA3AF"/>
            </w:tcBorders>
            <w:shd w:val="clear" w:color="F1F5F9" w:fill="ECFDF5"/>
            <w:hideMark/>
          </w:tcPr>
          <w:p w14:paraId="38F0A13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w:t>
            </w:r>
          </w:p>
        </w:tc>
        <w:tc>
          <w:tcPr>
            <w:tcW w:w="867" w:type="dxa"/>
            <w:tcBorders>
              <w:top w:val="nil"/>
              <w:left w:val="nil"/>
              <w:bottom w:val="single" w:sz="4" w:space="0" w:color="9CA3AF"/>
              <w:right w:val="single" w:sz="4" w:space="0" w:color="9CA3AF"/>
            </w:tcBorders>
            <w:shd w:val="clear" w:color="F1F5F9" w:fill="ECFDF5"/>
            <w:hideMark/>
          </w:tcPr>
          <w:p w14:paraId="026595B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efektshëm i qasjes administrative për të parandaluar infiltrimin e krimit të organizuar në ekonomi dhe në administratën publike.</w:t>
            </w:r>
          </w:p>
        </w:tc>
        <w:tc>
          <w:tcPr>
            <w:tcW w:w="517" w:type="dxa"/>
            <w:tcBorders>
              <w:top w:val="nil"/>
              <w:left w:val="nil"/>
              <w:bottom w:val="single" w:sz="4" w:space="0" w:color="9CA3AF"/>
              <w:right w:val="single" w:sz="4" w:space="0" w:color="9CA3AF"/>
            </w:tcBorders>
            <w:shd w:val="clear" w:color="F1F5F9" w:fill="ECFDF5"/>
            <w:hideMark/>
          </w:tcPr>
          <w:p w14:paraId="0E2D8C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1.6.4</w:t>
            </w:r>
          </w:p>
        </w:tc>
        <w:tc>
          <w:tcPr>
            <w:tcW w:w="1007" w:type="dxa"/>
            <w:tcBorders>
              <w:top w:val="nil"/>
              <w:left w:val="nil"/>
              <w:bottom w:val="single" w:sz="4" w:space="0" w:color="9CA3AF"/>
              <w:right w:val="single" w:sz="4" w:space="0" w:color="9CA3AF"/>
            </w:tcBorders>
            <w:shd w:val="clear" w:color="F1F5F9" w:fill="ECFDF5"/>
            <w:hideMark/>
          </w:tcPr>
          <w:p w14:paraId="04706673" w14:textId="30C5206E"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Trajnimi i zyrtarëve të administratës publike dhe vendore mbi qasjen administrative, menaxhimin e rrezikut dhe parandalimin e infiltrimit kriminal në vendimmarrjen administrative.</w:t>
            </w:r>
            <w:r w:rsidR="00F54824" w:rsidRPr="002128A6">
              <w:rPr>
                <w:rFonts w:ascii="Garamond" w:eastAsia="Times New Roman" w:hAnsi="Garamond" w:cs="Times New Roman"/>
                <w:kern w:val="0"/>
                <w:sz w:val="8"/>
                <w:szCs w:val="8"/>
                <w14:ligatures w14:val="none"/>
              </w:rPr>
              <w:t xml:space="preserve"> </w:t>
            </w:r>
          </w:p>
        </w:tc>
        <w:tc>
          <w:tcPr>
            <w:tcW w:w="524" w:type="dxa"/>
            <w:tcBorders>
              <w:top w:val="nil"/>
              <w:left w:val="nil"/>
              <w:bottom w:val="single" w:sz="4" w:space="0" w:color="9CA3AF"/>
              <w:right w:val="single" w:sz="4" w:space="0" w:color="9CA3AF"/>
            </w:tcBorders>
            <w:shd w:val="clear" w:color="auto" w:fill="auto"/>
            <w:hideMark/>
          </w:tcPr>
          <w:p w14:paraId="67170D2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1.6.4</w:t>
            </w:r>
          </w:p>
        </w:tc>
        <w:tc>
          <w:tcPr>
            <w:tcW w:w="1307" w:type="dxa"/>
            <w:tcBorders>
              <w:top w:val="nil"/>
              <w:left w:val="nil"/>
              <w:bottom w:val="single" w:sz="4" w:space="0" w:color="9CA3AF"/>
              <w:right w:val="single" w:sz="4" w:space="0" w:color="9CA3AF"/>
            </w:tcBorders>
            <w:shd w:val="clear" w:color="auto" w:fill="auto"/>
            <w:hideMark/>
          </w:tcPr>
          <w:p w14:paraId="7A5FDCD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Trajnimi i zyrtarëve të administratës publike dhe vendore mbi qasjen administrative, menaxhimin e rrezikut dhe parandalimin e infiltrimit kriminal.</w:t>
            </w:r>
          </w:p>
        </w:tc>
        <w:tc>
          <w:tcPr>
            <w:tcW w:w="699" w:type="dxa"/>
            <w:tcBorders>
              <w:top w:val="nil"/>
              <w:left w:val="nil"/>
              <w:bottom w:val="single" w:sz="4" w:space="0" w:color="000000"/>
              <w:right w:val="single" w:sz="4" w:space="0" w:color="000000"/>
            </w:tcBorders>
            <w:shd w:val="clear" w:color="000000" w:fill="FFFFFF"/>
            <w:vAlign w:val="center"/>
            <w:hideMark/>
          </w:tcPr>
          <w:p w14:paraId="4AA912BB"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single" w:sz="4" w:space="0" w:color="9CA3AF"/>
              <w:bottom w:val="single" w:sz="4" w:space="0" w:color="9CA3AF"/>
              <w:right w:val="single" w:sz="4" w:space="0" w:color="9CA3AF"/>
            </w:tcBorders>
            <w:shd w:val="clear" w:color="auto" w:fill="auto"/>
            <w:hideMark/>
          </w:tcPr>
          <w:p w14:paraId="534060E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nil"/>
              <w:left w:val="nil"/>
              <w:bottom w:val="single" w:sz="4" w:space="0" w:color="9CA3AF"/>
              <w:right w:val="single" w:sz="4" w:space="0" w:color="9CA3AF"/>
            </w:tcBorders>
            <w:shd w:val="clear" w:color="auto" w:fill="auto"/>
            <w:hideMark/>
          </w:tcPr>
          <w:p w14:paraId="67D371D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Qendra për Studimin e Demokracisë dhe Qeverisjes; Shkolla Shqiptare e Administratës Publike; Ministria e Financave; Drejtoria e Përgjithshme e Tatimeve; Bashkitë</w:t>
            </w:r>
          </w:p>
        </w:tc>
        <w:tc>
          <w:tcPr>
            <w:tcW w:w="439" w:type="dxa"/>
            <w:tcBorders>
              <w:top w:val="nil"/>
              <w:left w:val="nil"/>
              <w:bottom w:val="single" w:sz="4" w:space="0" w:color="9CA3AF"/>
              <w:right w:val="single" w:sz="4" w:space="0" w:color="9CA3AF"/>
            </w:tcBorders>
            <w:shd w:val="clear" w:color="auto" w:fill="auto"/>
            <w:hideMark/>
          </w:tcPr>
          <w:p w14:paraId="35C3F83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A17048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nil"/>
              <w:left w:val="nil"/>
              <w:bottom w:val="single" w:sz="4" w:space="0" w:color="9CA3AF"/>
              <w:right w:val="single" w:sz="4" w:space="0" w:color="9CA3AF"/>
            </w:tcBorders>
            <w:shd w:val="clear" w:color="auto" w:fill="auto"/>
            <w:hideMark/>
          </w:tcPr>
          <w:p w14:paraId="20160DC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518,688</w:t>
            </w:r>
          </w:p>
        </w:tc>
        <w:tc>
          <w:tcPr>
            <w:tcW w:w="1352" w:type="dxa"/>
            <w:tcBorders>
              <w:top w:val="nil"/>
              <w:left w:val="nil"/>
              <w:bottom w:val="single" w:sz="4" w:space="0" w:color="9CA3AF"/>
              <w:right w:val="single" w:sz="4" w:space="0" w:color="9CA3AF"/>
            </w:tcBorders>
            <w:shd w:val="clear" w:color="auto" w:fill="auto"/>
            <w:hideMark/>
          </w:tcPr>
          <w:p w14:paraId="091C725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Projekti "Promovimi i përdorimit sistematik të qasjes administrative për të luftuar krimin e organizuar në Shqipëri" i financuar nga Fondi Bullgar i Zhvillimit dhe i zbatuar nga Qendra për Studimin e Demokracisë dhe Qeverisjes</w:t>
            </w:r>
          </w:p>
        </w:tc>
      </w:tr>
      <w:tr w:rsidR="00F54824" w:rsidRPr="002128A6" w14:paraId="6C5A9852"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0EA33FBA"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1.6</w:t>
            </w:r>
          </w:p>
        </w:tc>
        <w:tc>
          <w:tcPr>
            <w:tcW w:w="649" w:type="dxa"/>
            <w:tcBorders>
              <w:top w:val="nil"/>
              <w:left w:val="nil"/>
              <w:bottom w:val="nil"/>
              <w:right w:val="nil"/>
            </w:tcBorders>
            <w:shd w:val="clear" w:color="FDEADA" w:fill="FEF3C7"/>
            <w:noWrap/>
            <w:vAlign w:val="bottom"/>
            <w:hideMark/>
          </w:tcPr>
          <w:p w14:paraId="27D06DCE"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2,031,808</w:t>
            </w:r>
          </w:p>
        </w:tc>
        <w:tc>
          <w:tcPr>
            <w:tcW w:w="1352" w:type="dxa"/>
            <w:tcBorders>
              <w:top w:val="nil"/>
              <w:left w:val="nil"/>
              <w:bottom w:val="nil"/>
              <w:right w:val="nil"/>
            </w:tcBorders>
            <w:shd w:val="clear" w:color="auto" w:fill="auto"/>
            <w:noWrap/>
            <w:vAlign w:val="bottom"/>
            <w:hideMark/>
          </w:tcPr>
          <w:p w14:paraId="02114A43"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0F670EFD" w14:textId="77777777" w:rsidTr="00C42826">
        <w:trPr>
          <w:trHeight w:val="20"/>
        </w:trPr>
        <w:tc>
          <w:tcPr>
            <w:tcW w:w="10916" w:type="dxa"/>
            <w:gridSpan w:val="14"/>
            <w:tcBorders>
              <w:top w:val="nil"/>
              <w:left w:val="nil"/>
              <w:bottom w:val="nil"/>
              <w:right w:val="nil"/>
            </w:tcBorders>
            <w:shd w:val="clear" w:color="4472C4" w:fill="2563EB"/>
            <w:noWrap/>
            <w:vAlign w:val="center"/>
            <w:hideMark/>
          </w:tcPr>
          <w:p w14:paraId="6A927388"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QËLLIMI POLITIK II — NDJEKJA PENALE DHE GODITJA E KRIMIT TË ORGANIZUAR DHE KRIMEVE TË RËNDA</w:t>
            </w:r>
          </w:p>
        </w:tc>
      </w:tr>
      <w:tr w:rsidR="00F54824" w:rsidRPr="002128A6" w14:paraId="1D2124C1"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7FB6A692"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2.1 — Reduktimi i disponueshmërisë, prodhimit dhe trafikimit të narkotikëve përmes forcimit të zbulimit, hetimit dhe koordinimit ndërinstitucional.</w:t>
            </w:r>
          </w:p>
        </w:tc>
      </w:tr>
      <w:tr w:rsidR="00F54824" w:rsidRPr="002128A6" w14:paraId="10B60CCB"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1B8BC16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5B8661B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single" w:sz="4" w:space="0" w:color="9CA3AF"/>
              <w:left w:val="nil"/>
              <w:bottom w:val="single" w:sz="4" w:space="0" w:color="9CA3AF"/>
              <w:right w:val="single" w:sz="4" w:space="0" w:color="9CA3AF"/>
            </w:tcBorders>
            <w:shd w:val="clear" w:color="F1F5F9" w:fill="ECFDF5"/>
            <w:hideMark/>
          </w:tcPr>
          <w:p w14:paraId="4D60255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single" w:sz="4" w:space="0" w:color="9CA3AF"/>
              <w:left w:val="nil"/>
              <w:bottom w:val="single" w:sz="4" w:space="0" w:color="9CA3AF"/>
              <w:right w:val="single" w:sz="4" w:space="0" w:color="9CA3AF"/>
            </w:tcBorders>
            <w:shd w:val="clear" w:color="F1F5F9" w:fill="ECFDF5"/>
            <w:hideMark/>
          </w:tcPr>
          <w:p w14:paraId="7C845AD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7C9E79D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Goditja në fushën e narkotikëve përmes operacioneve të zbulimit të udhëhequra nga inteligjenca dhe teknologjia, përfshirë përdorimin sistematik të inteligjencës kriminale, mjeteve analitike, kapaciteteve të mbikëqyrjes dhe veprimeve operacionale të synuara për të identifikuar, ndërprerë dhe shkatërruar rrjetet kriminale të lidhura me drogën.</w:t>
            </w:r>
          </w:p>
        </w:tc>
        <w:tc>
          <w:tcPr>
            <w:tcW w:w="524" w:type="dxa"/>
            <w:tcBorders>
              <w:top w:val="single" w:sz="4" w:space="0" w:color="9CA3AF"/>
              <w:left w:val="nil"/>
              <w:bottom w:val="single" w:sz="4" w:space="0" w:color="9CA3AF"/>
              <w:right w:val="single" w:sz="4" w:space="0" w:color="9CA3AF"/>
            </w:tcBorders>
            <w:shd w:val="clear" w:color="auto" w:fill="auto"/>
            <w:hideMark/>
          </w:tcPr>
          <w:p w14:paraId="66B632A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2.1.1</w:t>
            </w:r>
          </w:p>
        </w:tc>
        <w:tc>
          <w:tcPr>
            <w:tcW w:w="1307" w:type="dxa"/>
            <w:tcBorders>
              <w:top w:val="single" w:sz="4" w:space="0" w:color="9CA3AF"/>
              <w:left w:val="nil"/>
              <w:bottom w:val="single" w:sz="4" w:space="0" w:color="9CA3AF"/>
              <w:right w:val="single" w:sz="4" w:space="0" w:color="9CA3AF"/>
            </w:tcBorders>
            <w:shd w:val="clear" w:color="auto" w:fill="auto"/>
            <w:hideMark/>
          </w:tcPr>
          <w:p w14:paraId="76C23E5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operacioneve të zbulimit të udhëhequra nga inteligjenca dhe teknologjia, duke kryer veprime të shënjestruara bazuar në inteligjencën kriminale, mjetet analitike dhe kapacitetet e mbikëqyrjes, me qëllim identifikimin dhe goditjen e rrjeteve të lidhura me drogën.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Përmirësimi i efektivitetit operacional përmes instalimit, të koordinuar dhe të bazuar në rrezik, të sistemeve të zbulimit teknologjik si skanerët, dronet dhe njësitë mobile të mbikëqyrjes në zonat me rrezik të lartë, me qëllim mbështetjen e ndërhyrjeve proaktive.</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F1568" w14:textId="63FE9C15"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single" w:sz="4" w:space="0" w:color="9CA3AF"/>
              <w:left w:val="single" w:sz="4" w:space="0" w:color="9CA3AF"/>
              <w:bottom w:val="single" w:sz="4" w:space="0" w:color="9CA3AF"/>
              <w:right w:val="single" w:sz="4" w:space="0" w:color="9CA3AF"/>
            </w:tcBorders>
            <w:shd w:val="clear" w:color="auto" w:fill="auto"/>
            <w:hideMark/>
          </w:tcPr>
          <w:p w14:paraId="4D45036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9CA3AF"/>
              <w:left w:val="nil"/>
              <w:bottom w:val="single" w:sz="4" w:space="0" w:color="9CA3AF"/>
              <w:right w:val="single" w:sz="4" w:space="0" w:color="9CA3AF"/>
            </w:tcBorders>
            <w:shd w:val="clear" w:color="auto" w:fill="auto"/>
            <w:hideMark/>
          </w:tcPr>
          <w:p w14:paraId="6BA18C31" w14:textId="7DAAD7C8"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 Policia Ushtarake; Agjencia e Inteligjencës dhe Sigurisë së Mbrojtjes; Shërbimi Informativ i Shtetit Drejtoria e Përgjithshme e Doganave;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Ministria e Shëndetësisë dhe Mirëqenies Sociale;</w:t>
            </w:r>
          </w:p>
        </w:tc>
        <w:tc>
          <w:tcPr>
            <w:tcW w:w="439" w:type="dxa"/>
            <w:tcBorders>
              <w:top w:val="single" w:sz="4" w:space="0" w:color="9CA3AF"/>
              <w:left w:val="nil"/>
              <w:bottom w:val="single" w:sz="4" w:space="0" w:color="9CA3AF"/>
              <w:right w:val="single" w:sz="4" w:space="0" w:color="9CA3AF"/>
            </w:tcBorders>
            <w:shd w:val="clear" w:color="auto" w:fill="auto"/>
            <w:hideMark/>
          </w:tcPr>
          <w:p w14:paraId="2F8C2FF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3018A31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3C35A86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718B868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875B6C9"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315908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5D5566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304FDA9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0281254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2.1.2</w:t>
            </w:r>
          </w:p>
        </w:tc>
        <w:tc>
          <w:tcPr>
            <w:tcW w:w="1007" w:type="dxa"/>
            <w:tcBorders>
              <w:top w:val="nil"/>
              <w:left w:val="nil"/>
              <w:bottom w:val="single" w:sz="4" w:space="0" w:color="9CA3AF"/>
              <w:right w:val="single" w:sz="4" w:space="0" w:color="9CA3AF"/>
            </w:tcBorders>
            <w:shd w:val="clear" w:color="F1F5F9" w:fill="ECFDF5"/>
            <w:hideMark/>
          </w:tcPr>
          <w:p w14:paraId="2F80C40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Përditësimi dhe mirëmbajtja i bazës së veçantë të të dhënave për kultivimin e bimëve narkotike me informacion nga të gjitha burimet e mundshme të brendshme dhe të jashtme, përfshirë raportimin e autoriteteve ligjzbatuese, konstatimet e monitorimit në distancë, informacionin gjyqësor dhe kontributet e partnerëve ndërkombëtarë, për të mbështetur analizën e rrezikut, synimin dhe planifikimin operacional.</w:t>
            </w:r>
          </w:p>
        </w:tc>
        <w:tc>
          <w:tcPr>
            <w:tcW w:w="524" w:type="dxa"/>
            <w:tcBorders>
              <w:top w:val="nil"/>
              <w:left w:val="nil"/>
              <w:bottom w:val="single" w:sz="4" w:space="0" w:color="9CA3AF"/>
              <w:right w:val="single" w:sz="4" w:space="0" w:color="9CA3AF"/>
            </w:tcBorders>
            <w:shd w:val="clear" w:color="auto" w:fill="auto"/>
            <w:hideMark/>
          </w:tcPr>
          <w:p w14:paraId="79ED1E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2.1.2</w:t>
            </w:r>
          </w:p>
        </w:tc>
        <w:tc>
          <w:tcPr>
            <w:tcW w:w="1307" w:type="dxa"/>
            <w:tcBorders>
              <w:top w:val="nil"/>
              <w:left w:val="nil"/>
              <w:bottom w:val="single" w:sz="4" w:space="0" w:color="9CA3AF"/>
              <w:right w:val="single" w:sz="4" w:space="0" w:color="9CA3AF"/>
            </w:tcBorders>
            <w:shd w:val="clear" w:color="auto" w:fill="auto"/>
            <w:hideMark/>
          </w:tcPr>
          <w:p w14:paraId="18ACA3AF" w14:textId="0ED6B7EA"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Përditësimi i vazhdueshëm i bazës së veçantë të të dhënave për kultivimin e bimëve narkotike, duke integruar informacion nga raportimet e autoriteteve ligjzbatuese, monitorimi në distancë, të dhënat gjyqësore dhe partnerët ndërkombëtarë.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Përgatitja e përmbledhjeve analitike periodike nga baza e të dhënave, për të mbështetur analizën e rrezikut, planifikimin</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operacional dhe identifikimin e hershëm të tendencave të reja të kultivimit.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2102E8B" w14:textId="343DF9D4"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single" w:sz="4" w:space="0" w:color="9CA3AF"/>
              <w:bottom w:val="single" w:sz="4" w:space="0" w:color="9CA3AF"/>
              <w:right w:val="single" w:sz="4" w:space="0" w:color="9CA3AF"/>
            </w:tcBorders>
            <w:shd w:val="clear" w:color="auto" w:fill="auto"/>
            <w:hideMark/>
          </w:tcPr>
          <w:p w14:paraId="31D6464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04535CC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0D1AF43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E18BFF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68977F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2CB33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875C86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6F1F4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B30E37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5D93684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disponueshmërisë, prodhimit dhe trafikimit të narkotikëve përmes </w:t>
            </w:r>
            <w:r w:rsidRPr="002128A6">
              <w:rPr>
                <w:rFonts w:ascii="Garamond" w:eastAsia="Times New Roman" w:hAnsi="Garamond" w:cs="Times New Roman"/>
                <w:kern w:val="0"/>
                <w:sz w:val="8"/>
                <w:szCs w:val="8"/>
                <w14:ligatures w14:val="none"/>
              </w:rPr>
              <w:lastRenderedPageBreak/>
              <w:t>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7B155FE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2.1.3</w:t>
            </w:r>
          </w:p>
        </w:tc>
        <w:tc>
          <w:tcPr>
            <w:tcW w:w="1007" w:type="dxa"/>
            <w:tcBorders>
              <w:top w:val="nil"/>
              <w:left w:val="nil"/>
              <w:bottom w:val="single" w:sz="4" w:space="0" w:color="9CA3AF"/>
              <w:right w:val="single" w:sz="4" w:space="0" w:color="9CA3AF"/>
            </w:tcBorders>
            <w:shd w:val="clear" w:color="F1F5F9" w:fill="ECFDF5"/>
            <w:hideMark/>
          </w:tcPr>
          <w:p w14:paraId="7E0C625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bashkëpunimit ndërinstitucional dhe efikasitetit me agjencitë e ligjzbatuese, si Prokuroria e Posaçme kundër </w:t>
            </w:r>
            <w:r w:rsidRPr="002128A6">
              <w:rPr>
                <w:rFonts w:ascii="Garamond" w:eastAsia="Times New Roman" w:hAnsi="Garamond" w:cs="Times New Roman"/>
                <w:kern w:val="0"/>
                <w:sz w:val="8"/>
                <w:szCs w:val="8"/>
                <w14:ligatures w14:val="none"/>
              </w:rPr>
              <w:lastRenderedPageBreak/>
              <w:t xml:space="preserve">Korrupsionit dhe Krimit të Organizuar, BKH-ja dhe Prokuroritë me Juridiksion të Përgjithshëm, përmes aktiviteteve periodike të përbashkëta për çështje specifike, me qëllim operacionet e përbashkëta kundër krimit të organizuar që synojnë rritjen e zbulimit, hetimit dhe ndjekjes penale të veprave penale përfshirë përmes protokolleve të bashkëpunimit, planifikimit të koordinuar operacional, dhe trajnimeve të përbashkëta. </w:t>
            </w:r>
          </w:p>
        </w:tc>
        <w:tc>
          <w:tcPr>
            <w:tcW w:w="524" w:type="dxa"/>
            <w:tcBorders>
              <w:top w:val="nil"/>
              <w:left w:val="nil"/>
              <w:bottom w:val="single" w:sz="4" w:space="0" w:color="9CA3AF"/>
              <w:right w:val="single" w:sz="4" w:space="0" w:color="9CA3AF"/>
            </w:tcBorders>
            <w:shd w:val="clear" w:color="auto" w:fill="auto"/>
            <w:hideMark/>
          </w:tcPr>
          <w:p w14:paraId="3C25FD4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2.1.3</w:t>
            </w:r>
          </w:p>
        </w:tc>
        <w:tc>
          <w:tcPr>
            <w:tcW w:w="1307" w:type="dxa"/>
            <w:tcBorders>
              <w:top w:val="nil"/>
              <w:left w:val="nil"/>
              <w:bottom w:val="single" w:sz="4" w:space="0" w:color="9CA3AF"/>
              <w:right w:val="single" w:sz="4" w:space="0" w:color="9CA3AF"/>
            </w:tcBorders>
            <w:shd w:val="clear" w:color="auto" w:fill="auto"/>
            <w:hideMark/>
          </w:tcPr>
          <w:p w14:paraId="1872338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Organizimi i takimeve periodike të koordinimit, seminareve tematike dhe sesioneve të përbashkëta të planifikimit me SPAK-un, BKH-në dhe prokurorët me juridiksion të </w:t>
            </w:r>
            <w:r w:rsidRPr="002128A6">
              <w:rPr>
                <w:rFonts w:ascii="Garamond" w:eastAsia="Times New Roman" w:hAnsi="Garamond" w:cs="Times New Roman"/>
                <w:kern w:val="0"/>
                <w:sz w:val="8"/>
                <w:szCs w:val="8"/>
                <w14:ligatures w14:val="none"/>
              </w:rPr>
              <w:lastRenderedPageBreak/>
              <w:t>përgjithshëm, me qëllim forcimin e bashkëpunimit operacional.</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Hartimi dhe zbatimi i protokolleve të bashkëpunimit dhe moduleve të trajnimit të përbashkëta, të cilat rrisin shkëmbimin e informacionit, hetimet e koordinuara dhe veprimet operacionale ndërinstitucionale.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702FBEB9" w14:textId="26DE8406"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single" w:sz="4" w:space="0" w:color="9CA3AF"/>
              <w:bottom w:val="single" w:sz="4" w:space="0" w:color="9CA3AF"/>
              <w:right w:val="single" w:sz="4" w:space="0" w:color="9CA3AF"/>
            </w:tcBorders>
            <w:shd w:val="clear" w:color="auto" w:fill="auto"/>
            <w:hideMark/>
          </w:tcPr>
          <w:p w14:paraId="72B4A2A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16D022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Posaçme kundër Korrupsionit dhe Krimit të Organizuar; Byroja Kombëtare e Hetimit; </w:t>
            </w:r>
            <w:r w:rsidRPr="002128A6">
              <w:rPr>
                <w:rFonts w:ascii="Garamond" w:eastAsia="Times New Roman" w:hAnsi="Garamond" w:cs="Times New Roman"/>
                <w:kern w:val="0"/>
                <w:sz w:val="8"/>
                <w:szCs w:val="8"/>
                <w14:ligatures w14:val="none"/>
              </w:rPr>
              <w:lastRenderedPageBreak/>
              <w:t>Prokuroria e Përgjithshme</w:t>
            </w:r>
          </w:p>
        </w:tc>
        <w:tc>
          <w:tcPr>
            <w:tcW w:w="439" w:type="dxa"/>
            <w:tcBorders>
              <w:top w:val="nil"/>
              <w:left w:val="nil"/>
              <w:bottom w:val="single" w:sz="4" w:space="0" w:color="9CA3AF"/>
              <w:right w:val="single" w:sz="4" w:space="0" w:color="9CA3AF"/>
            </w:tcBorders>
            <w:shd w:val="clear" w:color="auto" w:fill="auto"/>
            <w:hideMark/>
          </w:tcPr>
          <w:p w14:paraId="49CA653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2026</w:t>
            </w:r>
          </w:p>
        </w:tc>
        <w:tc>
          <w:tcPr>
            <w:tcW w:w="596" w:type="dxa"/>
            <w:tcBorders>
              <w:top w:val="nil"/>
              <w:left w:val="nil"/>
              <w:bottom w:val="single" w:sz="4" w:space="0" w:color="9CA3AF"/>
              <w:right w:val="single" w:sz="4" w:space="0" w:color="9CA3AF"/>
            </w:tcBorders>
            <w:shd w:val="clear" w:color="auto" w:fill="auto"/>
            <w:hideMark/>
          </w:tcPr>
          <w:p w14:paraId="749AFC8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8D77ED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E2910C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0E441E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996327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21A12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3D36909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7155124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2.1.4</w:t>
            </w:r>
          </w:p>
        </w:tc>
        <w:tc>
          <w:tcPr>
            <w:tcW w:w="1007" w:type="dxa"/>
            <w:tcBorders>
              <w:top w:val="nil"/>
              <w:left w:val="nil"/>
              <w:bottom w:val="single" w:sz="4" w:space="0" w:color="9CA3AF"/>
              <w:right w:val="single" w:sz="4" w:space="0" w:color="9CA3AF"/>
            </w:tcBorders>
            <w:shd w:val="clear" w:color="F1F5F9" w:fill="ECFDF5"/>
            <w:hideMark/>
          </w:tcPr>
          <w:p w14:paraId="67ABD59C" w14:textId="678A96C1"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hetimeve proaktive të veprave penale në fushën e narkotikëve me qëllim</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parandalimin dhe goditjen e aktiviteteve kriminale, përfshirë përmes nisjes së çështjeve të bazuara në inteligjencë, zbatimit të teknikave proaktive të hetimit special dhe prioritizimit të hetimeve që synojnë organizatorët, lehtësuesit, logjistikën dhe të ardhurat nga krimi.</w:t>
            </w:r>
          </w:p>
        </w:tc>
        <w:tc>
          <w:tcPr>
            <w:tcW w:w="524" w:type="dxa"/>
            <w:tcBorders>
              <w:top w:val="nil"/>
              <w:left w:val="nil"/>
              <w:bottom w:val="single" w:sz="4" w:space="0" w:color="9CA3AF"/>
              <w:right w:val="single" w:sz="4" w:space="0" w:color="9CA3AF"/>
            </w:tcBorders>
            <w:shd w:val="clear" w:color="auto" w:fill="auto"/>
            <w:hideMark/>
          </w:tcPr>
          <w:p w14:paraId="462EA00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2.1.4</w:t>
            </w:r>
          </w:p>
        </w:tc>
        <w:tc>
          <w:tcPr>
            <w:tcW w:w="1307" w:type="dxa"/>
            <w:tcBorders>
              <w:top w:val="nil"/>
              <w:left w:val="nil"/>
              <w:bottom w:val="single" w:sz="4" w:space="0" w:color="9CA3AF"/>
              <w:right w:val="single" w:sz="4" w:space="0" w:color="9CA3AF"/>
            </w:tcBorders>
            <w:shd w:val="clear" w:color="auto" w:fill="auto"/>
            <w:hideMark/>
          </w:tcPr>
          <w:p w14:paraId="05BD3A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Nisja e hetimeve proaktive, të bazuara në inteligjencë, që synojnë organizatorët, lehtësuesit dhe mundësuesit logjistikë të trafikimit të narkotikëve.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teknikave të posaçme të hetimit, si dhe prioritizimi i rasteve me elemente ndërkufitare ose me të ardhura të konsiderueshme financiare, me qëllim goditjen e strukturave kriminale me vlerë të lartë.</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477A2F2B" w14:textId="40BEC09C"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single" w:sz="4" w:space="0" w:color="9CA3AF"/>
              <w:bottom w:val="single" w:sz="4" w:space="0" w:color="9CA3AF"/>
              <w:right w:val="single" w:sz="4" w:space="0" w:color="9CA3AF"/>
            </w:tcBorders>
            <w:shd w:val="clear" w:color="auto" w:fill="auto"/>
            <w:hideMark/>
          </w:tcPr>
          <w:p w14:paraId="3570695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348573C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w:t>
            </w:r>
          </w:p>
        </w:tc>
        <w:tc>
          <w:tcPr>
            <w:tcW w:w="439" w:type="dxa"/>
            <w:tcBorders>
              <w:top w:val="nil"/>
              <w:left w:val="nil"/>
              <w:bottom w:val="single" w:sz="4" w:space="0" w:color="9CA3AF"/>
              <w:right w:val="single" w:sz="4" w:space="0" w:color="9CA3AF"/>
            </w:tcBorders>
            <w:shd w:val="clear" w:color="auto" w:fill="auto"/>
            <w:hideMark/>
          </w:tcPr>
          <w:p w14:paraId="7EB7CFA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CA6B14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1ECE39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7E4D5A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FE726F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FC2030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50FB0CF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4A2D4F7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474DC1F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2.1.5</w:t>
            </w:r>
          </w:p>
        </w:tc>
        <w:tc>
          <w:tcPr>
            <w:tcW w:w="1007" w:type="dxa"/>
            <w:tcBorders>
              <w:top w:val="nil"/>
              <w:left w:val="nil"/>
              <w:bottom w:val="single" w:sz="4" w:space="0" w:color="9CA3AF"/>
              <w:right w:val="single" w:sz="4" w:space="0" w:color="9CA3AF"/>
            </w:tcBorders>
            <w:shd w:val="clear" w:color="F1F5F9" w:fill="ECFDF5"/>
            <w:hideMark/>
          </w:tcPr>
          <w:p w14:paraId="0D165295" w14:textId="4891DD18"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Monitorimi dhe kontrolli i territorit për parandalimin</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e kultivimit të bimëve narkotike, përfshirë përmes kontrolleve të koordinuara në terren, monitorimit ajror dhe teknologjik, planifikimit të patrullave të bazuar në rrezik dhe veprimeve të reagimit të shpejtë për identifikimin, verifikimin dhe eliminimin e zonave të dyshuara të kultivimit.</w:t>
            </w:r>
          </w:p>
        </w:tc>
        <w:tc>
          <w:tcPr>
            <w:tcW w:w="524" w:type="dxa"/>
            <w:tcBorders>
              <w:top w:val="nil"/>
              <w:left w:val="nil"/>
              <w:bottom w:val="single" w:sz="4" w:space="0" w:color="9CA3AF"/>
              <w:right w:val="single" w:sz="4" w:space="0" w:color="9CA3AF"/>
            </w:tcBorders>
            <w:shd w:val="clear" w:color="auto" w:fill="auto"/>
            <w:hideMark/>
          </w:tcPr>
          <w:p w14:paraId="2C6AE6A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2.1.5</w:t>
            </w:r>
          </w:p>
        </w:tc>
        <w:tc>
          <w:tcPr>
            <w:tcW w:w="1307" w:type="dxa"/>
            <w:tcBorders>
              <w:top w:val="nil"/>
              <w:left w:val="nil"/>
              <w:bottom w:val="single" w:sz="4" w:space="0" w:color="9CA3AF"/>
              <w:right w:val="single" w:sz="4" w:space="0" w:color="9CA3AF"/>
            </w:tcBorders>
            <w:shd w:val="clear" w:color="auto" w:fill="auto"/>
            <w:hideMark/>
          </w:tcPr>
          <w:p w14:paraId="1C1FB4A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inspektimeve të koordinuara në terren dhe e patrullimeve në zonat me risk të lartë, për parandalimin dhe zbulimin e kultivimit të bimëve narkotike.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Instalimi i mjeteve të monitorimit ajror dhe teknologjik, si dhe miratimi i mekanizmave të reagimit të shpejtë, për verifikimin dhe eliminimin e vendndodhjeve të dyshuara të kultivimit.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761C9DA" w14:textId="42B7B643"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91604AR</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single" w:sz="4" w:space="0" w:color="9CA3AF"/>
              <w:bottom w:val="single" w:sz="4" w:space="0" w:color="9CA3AF"/>
              <w:right w:val="single" w:sz="4" w:space="0" w:color="9CA3AF"/>
            </w:tcBorders>
            <w:shd w:val="clear" w:color="auto" w:fill="auto"/>
            <w:hideMark/>
          </w:tcPr>
          <w:p w14:paraId="4D89749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2D4B31EE" w14:textId="321663EF"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Inspektorati Kombëtar i Mbrojtjes së Territorit;</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Shërbimi Informativ i Shtetit; Policia Ushtarake; </w:t>
            </w:r>
          </w:p>
        </w:tc>
        <w:tc>
          <w:tcPr>
            <w:tcW w:w="439" w:type="dxa"/>
            <w:tcBorders>
              <w:top w:val="nil"/>
              <w:left w:val="nil"/>
              <w:bottom w:val="single" w:sz="4" w:space="0" w:color="9CA3AF"/>
              <w:right w:val="single" w:sz="4" w:space="0" w:color="9CA3AF"/>
            </w:tcBorders>
            <w:shd w:val="clear" w:color="auto" w:fill="auto"/>
            <w:hideMark/>
          </w:tcPr>
          <w:p w14:paraId="38C7463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FDD5BC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A17038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FEE9C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78F4B6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1CE172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A5A71E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1AD0A31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510E03C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2.1.6</w:t>
            </w:r>
          </w:p>
        </w:tc>
        <w:tc>
          <w:tcPr>
            <w:tcW w:w="1007" w:type="dxa"/>
            <w:tcBorders>
              <w:top w:val="nil"/>
              <w:left w:val="nil"/>
              <w:bottom w:val="single" w:sz="4" w:space="0" w:color="9CA3AF"/>
              <w:right w:val="single" w:sz="4" w:space="0" w:color="9CA3AF"/>
            </w:tcBorders>
            <w:shd w:val="clear" w:color="F1F5F9" w:fill="ECFDF5"/>
            <w:hideMark/>
          </w:tcPr>
          <w:p w14:paraId="21B388E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dhe procedurave për shkëmbimin e informacionit mbi Sistemin e Paralajmërimit të Hershëm për lëndet e reja psikotrope (NPS), me qëllim rritjen e koordinimit institucional dhe efikasitetit në identifikimin dhe përgjigjen ndaj NPS, përfshirë përmes rrugëve të qarta të raportimit, bashkëpunimit laboratorik dhe flukseve të strukturuara të informacionit me partnerët përkatës kombëtarë dhe ndërkombëtarë.</w:t>
            </w:r>
          </w:p>
        </w:tc>
        <w:tc>
          <w:tcPr>
            <w:tcW w:w="524" w:type="dxa"/>
            <w:tcBorders>
              <w:top w:val="nil"/>
              <w:left w:val="nil"/>
              <w:bottom w:val="single" w:sz="4" w:space="0" w:color="9CA3AF"/>
              <w:right w:val="single" w:sz="4" w:space="0" w:color="9CA3AF"/>
            </w:tcBorders>
            <w:shd w:val="clear" w:color="auto" w:fill="auto"/>
            <w:hideMark/>
          </w:tcPr>
          <w:p w14:paraId="7F9845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2.1.6</w:t>
            </w:r>
          </w:p>
        </w:tc>
        <w:tc>
          <w:tcPr>
            <w:tcW w:w="1307" w:type="dxa"/>
            <w:tcBorders>
              <w:top w:val="nil"/>
              <w:left w:val="nil"/>
              <w:bottom w:val="single" w:sz="4" w:space="0" w:color="9CA3AF"/>
              <w:right w:val="single" w:sz="4" w:space="0" w:color="9CA3AF"/>
            </w:tcBorders>
            <w:shd w:val="clear" w:color="auto" w:fill="auto"/>
            <w:hideMark/>
          </w:tcPr>
          <w:p w14:paraId="0FAF778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Sistemit të Paralajmërimit të Hershëm, duke vendosur praktika të qarta raportimi dhe flukse të strukturuara informacioni për substancat e reja psikotrope të identifikuara.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Përmirësimi i bashkëpunimit laboratorik dhe pjesëmarrja në shkëmbimet ndërkombëtare të EWS-së, për të siguruar identifikim në kohë, vlerësim dhe shpërndarje të sinjalizimeve për substancat e reja.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9892DB7" w14:textId="23268F6C"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91301AA; 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single" w:sz="4" w:space="0" w:color="9CA3AF"/>
              <w:bottom w:val="single" w:sz="4" w:space="0" w:color="9CA3AF"/>
              <w:right w:val="single" w:sz="4" w:space="0" w:color="9CA3AF"/>
            </w:tcBorders>
            <w:shd w:val="clear" w:color="auto" w:fill="auto"/>
            <w:hideMark/>
          </w:tcPr>
          <w:p w14:paraId="7EAB9DB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F812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Doganave; ISHP; AKBPM; Observatori Kombëtar për Drogat; ZSKD; AKPB;MSHMS; QSUT; AKKC; Ministria e Punëve të Brendshme; Sistemi i Paralajmërimit të Hershëm/PSH; Ministria e Drejtësisë, Ministria e Financave, Ministria për Evropën dhe Punët e Jashtme; Ministria e Arsimit; Ministria e Bujqësisë dhe Zhvillimit Rural; Ministria e Mjedist; Prokuroria e Përgjithshme; Shërbimi Informativ i Shtetit; Organizatat joqeveritare që veprojnë në fushën e drogave dhe shëndetit publik; EUDA;</w:t>
            </w:r>
          </w:p>
        </w:tc>
        <w:tc>
          <w:tcPr>
            <w:tcW w:w="439" w:type="dxa"/>
            <w:tcBorders>
              <w:top w:val="nil"/>
              <w:left w:val="single" w:sz="4" w:space="0" w:color="9CA3AF"/>
              <w:bottom w:val="single" w:sz="4" w:space="0" w:color="9CA3AF"/>
              <w:right w:val="single" w:sz="4" w:space="0" w:color="9CA3AF"/>
            </w:tcBorders>
            <w:shd w:val="clear" w:color="auto" w:fill="auto"/>
            <w:hideMark/>
          </w:tcPr>
          <w:p w14:paraId="6B9B7EA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2027</w:t>
            </w:r>
          </w:p>
        </w:tc>
        <w:tc>
          <w:tcPr>
            <w:tcW w:w="596" w:type="dxa"/>
            <w:tcBorders>
              <w:top w:val="nil"/>
              <w:left w:val="nil"/>
              <w:bottom w:val="single" w:sz="4" w:space="0" w:color="9CA3AF"/>
              <w:right w:val="single" w:sz="4" w:space="0" w:color="9CA3AF"/>
            </w:tcBorders>
            <w:shd w:val="clear" w:color="auto" w:fill="auto"/>
            <w:hideMark/>
          </w:tcPr>
          <w:p w14:paraId="4755B3D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DE01DC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9E37F1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039DB4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F4BA0A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35F0D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6091B6A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5119122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2.1.7</w:t>
            </w:r>
          </w:p>
        </w:tc>
        <w:tc>
          <w:tcPr>
            <w:tcW w:w="1007" w:type="dxa"/>
            <w:tcBorders>
              <w:top w:val="nil"/>
              <w:left w:val="nil"/>
              <w:bottom w:val="single" w:sz="4" w:space="0" w:color="9CA3AF"/>
              <w:right w:val="single" w:sz="4" w:space="0" w:color="9CA3AF"/>
            </w:tcBorders>
            <w:shd w:val="clear" w:color="F1F5F9" w:fill="ECFDF5"/>
            <w:hideMark/>
          </w:tcPr>
          <w:p w14:paraId="49D9B10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teknologjike për shkatërrimin e sigurt dhe mjedisor neutral të substancave narkotike dhe psikotrope, përfshirë përmes përmirësimit të infrastrukturës dhe pajisjeve përkatëse, zbatimit të standardeve të sigurisë dhe mjedisit dhe sigurimit të procedurave të gjurmueshme për ruajtjen, transportin dhe shkatërrimin.</w:t>
            </w:r>
          </w:p>
        </w:tc>
        <w:tc>
          <w:tcPr>
            <w:tcW w:w="524" w:type="dxa"/>
            <w:tcBorders>
              <w:top w:val="nil"/>
              <w:left w:val="nil"/>
              <w:bottom w:val="single" w:sz="4" w:space="0" w:color="9CA3AF"/>
              <w:right w:val="single" w:sz="4" w:space="0" w:color="9CA3AF"/>
            </w:tcBorders>
            <w:shd w:val="clear" w:color="auto" w:fill="auto"/>
            <w:hideMark/>
          </w:tcPr>
          <w:p w14:paraId="3F68BA4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2.1.7</w:t>
            </w:r>
          </w:p>
        </w:tc>
        <w:tc>
          <w:tcPr>
            <w:tcW w:w="1307" w:type="dxa"/>
            <w:tcBorders>
              <w:top w:val="nil"/>
              <w:left w:val="nil"/>
              <w:bottom w:val="single" w:sz="4" w:space="0" w:color="9CA3AF"/>
              <w:right w:val="single" w:sz="4" w:space="0" w:color="9CA3AF"/>
            </w:tcBorders>
            <w:shd w:val="clear" w:color="auto" w:fill="auto"/>
            <w:hideMark/>
          </w:tcPr>
          <w:p w14:paraId="2FBFD94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Modernizimi i infrastrukturës, pajisjeve dhe procedurave për shkatërrimin e sigurt, të gjurmueshëm dhe në pajtim me mjedisin të substancave narkotike dhe psikotrope.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Trajnimi i personelit të specializuar mbi protokollet e trajtimit të sigurt, ruajtjen, transportin dhe shkatërrimin, për të siguruar respektim të plotë të standardeve të sigurisë dhe mjedisit.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DFECF8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90604AR</w:t>
            </w:r>
          </w:p>
        </w:tc>
        <w:tc>
          <w:tcPr>
            <w:tcW w:w="914" w:type="dxa"/>
            <w:tcBorders>
              <w:top w:val="nil"/>
              <w:left w:val="single" w:sz="4" w:space="0" w:color="9CA3AF"/>
              <w:bottom w:val="single" w:sz="4" w:space="0" w:color="9CA3AF"/>
              <w:right w:val="single" w:sz="4" w:space="0" w:color="9CA3AF"/>
            </w:tcBorders>
            <w:shd w:val="clear" w:color="auto" w:fill="auto"/>
            <w:hideMark/>
          </w:tcPr>
          <w:p w14:paraId="636B84D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9CA3AF"/>
              <w:left w:val="nil"/>
              <w:bottom w:val="single" w:sz="4" w:space="0" w:color="9CA3AF"/>
              <w:right w:val="single" w:sz="4" w:space="0" w:color="9CA3AF"/>
            </w:tcBorders>
            <w:shd w:val="clear" w:color="auto" w:fill="auto"/>
            <w:hideMark/>
          </w:tcPr>
          <w:p w14:paraId="2ED42B6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1C9225E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DC5B33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4790EB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3362BC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F42F53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69D8A1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4C82CC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3E6BFC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4FCF462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2.1.8</w:t>
            </w:r>
          </w:p>
        </w:tc>
        <w:tc>
          <w:tcPr>
            <w:tcW w:w="1007" w:type="dxa"/>
            <w:tcBorders>
              <w:top w:val="nil"/>
              <w:left w:val="nil"/>
              <w:bottom w:val="single" w:sz="4" w:space="0" w:color="9CA3AF"/>
              <w:right w:val="single" w:sz="4" w:space="0" w:color="9CA3AF"/>
            </w:tcBorders>
            <w:shd w:val="clear" w:color="F1F5F9" w:fill="ECFDF5"/>
            <w:hideMark/>
          </w:tcPr>
          <w:p w14:paraId="5DC2362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Koordinimi dhe mbështetja e zbatimit të projektit “Horizon Europe - Cluster 3, Civil Security for Society”, në fushën e zbulimit, identifikimit dhe gjurmimit të shpejtë dhe novator të farave dhe bimëve të kanabisit në kufirin doganor, përfshirë përmes koordinimit ndërinstitucional, testimit operacional dhe integrimit të produkteve të projektit në praktikat e kontrollit kufitar.</w:t>
            </w:r>
          </w:p>
        </w:tc>
        <w:tc>
          <w:tcPr>
            <w:tcW w:w="524" w:type="dxa"/>
            <w:tcBorders>
              <w:top w:val="nil"/>
              <w:left w:val="nil"/>
              <w:bottom w:val="single" w:sz="4" w:space="0" w:color="9CA3AF"/>
              <w:right w:val="single" w:sz="4" w:space="0" w:color="9CA3AF"/>
            </w:tcBorders>
            <w:shd w:val="clear" w:color="auto" w:fill="auto"/>
            <w:hideMark/>
          </w:tcPr>
          <w:p w14:paraId="7EA4720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2.1.8</w:t>
            </w:r>
          </w:p>
        </w:tc>
        <w:tc>
          <w:tcPr>
            <w:tcW w:w="1307" w:type="dxa"/>
            <w:tcBorders>
              <w:top w:val="nil"/>
              <w:left w:val="nil"/>
              <w:bottom w:val="single" w:sz="4" w:space="0" w:color="9CA3AF"/>
              <w:right w:val="single" w:sz="4" w:space="0" w:color="9CA3AF"/>
            </w:tcBorders>
            <w:shd w:val="clear" w:color="auto" w:fill="auto"/>
            <w:hideMark/>
          </w:tcPr>
          <w:p w14:paraId="05B733B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Koordinimi i zbatimit kombëtar të projektit “Horizon Europe - Cluster 3”, duke lehtësuar bashkëpunimin ndërinstitucional dhe testimin operacional të teknologjive të zbulimit në dogana.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Integrimi i produkteve të verifikuara të projektit në praktikat e kontrollit kufitar, si dhe raportimi i progresit te palët e interesuara kombëtare dhe ndërkombëtare.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046A2C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0745091305AK</w:t>
            </w:r>
          </w:p>
        </w:tc>
        <w:tc>
          <w:tcPr>
            <w:tcW w:w="914" w:type="dxa"/>
            <w:tcBorders>
              <w:top w:val="nil"/>
              <w:left w:val="single" w:sz="4" w:space="0" w:color="9CA3AF"/>
              <w:bottom w:val="single" w:sz="4" w:space="0" w:color="9CA3AF"/>
              <w:right w:val="single" w:sz="4" w:space="0" w:color="9CA3AF"/>
            </w:tcBorders>
            <w:shd w:val="clear" w:color="auto" w:fill="auto"/>
            <w:hideMark/>
          </w:tcPr>
          <w:p w14:paraId="10E097B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Kombëtare e Kontrollit të Canabisit</w:t>
            </w:r>
          </w:p>
        </w:tc>
        <w:tc>
          <w:tcPr>
            <w:tcW w:w="966" w:type="dxa"/>
            <w:tcBorders>
              <w:top w:val="nil"/>
              <w:left w:val="nil"/>
              <w:bottom w:val="single" w:sz="4" w:space="0" w:color="9CA3AF"/>
              <w:right w:val="single" w:sz="4" w:space="0" w:color="9CA3AF"/>
            </w:tcBorders>
            <w:shd w:val="clear" w:color="auto" w:fill="auto"/>
            <w:hideMark/>
          </w:tcPr>
          <w:p w14:paraId="13285FD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Brendshme/Policia e Shtetit, Drejtoria e Përgjithshme e Doganave</w:t>
            </w:r>
          </w:p>
        </w:tc>
        <w:tc>
          <w:tcPr>
            <w:tcW w:w="439" w:type="dxa"/>
            <w:tcBorders>
              <w:top w:val="nil"/>
              <w:left w:val="nil"/>
              <w:bottom w:val="single" w:sz="4" w:space="0" w:color="9CA3AF"/>
              <w:right w:val="single" w:sz="4" w:space="0" w:color="9CA3AF"/>
            </w:tcBorders>
            <w:shd w:val="clear" w:color="auto" w:fill="auto"/>
            <w:hideMark/>
          </w:tcPr>
          <w:p w14:paraId="0EF2266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AB73E9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2E806A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A544E0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C50BA1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6C6AE6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5F1C7FD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6360B18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0F871C6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2.1.9</w:t>
            </w:r>
          </w:p>
        </w:tc>
        <w:tc>
          <w:tcPr>
            <w:tcW w:w="1007" w:type="dxa"/>
            <w:tcBorders>
              <w:top w:val="nil"/>
              <w:left w:val="nil"/>
              <w:bottom w:val="single" w:sz="4" w:space="0" w:color="9CA3AF"/>
              <w:right w:val="single" w:sz="4" w:space="0" w:color="9CA3AF"/>
            </w:tcBorders>
            <w:shd w:val="clear" w:color="F1F5F9" w:fill="ECFDF5"/>
            <w:hideMark/>
          </w:tcPr>
          <w:p w14:paraId="4D5A44A8" w14:textId="580B76B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Ndryshimi i Ligjit nr. 8874, datë 29.3.2002 “Për kontrollin e lëndëve që përdoren për fabrikimin e paligjshëm të lëndëve narkotike dhe psikotrope”, me qëllim harmonizimin e plotë me </w:t>
            </w:r>
            <w:r w:rsidR="006815D8" w:rsidRPr="006815D8">
              <w:rPr>
                <w:rFonts w:ascii="Garamond" w:eastAsia="Times New Roman" w:hAnsi="Garamond" w:cs="Times New Roman"/>
                <w:i/>
                <w:iCs/>
                <w:kern w:val="0"/>
                <w:sz w:val="8"/>
                <w:szCs w:val="8"/>
                <w14:ligatures w14:val="none"/>
              </w:rPr>
              <w:t>Acquis</w:t>
            </w:r>
            <w:r w:rsidR="006815D8"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të BE-së në këtë fushë, përfshirë harmonizimin e përkufizimeve, masave të kontrollit, përgjegjësive të mbikëqyrjes dhe dispozitave sanksionuese.</w:t>
            </w:r>
          </w:p>
        </w:tc>
        <w:tc>
          <w:tcPr>
            <w:tcW w:w="524" w:type="dxa"/>
            <w:tcBorders>
              <w:top w:val="nil"/>
              <w:left w:val="nil"/>
              <w:bottom w:val="single" w:sz="4" w:space="0" w:color="9CA3AF"/>
              <w:right w:val="single" w:sz="4" w:space="0" w:color="9CA3AF"/>
            </w:tcBorders>
            <w:shd w:val="clear" w:color="auto" w:fill="auto"/>
            <w:hideMark/>
          </w:tcPr>
          <w:p w14:paraId="1B08D0A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2.1.9</w:t>
            </w:r>
          </w:p>
        </w:tc>
        <w:tc>
          <w:tcPr>
            <w:tcW w:w="1307" w:type="dxa"/>
            <w:tcBorders>
              <w:top w:val="nil"/>
              <w:left w:val="nil"/>
              <w:bottom w:val="single" w:sz="4" w:space="0" w:color="9CA3AF"/>
              <w:right w:val="single" w:sz="4" w:space="0" w:color="9CA3AF"/>
            </w:tcBorders>
            <w:shd w:val="clear" w:color="auto" w:fill="auto"/>
            <w:hideMark/>
          </w:tcPr>
          <w:p w14:paraId="3C3A490D" w14:textId="644D8792"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Realizimi i një analize të boshllëqeve ligjore të </w:t>
            </w:r>
            <w:r w:rsidR="009F2103" w:rsidRPr="002128A6">
              <w:rPr>
                <w:rFonts w:ascii="Garamond" w:eastAsia="Times New Roman" w:hAnsi="Garamond" w:cs="Times New Roman"/>
                <w:kern w:val="0"/>
                <w:sz w:val="8"/>
                <w:szCs w:val="8"/>
                <w14:ligatures w14:val="none"/>
              </w:rPr>
              <w:t xml:space="preserve">ligjit </w:t>
            </w:r>
            <w:r w:rsidRPr="002128A6">
              <w:rPr>
                <w:rFonts w:ascii="Garamond" w:eastAsia="Times New Roman" w:hAnsi="Garamond" w:cs="Times New Roman"/>
                <w:kern w:val="0"/>
                <w:sz w:val="8"/>
                <w:szCs w:val="8"/>
                <w14:ligatures w14:val="none"/>
              </w:rPr>
              <w:t xml:space="preserve">nr. 8874 përkundër </w:t>
            </w:r>
            <w:r w:rsidR="006815D8" w:rsidRPr="006815D8">
              <w:rPr>
                <w:rFonts w:ascii="Garamond" w:eastAsia="Times New Roman" w:hAnsi="Garamond" w:cs="Times New Roman"/>
                <w:i/>
                <w:iCs/>
                <w:kern w:val="0"/>
                <w:sz w:val="8"/>
                <w:szCs w:val="8"/>
                <w14:ligatures w14:val="none"/>
              </w:rPr>
              <w:t>Acquis</w:t>
            </w:r>
            <w:r w:rsidR="006815D8"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të BE-së dhe standardeve ndërkombëtare, duke identifikuar ndryshimet e kërkuara.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Hartimi dhe konsultimi i ndryshimeve ligjore të propozuara, duke siguruar harmonizimin e përkufizimeve, masave të kontrollit, përgjegjësive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të mbikëqyrjes dhe sanksioneve.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2311472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91301AA</w:t>
            </w:r>
          </w:p>
        </w:tc>
        <w:tc>
          <w:tcPr>
            <w:tcW w:w="914" w:type="dxa"/>
            <w:tcBorders>
              <w:top w:val="nil"/>
              <w:left w:val="single" w:sz="4" w:space="0" w:color="9CA3AF"/>
              <w:bottom w:val="single" w:sz="4" w:space="0" w:color="9CA3AF"/>
              <w:right w:val="single" w:sz="4" w:space="0" w:color="9CA3AF"/>
            </w:tcBorders>
            <w:shd w:val="clear" w:color="auto" w:fill="auto"/>
            <w:hideMark/>
          </w:tcPr>
          <w:p w14:paraId="68E344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Shëndetësisë dhe Mirëqenies Sociale</w:t>
            </w:r>
          </w:p>
        </w:tc>
        <w:tc>
          <w:tcPr>
            <w:tcW w:w="966" w:type="dxa"/>
            <w:tcBorders>
              <w:top w:val="nil"/>
              <w:left w:val="nil"/>
              <w:bottom w:val="single" w:sz="4" w:space="0" w:color="9CA3AF"/>
              <w:right w:val="single" w:sz="4" w:space="0" w:color="9CA3AF"/>
            </w:tcBorders>
            <w:shd w:val="clear" w:color="auto" w:fill="auto"/>
            <w:hideMark/>
          </w:tcPr>
          <w:p w14:paraId="71D968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Brendshme/Policia e Shtetit, Prokuroria e Përgjithshme</w:t>
            </w:r>
          </w:p>
        </w:tc>
        <w:tc>
          <w:tcPr>
            <w:tcW w:w="439" w:type="dxa"/>
            <w:tcBorders>
              <w:top w:val="nil"/>
              <w:left w:val="nil"/>
              <w:bottom w:val="single" w:sz="4" w:space="0" w:color="9CA3AF"/>
              <w:right w:val="single" w:sz="4" w:space="0" w:color="9CA3AF"/>
            </w:tcBorders>
            <w:shd w:val="clear" w:color="auto" w:fill="auto"/>
            <w:hideMark/>
          </w:tcPr>
          <w:p w14:paraId="3C7CC73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9F3E50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nil"/>
              <w:left w:val="nil"/>
              <w:bottom w:val="single" w:sz="4" w:space="0" w:color="9CA3AF"/>
              <w:right w:val="single" w:sz="4" w:space="0" w:color="9CA3AF"/>
            </w:tcBorders>
            <w:shd w:val="clear" w:color="auto" w:fill="auto"/>
            <w:hideMark/>
          </w:tcPr>
          <w:p w14:paraId="3CA6C33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49B13B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3CF1EC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000A17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33EE4D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3EDCDB3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disponueshmërisë, prodhimit dhe 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39D212F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2.1.10</w:t>
            </w:r>
          </w:p>
        </w:tc>
        <w:tc>
          <w:tcPr>
            <w:tcW w:w="1007" w:type="dxa"/>
            <w:tcBorders>
              <w:top w:val="nil"/>
              <w:left w:val="nil"/>
              <w:bottom w:val="single" w:sz="4" w:space="0" w:color="9CA3AF"/>
              <w:right w:val="single" w:sz="4" w:space="0" w:color="9CA3AF"/>
            </w:tcBorders>
            <w:shd w:val="clear" w:color="F1F5F9" w:fill="ECFDF5"/>
            <w:hideMark/>
          </w:tcPr>
          <w:p w14:paraId="4B2F37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Identifikimi dhe trajtimi i rasteve të devijimit nga sasitë e kanabisit të mbjellë, të identifikuara përmes mbikëqyrjes dhe monitorimit të zbatimit të lejeve ose licencave, përfshirë verifikimin e vendimeve për shkatërrimin e kultivimit të paautorizuar, dhe zbatimin e sanksioneve administrative dhe/ose penale, sipas rastit.</w:t>
            </w:r>
          </w:p>
        </w:tc>
        <w:tc>
          <w:tcPr>
            <w:tcW w:w="524" w:type="dxa"/>
            <w:tcBorders>
              <w:top w:val="nil"/>
              <w:left w:val="nil"/>
              <w:bottom w:val="single" w:sz="4" w:space="0" w:color="9CA3AF"/>
              <w:right w:val="single" w:sz="4" w:space="0" w:color="9CA3AF"/>
            </w:tcBorders>
            <w:shd w:val="clear" w:color="auto" w:fill="auto"/>
            <w:hideMark/>
          </w:tcPr>
          <w:p w14:paraId="6D62777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2.1.10</w:t>
            </w:r>
          </w:p>
        </w:tc>
        <w:tc>
          <w:tcPr>
            <w:tcW w:w="1307" w:type="dxa"/>
            <w:tcBorders>
              <w:top w:val="nil"/>
              <w:left w:val="nil"/>
              <w:bottom w:val="single" w:sz="4" w:space="0" w:color="9CA3AF"/>
              <w:right w:val="single" w:sz="4" w:space="0" w:color="9CA3AF"/>
            </w:tcBorders>
            <w:shd w:val="clear" w:color="auto" w:fill="auto"/>
            <w:hideMark/>
          </w:tcPr>
          <w:p w14:paraId="758E6DA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Monitorimi i përditësimeve të BE-së për substancat e kontrolluara dhe substancat e reja psikoaktive (NPS) dhe përgatitja e propozimeve për përfshirjen në kohë të substancave të reja në planet kombëtare.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Konsultimi me laboratorët, autoritetet shëndetësore dhe ligjzbatuese, për të konsoliduar përditësimet dhe për të siguruar shpërndarjen e listave të rishikuara.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7411233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0745091305AK </w:t>
            </w:r>
          </w:p>
        </w:tc>
        <w:tc>
          <w:tcPr>
            <w:tcW w:w="914" w:type="dxa"/>
            <w:tcBorders>
              <w:top w:val="nil"/>
              <w:left w:val="single" w:sz="4" w:space="0" w:color="9CA3AF"/>
              <w:bottom w:val="single" w:sz="4" w:space="0" w:color="9CA3AF"/>
              <w:right w:val="single" w:sz="4" w:space="0" w:color="9CA3AF"/>
            </w:tcBorders>
            <w:shd w:val="clear" w:color="auto" w:fill="auto"/>
            <w:hideMark/>
          </w:tcPr>
          <w:p w14:paraId="507FD6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Kombëtare e Kontrollit të Canabisit</w:t>
            </w:r>
          </w:p>
        </w:tc>
        <w:tc>
          <w:tcPr>
            <w:tcW w:w="966" w:type="dxa"/>
            <w:tcBorders>
              <w:top w:val="nil"/>
              <w:left w:val="nil"/>
              <w:bottom w:val="nil"/>
              <w:right w:val="nil"/>
            </w:tcBorders>
            <w:shd w:val="clear" w:color="auto" w:fill="auto"/>
            <w:hideMark/>
          </w:tcPr>
          <w:p w14:paraId="53664BD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Shtetit;Ministria e Bujqësisë dhe Zhvillimit Rural</w:t>
            </w:r>
          </w:p>
        </w:tc>
        <w:tc>
          <w:tcPr>
            <w:tcW w:w="439" w:type="dxa"/>
            <w:tcBorders>
              <w:top w:val="nil"/>
              <w:left w:val="single" w:sz="4" w:space="0" w:color="9CA3AF"/>
              <w:bottom w:val="single" w:sz="4" w:space="0" w:color="9CA3AF"/>
              <w:right w:val="single" w:sz="4" w:space="0" w:color="9CA3AF"/>
            </w:tcBorders>
            <w:shd w:val="clear" w:color="auto" w:fill="auto"/>
            <w:hideMark/>
          </w:tcPr>
          <w:p w14:paraId="16788B5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98560D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CE0FDB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E71EE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ADB17F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BDD150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B7CB21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2.1</w:t>
            </w:r>
          </w:p>
        </w:tc>
        <w:tc>
          <w:tcPr>
            <w:tcW w:w="867" w:type="dxa"/>
            <w:tcBorders>
              <w:top w:val="nil"/>
              <w:left w:val="nil"/>
              <w:bottom w:val="single" w:sz="4" w:space="0" w:color="9CA3AF"/>
              <w:right w:val="single" w:sz="4" w:space="0" w:color="9CA3AF"/>
            </w:tcBorders>
            <w:shd w:val="clear" w:color="F1F5F9" w:fill="ECFDF5"/>
            <w:hideMark/>
          </w:tcPr>
          <w:p w14:paraId="79C902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disponueshmërisë, prodhimit dhe </w:t>
            </w:r>
            <w:r w:rsidRPr="002128A6">
              <w:rPr>
                <w:rFonts w:ascii="Garamond" w:eastAsia="Times New Roman" w:hAnsi="Garamond" w:cs="Times New Roman"/>
                <w:kern w:val="0"/>
                <w:sz w:val="8"/>
                <w:szCs w:val="8"/>
                <w14:ligatures w14:val="none"/>
              </w:rPr>
              <w:lastRenderedPageBreak/>
              <w:t>trafikimit të narkotikëve përmes forcimit të zbulimit, hetimit dhe koordinimit ndërinstitucional.</w:t>
            </w:r>
          </w:p>
        </w:tc>
        <w:tc>
          <w:tcPr>
            <w:tcW w:w="517" w:type="dxa"/>
            <w:tcBorders>
              <w:top w:val="nil"/>
              <w:left w:val="nil"/>
              <w:bottom w:val="single" w:sz="4" w:space="0" w:color="9CA3AF"/>
              <w:right w:val="single" w:sz="4" w:space="0" w:color="9CA3AF"/>
            </w:tcBorders>
            <w:shd w:val="clear" w:color="F1F5F9" w:fill="ECFDF5"/>
            <w:hideMark/>
          </w:tcPr>
          <w:p w14:paraId="2F73F88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2.1.11</w:t>
            </w:r>
          </w:p>
        </w:tc>
        <w:tc>
          <w:tcPr>
            <w:tcW w:w="1007" w:type="dxa"/>
            <w:tcBorders>
              <w:top w:val="nil"/>
              <w:left w:val="nil"/>
              <w:bottom w:val="single" w:sz="4" w:space="0" w:color="9CA3AF"/>
              <w:right w:val="single" w:sz="4" w:space="0" w:color="9CA3AF"/>
            </w:tcBorders>
            <w:shd w:val="clear" w:color="F1F5F9" w:fill="ECFDF5"/>
            <w:hideMark/>
          </w:tcPr>
          <w:p w14:paraId="0F11042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Shkëmbimi informacionit të mbledhur sipas Ligjit nr. 61/2023 me </w:t>
            </w:r>
            <w:r w:rsidRPr="002128A6">
              <w:rPr>
                <w:rFonts w:ascii="Garamond" w:eastAsia="Times New Roman" w:hAnsi="Garamond" w:cs="Times New Roman"/>
                <w:kern w:val="0"/>
                <w:sz w:val="8"/>
                <w:szCs w:val="8"/>
                <w14:ligatures w14:val="none"/>
              </w:rPr>
              <w:lastRenderedPageBreak/>
              <w:t>autoritetet përgjegjëse, me qëllim identifikimin e prodhimit të paligjshëm dhe trafikimit të lëndëve narkotike dhe substancave psikotrope, përfshirë pastrimin e të ardhurave nga aktivitetet e paligjshme të lidhura me lëndët narkotike, duke siguruar ndjekje operacionale të koordinuar dhe referim në kohë të rasteve përkatëse.</w:t>
            </w:r>
          </w:p>
        </w:tc>
        <w:tc>
          <w:tcPr>
            <w:tcW w:w="524" w:type="dxa"/>
            <w:tcBorders>
              <w:top w:val="nil"/>
              <w:left w:val="nil"/>
              <w:bottom w:val="single" w:sz="4" w:space="0" w:color="9CA3AF"/>
              <w:right w:val="single" w:sz="4" w:space="0" w:color="9CA3AF"/>
            </w:tcBorders>
            <w:shd w:val="clear" w:color="auto" w:fill="auto"/>
            <w:hideMark/>
          </w:tcPr>
          <w:p w14:paraId="1AD9ABE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2.1.11</w:t>
            </w:r>
          </w:p>
        </w:tc>
        <w:tc>
          <w:tcPr>
            <w:tcW w:w="1307" w:type="dxa"/>
            <w:tcBorders>
              <w:top w:val="nil"/>
              <w:left w:val="nil"/>
              <w:bottom w:val="single" w:sz="4" w:space="0" w:color="9CA3AF"/>
              <w:right w:val="single" w:sz="4" w:space="0" w:color="9CA3AF"/>
            </w:tcBorders>
            <w:shd w:val="clear" w:color="auto" w:fill="auto"/>
            <w:hideMark/>
          </w:tcPr>
          <w:p w14:paraId="2BA4A54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Miratimi i mekanizmave të strukturuar për shkëmbimin e informacionit të mbledhur sipas </w:t>
            </w:r>
            <w:r w:rsidRPr="002128A6">
              <w:rPr>
                <w:rFonts w:ascii="Garamond" w:eastAsia="Times New Roman" w:hAnsi="Garamond" w:cs="Times New Roman"/>
                <w:kern w:val="0"/>
                <w:sz w:val="8"/>
                <w:szCs w:val="8"/>
                <w14:ligatures w14:val="none"/>
              </w:rPr>
              <w:lastRenderedPageBreak/>
              <w:t xml:space="preserve">Ligjit nr. 61/2023 me autoritetet përgjegjëse.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Analizimi i të dhënave të ndara për identifikimin e prodhimit të paligjshëm, trafikimit dhe pastrimit të parave të lidhura me to, si dhe referimi i rasteve për ndjekje operacionale.</w:t>
            </w:r>
          </w:p>
        </w:tc>
        <w:tc>
          <w:tcPr>
            <w:tcW w:w="699" w:type="dxa"/>
            <w:tcBorders>
              <w:top w:val="nil"/>
              <w:left w:val="nil"/>
              <w:bottom w:val="nil"/>
              <w:right w:val="nil"/>
            </w:tcBorders>
            <w:shd w:val="clear" w:color="000000" w:fill="FFFFFF"/>
            <w:vAlign w:val="center"/>
            <w:hideMark/>
          </w:tcPr>
          <w:p w14:paraId="6666090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 xml:space="preserve">0745091305AK </w:t>
            </w:r>
          </w:p>
        </w:tc>
        <w:tc>
          <w:tcPr>
            <w:tcW w:w="914" w:type="dxa"/>
            <w:tcBorders>
              <w:top w:val="nil"/>
              <w:left w:val="single" w:sz="4" w:space="0" w:color="9CA3AF"/>
              <w:bottom w:val="single" w:sz="4" w:space="0" w:color="9CA3AF"/>
              <w:right w:val="single" w:sz="4" w:space="0" w:color="9CA3AF"/>
            </w:tcBorders>
            <w:shd w:val="clear" w:color="auto" w:fill="auto"/>
            <w:hideMark/>
          </w:tcPr>
          <w:p w14:paraId="737663F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Kombëtare e Kontrollit të Canabisit</w:t>
            </w:r>
          </w:p>
        </w:tc>
        <w:tc>
          <w:tcPr>
            <w:tcW w:w="966" w:type="dxa"/>
            <w:tcBorders>
              <w:top w:val="single" w:sz="4" w:space="0" w:color="9CA3AF"/>
              <w:left w:val="nil"/>
              <w:bottom w:val="single" w:sz="4" w:space="0" w:color="9CA3AF"/>
              <w:right w:val="single" w:sz="4" w:space="0" w:color="9CA3AF"/>
            </w:tcBorders>
            <w:shd w:val="clear" w:color="auto" w:fill="auto"/>
            <w:hideMark/>
          </w:tcPr>
          <w:p w14:paraId="1FE684B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Posaçme Kundër Korrupsionit dhe Krimit të </w:t>
            </w:r>
            <w:r w:rsidRPr="002128A6">
              <w:rPr>
                <w:rFonts w:ascii="Garamond" w:eastAsia="Times New Roman" w:hAnsi="Garamond" w:cs="Times New Roman"/>
                <w:kern w:val="0"/>
                <w:sz w:val="8"/>
                <w:szCs w:val="8"/>
                <w14:ligatures w14:val="none"/>
              </w:rPr>
              <w:lastRenderedPageBreak/>
              <w:t xml:space="preserve">Organizuar; Prokuroria e Përgjithshme;Byroja Kombëtare e Hetimit; Policia e Shtetit </w:t>
            </w:r>
          </w:p>
        </w:tc>
        <w:tc>
          <w:tcPr>
            <w:tcW w:w="439" w:type="dxa"/>
            <w:tcBorders>
              <w:top w:val="nil"/>
              <w:left w:val="nil"/>
              <w:bottom w:val="single" w:sz="4" w:space="0" w:color="9CA3AF"/>
              <w:right w:val="single" w:sz="4" w:space="0" w:color="9CA3AF"/>
            </w:tcBorders>
            <w:shd w:val="clear" w:color="auto" w:fill="auto"/>
            <w:hideMark/>
          </w:tcPr>
          <w:p w14:paraId="697EA6D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2027</w:t>
            </w:r>
          </w:p>
        </w:tc>
        <w:tc>
          <w:tcPr>
            <w:tcW w:w="596" w:type="dxa"/>
            <w:tcBorders>
              <w:top w:val="nil"/>
              <w:left w:val="nil"/>
              <w:bottom w:val="single" w:sz="4" w:space="0" w:color="9CA3AF"/>
              <w:right w:val="single" w:sz="4" w:space="0" w:color="9CA3AF"/>
            </w:tcBorders>
            <w:shd w:val="clear" w:color="auto" w:fill="auto"/>
            <w:hideMark/>
          </w:tcPr>
          <w:p w14:paraId="3AD2723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673D2F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47014C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9986D40"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32329B72"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2.1</w:t>
            </w:r>
          </w:p>
        </w:tc>
        <w:tc>
          <w:tcPr>
            <w:tcW w:w="649" w:type="dxa"/>
            <w:tcBorders>
              <w:top w:val="nil"/>
              <w:left w:val="nil"/>
              <w:bottom w:val="nil"/>
              <w:right w:val="nil"/>
            </w:tcBorders>
            <w:shd w:val="clear" w:color="FDEADA" w:fill="FEF3C7"/>
            <w:noWrap/>
            <w:vAlign w:val="bottom"/>
            <w:hideMark/>
          </w:tcPr>
          <w:p w14:paraId="5A8239E8"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50F45CC9"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6BE47D5C"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77A40F1B"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2.2 — Reduktimi i ndjeshëm i trafikimit, duke rritur zbulimin, goditjen e rrjeteve kriminale dhe forcimin e kontrolleve kufitare dhe kapaciteteve hetimore.</w:t>
            </w:r>
          </w:p>
        </w:tc>
      </w:tr>
      <w:tr w:rsidR="00F54824" w:rsidRPr="002128A6" w14:paraId="52DFD581"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37AA2AA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1634439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single" w:sz="4" w:space="0" w:color="9CA3AF"/>
              <w:left w:val="nil"/>
              <w:bottom w:val="single" w:sz="4" w:space="0" w:color="9CA3AF"/>
              <w:right w:val="single" w:sz="4" w:space="0" w:color="9CA3AF"/>
            </w:tcBorders>
            <w:shd w:val="clear" w:color="F1F5F9" w:fill="ECFDF5"/>
            <w:hideMark/>
          </w:tcPr>
          <w:p w14:paraId="6E1173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single" w:sz="4" w:space="0" w:color="9CA3AF"/>
              <w:left w:val="nil"/>
              <w:bottom w:val="single" w:sz="4" w:space="0" w:color="9CA3AF"/>
              <w:right w:val="single" w:sz="4" w:space="0" w:color="9CA3AF"/>
            </w:tcBorders>
            <w:shd w:val="clear" w:color="F1F5F9" w:fill="ECFDF5"/>
            <w:hideMark/>
          </w:tcPr>
          <w:p w14:paraId="2E9A6D2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7559267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aktivitetit hetimor për parandalimin e trafikimit të paligjshëm bazuar në inteligjencën dhe provat e disponueshme, përfshirë përmes zbatimit të metodave të posaçme hetimore, përdorimit sistematik të teknologjisë dhe mjeteve analitike, dhe një qasjeje proaktive që synon rrjetet e krimit të organizuar si dhe logjistikën, lehtësuesit dhe të ardhurat kriminale të tyre.</w:t>
            </w:r>
          </w:p>
        </w:tc>
        <w:tc>
          <w:tcPr>
            <w:tcW w:w="524" w:type="dxa"/>
            <w:tcBorders>
              <w:top w:val="single" w:sz="4" w:space="0" w:color="9CA3AF"/>
              <w:left w:val="nil"/>
              <w:bottom w:val="single" w:sz="4" w:space="0" w:color="9CA3AF"/>
              <w:right w:val="single" w:sz="4" w:space="0" w:color="9CA3AF"/>
            </w:tcBorders>
            <w:shd w:val="clear" w:color="auto" w:fill="auto"/>
            <w:hideMark/>
          </w:tcPr>
          <w:p w14:paraId="7826564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2.2.1</w:t>
            </w:r>
          </w:p>
        </w:tc>
        <w:tc>
          <w:tcPr>
            <w:tcW w:w="1307" w:type="dxa"/>
            <w:tcBorders>
              <w:top w:val="single" w:sz="4" w:space="0" w:color="9CA3AF"/>
              <w:left w:val="nil"/>
              <w:bottom w:val="single" w:sz="4" w:space="0" w:color="9CA3AF"/>
              <w:right w:val="single" w:sz="4" w:space="0" w:color="9CA3AF"/>
            </w:tcBorders>
            <w:shd w:val="clear" w:color="auto" w:fill="auto"/>
            <w:hideMark/>
          </w:tcPr>
          <w:p w14:paraId="71C91671" w14:textId="00FBDB3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Kryerja e hetimeve proaktive,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të udhëhequra nga inteligjenca, që synojnë rrjetet e organizuara kriminale të përfshira në trafikimin e personave, kalimin e paligjshëm të kufirit nga emigrantët, trafikimin e armëve dhe krimin ndaj pasurive kulturore, duke përdorur metoda të posaçme hetimore aty ku është e ligjshme.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Zgjerimi i përdorimit sistematik të mjeteve analitike, kriminalistikës</w:t>
            </w:r>
            <w:r w:rsidR="00F54824" w:rsidRPr="002128A6">
              <w:rPr>
                <w:rFonts w:ascii="Garamond" w:eastAsia="Times New Roman" w:hAnsi="Garamond" w:cs="Times New Roman"/>
                <w:kern w:val="0"/>
                <w:sz w:val="8"/>
                <w:szCs w:val="8"/>
                <w14:ligatures w14:val="none"/>
              </w:rPr>
              <w:t xml:space="preserve"> digjital</w:t>
            </w:r>
            <w:r w:rsidRPr="002128A6">
              <w:rPr>
                <w:rFonts w:ascii="Garamond" w:eastAsia="Times New Roman" w:hAnsi="Garamond" w:cs="Times New Roman"/>
                <w:kern w:val="0"/>
                <w:sz w:val="8"/>
                <w:szCs w:val="8"/>
                <w14:ligatures w14:val="none"/>
              </w:rPr>
              <w:t>e dhe inteligjencës operacionale, për të identifikuar zinxhirët e logjistikës, lehtësuesit, flukset financiare dhe lidhjet ndërkufitare, duke mundësuar ndërprerjen e hershme të aktivitetit kriminal.</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6EEADB" w14:textId="047805D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single" w:sz="4" w:space="0" w:color="auto"/>
              <w:left w:val="nil"/>
              <w:bottom w:val="single" w:sz="4" w:space="0" w:color="auto"/>
              <w:right w:val="single" w:sz="4" w:space="0" w:color="auto"/>
            </w:tcBorders>
            <w:shd w:val="clear" w:color="000000" w:fill="FFFFFF"/>
            <w:vAlign w:val="center"/>
            <w:hideMark/>
          </w:tcPr>
          <w:p w14:paraId="1C34AC8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Policia e Shtetit</w:t>
            </w:r>
          </w:p>
        </w:tc>
        <w:tc>
          <w:tcPr>
            <w:tcW w:w="966" w:type="dxa"/>
            <w:tcBorders>
              <w:top w:val="single" w:sz="4" w:space="0" w:color="9CA3AF"/>
              <w:left w:val="single" w:sz="4" w:space="0" w:color="9CA3AF"/>
              <w:bottom w:val="single" w:sz="4" w:space="0" w:color="9CA3AF"/>
              <w:right w:val="single" w:sz="4" w:space="0" w:color="9CA3AF"/>
            </w:tcBorders>
            <w:shd w:val="clear" w:color="auto" w:fill="auto"/>
            <w:hideMark/>
          </w:tcPr>
          <w:p w14:paraId="2BCA75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gjencia e Inteligjencës dhe Sigurisë së Mbrojtjes; Shërbimi Informativ i Shtetit; Drejtoria e Përgjithshme e Doganave</w:t>
            </w:r>
          </w:p>
        </w:tc>
        <w:tc>
          <w:tcPr>
            <w:tcW w:w="439" w:type="dxa"/>
            <w:tcBorders>
              <w:top w:val="single" w:sz="4" w:space="0" w:color="9CA3AF"/>
              <w:left w:val="nil"/>
              <w:bottom w:val="single" w:sz="4" w:space="0" w:color="9CA3AF"/>
              <w:right w:val="single" w:sz="4" w:space="0" w:color="9CA3AF"/>
            </w:tcBorders>
            <w:shd w:val="clear" w:color="auto" w:fill="auto"/>
            <w:hideMark/>
          </w:tcPr>
          <w:p w14:paraId="1102094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162A8C2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794FD08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0600419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7F8DB5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00E856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821EFC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nil"/>
              <w:left w:val="nil"/>
              <w:bottom w:val="single" w:sz="4" w:space="0" w:color="9CA3AF"/>
              <w:right w:val="single" w:sz="4" w:space="0" w:color="9CA3AF"/>
            </w:tcBorders>
            <w:shd w:val="clear" w:color="F1F5F9" w:fill="ECFDF5"/>
            <w:hideMark/>
          </w:tcPr>
          <w:p w14:paraId="48F89A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nil"/>
              <w:left w:val="nil"/>
              <w:bottom w:val="single" w:sz="4" w:space="0" w:color="9CA3AF"/>
              <w:right w:val="single" w:sz="4" w:space="0" w:color="9CA3AF"/>
            </w:tcBorders>
            <w:shd w:val="clear" w:color="F1F5F9" w:fill="ECFDF5"/>
            <w:hideMark/>
          </w:tcPr>
          <w:p w14:paraId="04429E4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2.2.2</w:t>
            </w:r>
          </w:p>
        </w:tc>
        <w:tc>
          <w:tcPr>
            <w:tcW w:w="1007" w:type="dxa"/>
            <w:tcBorders>
              <w:top w:val="nil"/>
              <w:left w:val="nil"/>
              <w:bottom w:val="single" w:sz="4" w:space="0" w:color="9CA3AF"/>
              <w:right w:val="single" w:sz="4" w:space="0" w:color="9CA3AF"/>
            </w:tcBorders>
            <w:shd w:val="clear" w:color="F1F5F9" w:fill="ECFDF5"/>
            <w:hideMark/>
          </w:tcPr>
          <w:p w14:paraId="0ABF14D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kontrollit kufitar për parandalimin dhe luftimin e trafikimit ndërkombëtar të drogës, përfshirë përmes profilizimit të bazuar në risk, kontrolleve të forcuara në pikat e kalimit kufitar, përdorimit të zgjeruar të teknologjive të zbulimit, procedurave të përmirësuara të shënjestrimit dhe veprimeve të koordinuara midis strukturave kufitare, doganore dhe hetimore.</w:t>
            </w:r>
          </w:p>
        </w:tc>
        <w:tc>
          <w:tcPr>
            <w:tcW w:w="524" w:type="dxa"/>
            <w:tcBorders>
              <w:top w:val="nil"/>
              <w:left w:val="nil"/>
              <w:bottom w:val="single" w:sz="4" w:space="0" w:color="9CA3AF"/>
              <w:right w:val="single" w:sz="4" w:space="0" w:color="9CA3AF"/>
            </w:tcBorders>
            <w:shd w:val="clear" w:color="auto" w:fill="auto"/>
            <w:hideMark/>
          </w:tcPr>
          <w:p w14:paraId="5F901A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2.2.2</w:t>
            </w:r>
          </w:p>
        </w:tc>
        <w:tc>
          <w:tcPr>
            <w:tcW w:w="1307" w:type="dxa"/>
            <w:tcBorders>
              <w:top w:val="nil"/>
              <w:left w:val="nil"/>
              <w:bottom w:val="single" w:sz="4" w:space="0" w:color="9CA3AF"/>
              <w:right w:val="single" w:sz="4" w:space="0" w:color="9CA3AF"/>
            </w:tcBorders>
            <w:shd w:val="clear" w:color="auto" w:fill="auto"/>
            <w:hideMark/>
          </w:tcPr>
          <w:p w14:paraId="3657A33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profilizimit të bazuar në rrezik dhe procedurave të shënjestrimit në pikat e kalimit kufitar, përmes përdorimit të zgjeruar të teknologjive të zbulimit, inteligjencës doganore dhe bazave të integruara të të dhënave.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operacioneve të koordinuara të kontrollit kufitar midis Policisë Kufitare, Doganave dhe strukturave hetimore, për të zbuluar narkotikët e fshehur, për të goditur trafikimin dhe për të siguruar referim në kohë për hetimet.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B1E12FB" w14:textId="7C55080B"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nil"/>
              <w:bottom w:val="single" w:sz="4" w:space="0" w:color="auto"/>
              <w:right w:val="single" w:sz="4" w:space="0" w:color="auto"/>
            </w:tcBorders>
            <w:shd w:val="clear" w:color="000000" w:fill="FFFFFF"/>
            <w:vAlign w:val="center"/>
            <w:hideMark/>
          </w:tcPr>
          <w:p w14:paraId="2BCB0D6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Policia e Shtetit</w:t>
            </w:r>
          </w:p>
        </w:tc>
        <w:tc>
          <w:tcPr>
            <w:tcW w:w="966" w:type="dxa"/>
            <w:tcBorders>
              <w:top w:val="nil"/>
              <w:left w:val="single" w:sz="4" w:space="0" w:color="9CA3AF"/>
              <w:bottom w:val="single" w:sz="4" w:space="0" w:color="9CA3AF"/>
              <w:right w:val="single" w:sz="4" w:space="0" w:color="9CA3AF"/>
            </w:tcBorders>
            <w:shd w:val="clear" w:color="auto" w:fill="auto"/>
            <w:hideMark/>
          </w:tcPr>
          <w:p w14:paraId="27CD5F8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Doganave</w:t>
            </w:r>
          </w:p>
        </w:tc>
        <w:tc>
          <w:tcPr>
            <w:tcW w:w="439" w:type="dxa"/>
            <w:tcBorders>
              <w:top w:val="nil"/>
              <w:left w:val="nil"/>
              <w:bottom w:val="single" w:sz="4" w:space="0" w:color="9CA3AF"/>
              <w:right w:val="single" w:sz="4" w:space="0" w:color="9CA3AF"/>
            </w:tcBorders>
            <w:shd w:val="clear" w:color="auto" w:fill="auto"/>
            <w:hideMark/>
          </w:tcPr>
          <w:p w14:paraId="0CD6088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A12A22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7E45E7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F096F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6829730"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10291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A8995D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nil"/>
              <w:left w:val="nil"/>
              <w:bottom w:val="single" w:sz="4" w:space="0" w:color="9CA3AF"/>
              <w:right w:val="single" w:sz="4" w:space="0" w:color="9CA3AF"/>
            </w:tcBorders>
            <w:shd w:val="clear" w:color="F1F5F9" w:fill="ECFDF5"/>
            <w:hideMark/>
          </w:tcPr>
          <w:p w14:paraId="5B462F0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nil"/>
              <w:left w:val="nil"/>
              <w:bottom w:val="single" w:sz="4" w:space="0" w:color="9CA3AF"/>
              <w:right w:val="single" w:sz="4" w:space="0" w:color="9CA3AF"/>
            </w:tcBorders>
            <w:shd w:val="clear" w:color="F1F5F9" w:fill="ECFDF5"/>
            <w:hideMark/>
          </w:tcPr>
          <w:p w14:paraId="2E87C65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2.2.3</w:t>
            </w:r>
          </w:p>
        </w:tc>
        <w:tc>
          <w:tcPr>
            <w:tcW w:w="1007" w:type="dxa"/>
            <w:tcBorders>
              <w:top w:val="nil"/>
              <w:left w:val="nil"/>
              <w:bottom w:val="single" w:sz="4" w:space="0" w:color="9CA3AF"/>
              <w:right w:val="single" w:sz="4" w:space="0" w:color="9CA3AF"/>
            </w:tcBorders>
            <w:shd w:val="clear" w:color="F1F5F9" w:fill="ECFDF5"/>
            <w:hideMark/>
          </w:tcPr>
          <w:p w14:paraId="29CFB492" w14:textId="3B6A1AB9"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Rritje e numrit dhe efektivitetit operacional të patrullave të Policisë Kufitare, me qëllim luftimin e kontrabandës dhe kalimit të paligjshëm të kufirit, përfshirë përmes vendosjes</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të bazuar në rrezik, patrullave të intensifikuara në zonat me rrezik të lartë, koordinimit të përmirësuar me strukturat e tjera ligjzbatuese dhe përdorimit të informacionit operacional, me qëllim zbulimin dhe parandalimin e aktivitetit kriminal ndërkufitar.</w:t>
            </w:r>
          </w:p>
        </w:tc>
        <w:tc>
          <w:tcPr>
            <w:tcW w:w="524" w:type="dxa"/>
            <w:tcBorders>
              <w:top w:val="nil"/>
              <w:left w:val="nil"/>
              <w:bottom w:val="single" w:sz="4" w:space="0" w:color="9CA3AF"/>
              <w:right w:val="single" w:sz="4" w:space="0" w:color="9CA3AF"/>
            </w:tcBorders>
            <w:shd w:val="clear" w:color="auto" w:fill="auto"/>
            <w:hideMark/>
          </w:tcPr>
          <w:p w14:paraId="204EFFC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2.2.3</w:t>
            </w:r>
          </w:p>
        </w:tc>
        <w:tc>
          <w:tcPr>
            <w:tcW w:w="1307" w:type="dxa"/>
            <w:tcBorders>
              <w:top w:val="nil"/>
              <w:left w:val="nil"/>
              <w:bottom w:val="single" w:sz="4" w:space="0" w:color="9CA3AF"/>
              <w:right w:val="single" w:sz="4" w:space="0" w:color="9CA3AF"/>
            </w:tcBorders>
            <w:shd w:val="clear" w:color="auto" w:fill="auto"/>
            <w:hideMark/>
          </w:tcPr>
          <w:p w14:paraId="11B7851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Dislokimi i patrullave të Policisë Kufitare bazuar në vlerësimet e rrezikut, duke u fokusuar në zonat me rrezik të lartë dhe korridoret e njohura të kontrabandës dhe trafikimit, dhe duke përdorur informacionin operacional për të udhëhequr modelet e patrullimit.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Përmirësimi i koordinimit midis Policisë Kufitare, Policisë së Shtetit dhe strukturave të tjera ligjzbatuese, për të siguruar përgjigje të shpejtë, patrullime të përbashkëta dhe zbulim efektiv të aktivitetit kriminal ndërkufitar.</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48793FE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91604AK; 901604AA</w:t>
            </w:r>
          </w:p>
        </w:tc>
        <w:tc>
          <w:tcPr>
            <w:tcW w:w="914" w:type="dxa"/>
            <w:tcBorders>
              <w:top w:val="nil"/>
              <w:left w:val="nil"/>
              <w:bottom w:val="single" w:sz="4" w:space="0" w:color="auto"/>
              <w:right w:val="single" w:sz="4" w:space="0" w:color="auto"/>
            </w:tcBorders>
            <w:shd w:val="clear" w:color="000000" w:fill="FFFFFF"/>
            <w:vAlign w:val="center"/>
            <w:hideMark/>
          </w:tcPr>
          <w:p w14:paraId="6E9599D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Policia e Shtetit</w:t>
            </w:r>
          </w:p>
        </w:tc>
        <w:tc>
          <w:tcPr>
            <w:tcW w:w="966" w:type="dxa"/>
            <w:tcBorders>
              <w:top w:val="nil"/>
              <w:left w:val="single" w:sz="4" w:space="0" w:color="9CA3AF"/>
              <w:bottom w:val="single" w:sz="4" w:space="0" w:color="9CA3AF"/>
              <w:right w:val="single" w:sz="4" w:space="0" w:color="9CA3AF"/>
            </w:tcBorders>
            <w:shd w:val="clear" w:color="auto" w:fill="auto"/>
            <w:hideMark/>
          </w:tcPr>
          <w:p w14:paraId="7C3BE9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Doganave</w:t>
            </w:r>
          </w:p>
        </w:tc>
        <w:tc>
          <w:tcPr>
            <w:tcW w:w="439" w:type="dxa"/>
            <w:tcBorders>
              <w:top w:val="nil"/>
              <w:left w:val="nil"/>
              <w:bottom w:val="single" w:sz="4" w:space="0" w:color="9CA3AF"/>
              <w:right w:val="single" w:sz="4" w:space="0" w:color="9CA3AF"/>
            </w:tcBorders>
            <w:shd w:val="clear" w:color="auto" w:fill="auto"/>
            <w:hideMark/>
          </w:tcPr>
          <w:p w14:paraId="2170512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CE55C3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60EB1A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CC1EBD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746981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AEEE9E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A8EFD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nil"/>
              <w:left w:val="nil"/>
              <w:bottom w:val="single" w:sz="4" w:space="0" w:color="9CA3AF"/>
              <w:right w:val="single" w:sz="4" w:space="0" w:color="9CA3AF"/>
            </w:tcBorders>
            <w:shd w:val="clear" w:color="F1F5F9" w:fill="ECFDF5"/>
            <w:hideMark/>
          </w:tcPr>
          <w:p w14:paraId="5A96A05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nil"/>
              <w:left w:val="nil"/>
              <w:bottom w:val="single" w:sz="4" w:space="0" w:color="9CA3AF"/>
              <w:right w:val="single" w:sz="4" w:space="0" w:color="9CA3AF"/>
            </w:tcBorders>
            <w:shd w:val="clear" w:color="F1F5F9" w:fill="ECFDF5"/>
            <w:hideMark/>
          </w:tcPr>
          <w:p w14:paraId="5F933CC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2.2.4</w:t>
            </w:r>
          </w:p>
        </w:tc>
        <w:tc>
          <w:tcPr>
            <w:tcW w:w="1007" w:type="dxa"/>
            <w:tcBorders>
              <w:top w:val="nil"/>
              <w:left w:val="nil"/>
              <w:bottom w:val="single" w:sz="4" w:space="0" w:color="9CA3AF"/>
              <w:right w:val="single" w:sz="4" w:space="0" w:color="9CA3AF"/>
            </w:tcBorders>
            <w:shd w:val="clear" w:color="F1F5F9" w:fill="ECFDF5"/>
            <w:hideMark/>
          </w:tcPr>
          <w:p w14:paraId="2E90213F" w14:textId="2683000E"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me strukturat ligjzbatuese brenda dhe jashtë vendit, përfshirë përmes shkëmbimit të informacionit, analizës së përbashkët të rrezikut dhe veprimeve operacionale të koordinuara, me qëllim parandalimin, zbulimin dhe luftimin aktivitetit kriminal në fushën e trafikimit të paligjshëm dhe trafikimit të qenieve njerëzore.</w:t>
            </w:r>
            <w:r w:rsidR="00F54824" w:rsidRPr="002128A6">
              <w:rPr>
                <w:rFonts w:ascii="Garamond" w:eastAsia="Times New Roman" w:hAnsi="Garamond" w:cs="Times New Roman"/>
                <w:kern w:val="0"/>
                <w:sz w:val="8"/>
                <w:szCs w:val="8"/>
                <w14:ligatures w14:val="none"/>
              </w:rPr>
              <w:t xml:space="preserve"> </w:t>
            </w:r>
          </w:p>
        </w:tc>
        <w:tc>
          <w:tcPr>
            <w:tcW w:w="524" w:type="dxa"/>
            <w:tcBorders>
              <w:top w:val="nil"/>
              <w:left w:val="nil"/>
              <w:bottom w:val="single" w:sz="4" w:space="0" w:color="9CA3AF"/>
              <w:right w:val="single" w:sz="4" w:space="0" w:color="9CA3AF"/>
            </w:tcBorders>
            <w:shd w:val="clear" w:color="auto" w:fill="auto"/>
            <w:hideMark/>
          </w:tcPr>
          <w:p w14:paraId="6A583E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2.2.4</w:t>
            </w:r>
          </w:p>
        </w:tc>
        <w:tc>
          <w:tcPr>
            <w:tcW w:w="1307" w:type="dxa"/>
            <w:tcBorders>
              <w:top w:val="nil"/>
              <w:left w:val="nil"/>
              <w:bottom w:val="single" w:sz="4" w:space="0" w:color="9CA3AF"/>
              <w:right w:val="single" w:sz="4" w:space="0" w:color="9CA3AF"/>
            </w:tcBorders>
            <w:shd w:val="clear" w:color="auto" w:fill="auto"/>
            <w:hideMark/>
          </w:tcPr>
          <w:p w14:paraId="56548CCB" w14:textId="4F47FAC1"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Miratimi i mekanizmave të strukturuar të shkëmbimit të informacionit dhe proceseve të analizës së përbashkët të rrezikut</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me agjencitë vendase dhe partnerët ndërkombëtarë, për të identifikuar rrjetet e trafikimit dhe lehtësuesit ndërkufitarë.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veprimeve të koordinuara operacionale, si hetime të përbashkëta, dorëzime të kontrolluara dhe operacione të njëkohshme zbatimi, me qëllim parandalimin, zbulimin dhe goditjen e rrjeteve të trafikimit të paligjshëm.</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4AA3DE9" w14:textId="1CC3ACC8"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 91604AC</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nil"/>
              <w:bottom w:val="single" w:sz="4" w:space="0" w:color="auto"/>
              <w:right w:val="single" w:sz="4" w:space="0" w:color="auto"/>
            </w:tcBorders>
            <w:shd w:val="clear" w:color="000000" w:fill="FFFFFF"/>
            <w:vAlign w:val="center"/>
            <w:hideMark/>
          </w:tcPr>
          <w:p w14:paraId="1215D84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Policia e Shtetit</w:t>
            </w:r>
          </w:p>
        </w:tc>
        <w:tc>
          <w:tcPr>
            <w:tcW w:w="966" w:type="dxa"/>
            <w:tcBorders>
              <w:top w:val="nil"/>
              <w:left w:val="single" w:sz="4" w:space="0" w:color="9CA3AF"/>
              <w:bottom w:val="single" w:sz="4" w:space="0" w:color="9CA3AF"/>
              <w:right w:val="single" w:sz="4" w:space="0" w:color="9CA3AF"/>
            </w:tcBorders>
            <w:shd w:val="clear" w:color="auto" w:fill="auto"/>
            <w:hideMark/>
          </w:tcPr>
          <w:p w14:paraId="6B170451" w14:textId="34CE5F18"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Turizmit, Kulturës dhe Sportit</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 xml:space="preserve">Instituti Kombëtar i Regjistrimit të Trashëgimisë Kulturore; Shërbimi Informativ i Shtetit; Drejtoria e Përgjithshme e Doganave; Agjencia e Inteligjencës dhe Sigurisë së Mbrojtjes; </w:t>
            </w:r>
          </w:p>
        </w:tc>
        <w:tc>
          <w:tcPr>
            <w:tcW w:w="439" w:type="dxa"/>
            <w:tcBorders>
              <w:top w:val="nil"/>
              <w:left w:val="nil"/>
              <w:bottom w:val="single" w:sz="4" w:space="0" w:color="9CA3AF"/>
              <w:right w:val="single" w:sz="4" w:space="0" w:color="9CA3AF"/>
            </w:tcBorders>
            <w:shd w:val="clear" w:color="auto" w:fill="auto"/>
            <w:hideMark/>
          </w:tcPr>
          <w:p w14:paraId="6D0D802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9FB15C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07FBF5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FDB9DE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275770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A45821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679CC77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nil"/>
              <w:left w:val="nil"/>
              <w:bottom w:val="single" w:sz="4" w:space="0" w:color="9CA3AF"/>
              <w:right w:val="single" w:sz="4" w:space="0" w:color="9CA3AF"/>
            </w:tcBorders>
            <w:shd w:val="clear" w:color="F1F5F9" w:fill="ECFDF5"/>
            <w:hideMark/>
          </w:tcPr>
          <w:p w14:paraId="049CAD3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nil"/>
              <w:left w:val="nil"/>
              <w:bottom w:val="single" w:sz="4" w:space="0" w:color="9CA3AF"/>
              <w:right w:val="single" w:sz="4" w:space="0" w:color="9CA3AF"/>
            </w:tcBorders>
            <w:shd w:val="clear" w:color="F1F5F9" w:fill="ECFDF5"/>
            <w:hideMark/>
          </w:tcPr>
          <w:p w14:paraId="09AD1AE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2.2.5</w:t>
            </w:r>
          </w:p>
        </w:tc>
        <w:tc>
          <w:tcPr>
            <w:tcW w:w="1007" w:type="dxa"/>
            <w:tcBorders>
              <w:top w:val="nil"/>
              <w:left w:val="nil"/>
              <w:bottom w:val="single" w:sz="4" w:space="0" w:color="9CA3AF"/>
              <w:right w:val="single" w:sz="4" w:space="0" w:color="9CA3AF"/>
            </w:tcBorders>
            <w:shd w:val="clear" w:color="F1F5F9" w:fill="ECFDF5"/>
            <w:hideMark/>
          </w:tcPr>
          <w:p w14:paraId="50EDCB2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Rritje e aktivitetit hetimor dhe operacioneve të përbashkëta të Policisë së Shtetit kundër trafikimit të armëve të zjarrit dhe municioneve, përfshirë përmes shënjestrimit të orientuar nga inteligjenca, hetimet proaktive dhe metodat e posaçme të hetimit, duke pasur mbështetjen e ligjshme në gjurmim dhe balistikë si dhe bashkëpunim të përforcuar me partnerët kombëtarë dhe ndërkombëtarë.</w:t>
            </w:r>
          </w:p>
        </w:tc>
        <w:tc>
          <w:tcPr>
            <w:tcW w:w="524" w:type="dxa"/>
            <w:tcBorders>
              <w:top w:val="nil"/>
              <w:left w:val="nil"/>
              <w:bottom w:val="single" w:sz="4" w:space="0" w:color="9CA3AF"/>
              <w:right w:val="single" w:sz="4" w:space="0" w:color="9CA3AF"/>
            </w:tcBorders>
            <w:shd w:val="clear" w:color="auto" w:fill="auto"/>
            <w:hideMark/>
          </w:tcPr>
          <w:p w14:paraId="4D98BDE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2.2.5</w:t>
            </w:r>
          </w:p>
        </w:tc>
        <w:tc>
          <w:tcPr>
            <w:tcW w:w="1307" w:type="dxa"/>
            <w:tcBorders>
              <w:top w:val="nil"/>
              <w:left w:val="nil"/>
              <w:bottom w:val="single" w:sz="4" w:space="0" w:color="9CA3AF"/>
              <w:right w:val="single" w:sz="4" w:space="0" w:color="9CA3AF"/>
            </w:tcBorders>
            <w:shd w:val="clear" w:color="auto" w:fill="auto"/>
            <w:hideMark/>
          </w:tcPr>
          <w:p w14:paraId="77BA8CC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Zbatimi i shënjestrimit bazuar në inteligjencë të rrjeteve të trafikimit të armëve, mbështetur nga hetimet proaktive, metodat e posaçme të hetimit dhe kapacitetet e zgjeruara të gjurmimit balistik.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bashkëpunimit me partnerët kombëtarë dhe ndërkombëtarë, përfshirë Europolin dhe platformat rajonale, për të gjurmuar armët, për të identifikuar zinxhirët e furnizimit dhe për të goditur rrjetet e organizuara të përfshira në trafikimin e armëve.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4AB889A9" w14:textId="30C39A7D"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 91604AC</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nil"/>
              <w:bottom w:val="single" w:sz="4" w:space="0" w:color="auto"/>
              <w:right w:val="single" w:sz="4" w:space="0" w:color="auto"/>
            </w:tcBorders>
            <w:shd w:val="clear" w:color="000000" w:fill="FFFFFF"/>
            <w:vAlign w:val="center"/>
            <w:hideMark/>
          </w:tcPr>
          <w:p w14:paraId="2485F58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Policia e Shtetit</w:t>
            </w:r>
          </w:p>
        </w:tc>
        <w:tc>
          <w:tcPr>
            <w:tcW w:w="966" w:type="dxa"/>
            <w:tcBorders>
              <w:top w:val="nil"/>
              <w:left w:val="single" w:sz="4" w:space="0" w:color="9CA3AF"/>
              <w:bottom w:val="single" w:sz="4" w:space="0" w:color="9CA3AF"/>
              <w:right w:val="single" w:sz="4" w:space="0" w:color="9CA3AF"/>
            </w:tcBorders>
            <w:shd w:val="clear" w:color="auto" w:fill="auto"/>
            <w:hideMark/>
          </w:tcPr>
          <w:p w14:paraId="422933C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Shërbimi Informativ i Shtetit; Drejtoria e Përgjithshme e Doganave; Agjencia e Inteligjencës dhe Sigurisë së Mbrojtjes;</w:t>
            </w:r>
          </w:p>
        </w:tc>
        <w:tc>
          <w:tcPr>
            <w:tcW w:w="439" w:type="dxa"/>
            <w:tcBorders>
              <w:top w:val="nil"/>
              <w:left w:val="nil"/>
              <w:bottom w:val="single" w:sz="4" w:space="0" w:color="9CA3AF"/>
              <w:right w:val="single" w:sz="4" w:space="0" w:color="9CA3AF"/>
            </w:tcBorders>
            <w:shd w:val="clear" w:color="auto" w:fill="auto"/>
            <w:hideMark/>
          </w:tcPr>
          <w:p w14:paraId="41B43D2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A9B9FB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F4A39E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D9CC66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C2A862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F6508A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20B0F0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nil"/>
              <w:left w:val="nil"/>
              <w:bottom w:val="single" w:sz="4" w:space="0" w:color="9CA3AF"/>
              <w:right w:val="single" w:sz="4" w:space="0" w:color="9CA3AF"/>
            </w:tcBorders>
            <w:shd w:val="clear" w:color="F1F5F9" w:fill="ECFDF5"/>
            <w:hideMark/>
          </w:tcPr>
          <w:p w14:paraId="2D4D014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nil"/>
              <w:left w:val="nil"/>
              <w:bottom w:val="single" w:sz="4" w:space="0" w:color="9CA3AF"/>
              <w:right w:val="single" w:sz="4" w:space="0" w:color="9CA3AF"/>
            </w:tcBorders>
            <w:shd w:val="clear" w:color="F1F5F9" w:fill="ECFDF5"/>
            <w:hideMark/>
          </w:tcPr>
          <w:p w14:paraId="7E37947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2.2.6</w:t>
            </w:r>
          </w:p>
        </w:tc>
        <w:tc>
          <w:tcPr>
            <w:tcW w:w="1007" w:type="dxa"/>
            <w:tcBorders>
              <w:top w:val="nil"/>
              <w:left w:val="nil"/>
              <w:bottom w:val="single" w:sz="4" w:space="0" w:color="9CA3AF"/>
              <w:right w:val="single" w:sz="4" w:space="0" w:color="9CA3AF"/>
            </w:tcBorders>
            <w:shd w:val="clear" w:color="F1F5F9" w:fill="ECFDF5"/>
            <w:hideMark/>
          </w:tcPr>
          <w:p w14:paraId="354709C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Rritje e kontrollit kufitar për parandalimin dhe luftën kundër kontrabandës së mjeteve motorike, përfshirë përmes profilizimit të riskut, kontrolleve të përforcuara të mjeteve motorike dhe dokumentacionit, përdorimit përkatës të bazave kombëtare dhe ndërkombëtare të të dhënave, si edhe koordinimit ndërmjet Policisë Kufitare, doganave dhe strukturave hetimore, me qëllim zbulimin dhe referimin në kohë të rasteve. </w:t>
            </w:r>
          </w:p>
        </w:tc>
        <w:tc>
          <w:tcPr>
            <w:tcW w:w="524" w:type="dxa"/>
            <w:tcBorders>
              <w:top w:val="nil"/>
              <w:left w:val="nil"/>
              <w:bottom w:val="single" w:sz="4" w:space="0" w:color="9CA3AF"/>
              <w:right w:val="single" w:sz="4" w:space="0" w:color="9CA3AF"/>
            </w:tcBorders>
            <w:shd w:val="clear" w:color="auto" w:fill="auto"/>
            <w:hideMark/>
          </w:tcPr>
          <w:p w14:paraId="014FA11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2.2.6</w:t>
            </w:r>
          </w:p>
        </w:tc>
        <w:tc>
          <w:tcPr>
            <w:tcW w:w="1307" w:type="dxa"/>
            <w:tcBorders>
              <w:top w:val="nil"/>
              <w:left w:val="nil"/>
              <w:bottom w:val="single" w:sz="4" w:space="0" w:color="9CA3AF"/>
              <w:right w:val="single" w:sz="4" w:space="0" w:color="9CA3AF"/>
            </w:tcBorders>
            <w:shd w:val="clear" w:color="auto" w:fill="auto"/>
            <w:hideMark/>
          </w:tcPr>
          <w:p w14:paraId="66E2C75D" w14:textId="078D224E"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i teknikave të profilizuara të rrezikut dhe kontrolleve të zgjeruara të dokumenteve dhe mjeteve motorike në pikat kufitare, duke përdorur bazat e të dhënave kombëtare dhe ndërkombëtare (si p.sh., regjistrat e mjeteve të vjedhura), për të zbuluar parregullsitë.</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Koordinimi i veprimeve midis Policisë Kufitare, Doganave dhe strukturave hetimore për të siguruar referim, sekuestrim dhe hetim në kohë të rasteve të dyshuara të trafikimit.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250731D9" w14:textId="1AF1A575"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91604AC</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nil"/>
              <w:bottom w:val="single" w:sz="4" w:space="0" w:color="auto"/>
              <w:right w:val="single" w:sz="4" w:space="0" w:color="auto"/>
            </w:tcBorders>
            <w:shd w:val="clear" w:color="000000" w:fill="FFFFFF"/>
            <w:vAlign w:val="center"/>
            <w:hideMark/>
          </w:tcPr>
          <w:p w14:paraId="201028D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Policia e Shtetit</w:t>
            </w:r>
          </w:p>
        </w:tc>
        <w:tc>
          <w:tcPr>
            <w:tcW w:w="966" w:type="dxa"/>
            <w:tcBorders>
              <w:top w:val="nil"/>
              <w:left w:val="single" w:sz="4" w:space="0" w:color="9CA3AF"/>
              <w:bottom w:val="single" w:sz="4" w:space="0" w:color="9CA3AF"/>
              <w:right w:val="single" w:sz="4" w:space="0" w:color="9CA3AF"/>
            </w:tcBorders>
            <w:shd w:val="clear" w:color="auto" w:fill="auto"/>
            <w:hideMark/>
          </w:tcPr>
          <w:p w14:paraId="26FAFC1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Doganave</w:t>
            </w:r>
          </w:p>
        </w:tc>
        <w:tc>
          <w:tcPr>
            <w:tcW w:w="439" w:type="dxa"/>
            <w:tcBorders>
              <w:top w:val="nil"/>
              <w:left w:val="nil"/>
              <w:bottom w:val="single" w:sz="4" w:space="0" w:color="9CA3AF"/>
              <w:right w:val="single" w:sz="4" w:space="0" w:color="9CA3AF"/>
            </w:tcBorders>
            <w:shd w:val="clear" w:color="auto" w:fill="auto"/>
            <w:hideMark/>
          </w:tcPr>
          <w:p w14:paraId="05A51B1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A0C8E4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EBA321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820C4C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BE886D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66A2B7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2113F6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nil"/>
              <w:left w:val="nil"/>
              <w:bottom w:val="single" w:sz="4" w:space="0" w:color="9CA3AF"/>
              <w:right w:val="single" w:sz="4" w:space="0" w:color="9CA3AF"/>
            </w:tcBorders>
            <w:shd w:val="clear" w:color="F1F5F9" w:fill="ECFDF5"/>
            <w:hideMark/>
          </w:tcPr>
          <w:p w14:paraId="0ABB2D5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nil"/>
              <w:left w:val="nil"/>
              <w:bottom w:val="single" w:sz="4" w:space="0" w:color="9CA3AF"/>
              <w:right w:val="single" w:sz="4" w:space="0" w:color="9CA3AF"/>
            </w:tcBorders>
            <w:shd w:val="clear" w:color="F1F5F9" w:fill="ECFDF5"/>
            <w:hideMark/>
          </w:tcPr>
          <w:p w14:paraId="49C715E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2.2.7</w:t>
            </w:r>
          </w:p>
        </w:tc>
        <w:tc>
          <w:tcPr>
            <w:tcW w:w="1007" w:type="dxa"/>
            <w:tcBorders>
              <w:top w:val="nil"/>
              <w:left w:val="nil"/>
              <w:bottom w:val="single" w:sz="4" w:space="0" w:color="9CA3AF"/>
              <w:right w:val="single" w:sz="4" w:space="0" w:color="9CA3AF"/>
            </w:tcBorders>
            <w:shd w:val="clear" w:color="F1F5F9" w:fill="ECFDF5"/>
            <w:hideMark/>
          </w:tcPr>
          <w:p w14:paraId="75A135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Rritje e kontrollit kufitar për parandalimin dhe luftën kundër trafikimit ndërkombëtar të pasurive kulturore, përfshirë përmes kontrolleve të shënjestruara në pikat kufitare, procedurave të përmirësuara të identifikimit dhe verifikimit, përdorimit të </w:t>
            </w:r>
            <w:r w:rsidRPr="002128A6">
              <w:rPr>
                <w:rFonts w:ascii="Garamond" w:eastAsia="Times New Roman" w:hAnsi="Garamond" w:cs="Times New Roman"/>
                <w:kern w:val="0"/>
                <w:sz w:val="8"/>
                <w:szCs w:val="8"/>
                <w14:ligatures w14:val="none"/>
              </w:rPr>
              <w:lastRenderedPageBreak/>
              <w:t>ekspertizës së specializuar dhe bazave të të dhënave dhe veprimit të koordinuar me institucionet përgjegjëse kombëtare dhe partnerët ndërkombëtarë.</w:t>
            </w:r>
          </w:p>
        </w:tc>
        <w:tc>
          <w:tcPr>
            <w:tcW w:w="524" w:type="dxa"/>
            <w:tcBorders>
              <w:top w:val="nil"/>
              <w:left w:val="nil"/>
              <w:bottom w:val="single" w:sz="4" w:space="0" w:color="9CA3AF"/>
              <w:right w:val="single" w:sz="4" w:space="0" w:color="9CA3AF"/>
            </w:tcBorders>
            <w:shd w:val="clear" w:color="auto" w:fill="auto"/>
            <w:hideMark/>
          </w:tcPr>
          <w:p w14:paraId="4490909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2.2.7</w:t>
            </w:r>
          </w:p>
        </w:tc>
        <w:tc>
          <w:tcPr>
            <w:tcW w:w="1307" w:type="dxa"/>
            <w:tcBorders>
              <w:top w:val="nil"/>
              <w:left w:val="nil"/>
              <w:bottom w:val="single" w:sz="4" w:space="0" w:color="9CA3AF"/>
              <w:right w:val="single" w:sz="4" w:space="0" w:color="9CA3AF"/>
            </w:tcBorders>
            <w:shd w:val="clear" w:color="auto" w:fill="auto"/>
            <w:hideMark/>
          </w:tcPr>
          <w:p w14:paraId="790771A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kontrolleve të shënjestruara në pikat e kalimit kufitar, duke përdorur procedura të specializuara identifikimi, mbështetje eksperte dhe akses në bazat e të dhënave kombëtare dhe ndërkombëtare të pasurive kulturore.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Koordinimi me institucionet përgjegjëse kombëtare dhe </w:t>
            </w:r>
            <w:r w:rsidRPr="002128A6">
              <w:rPr>
                <w:rFonts w:ascii="Garamond" w:eastAsia="Times New Roman" w:hAnsi="Garamond" w:cs="Times New Roman"/>
                <w:kern w:val="0"/>
                <w:sz w:val="8"/>
                <w:szCs w:val="8"/>
                <w14:ligatures w14:val="none"/>
              </w:rPr>
              <w:lastRenderedPageBreak/>
              <w:t>partnerët ndërkombëtarë, me qëllim verifikimin e autencititetit, zbulimin e lëvizjeve të paligjshme të objekteve kulturore dhe ndjekjen e shpejtë operacionale.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2DA0F9FA" w14:textId="38753FD1"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91604AA</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nil"/>
              <w:bottom w:val="single" w:sz="4" w:space="0" w:color="auto"/>
              <w:right w:val="single" w:sz="4" w:space="0" w:color="auto"/>
            </w:tcBorders>
            <w:shd w:val="clear" w:color="000000" w:fill="FFFFFF"/>
            <w:vAlign w:val="center"/>
            <w:hideMark/>
          </w:tcPr>
          <w:p w14:paraId="13A2B6A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Policia e Shtetit</w:t>
            </w:r>
          </w:p>
        </w:tc>
        <w:tc>
          <w:tcPr>
            <w:tcW w:w="966" w:type="dxa"/>
            <w:tcBorders>
              <w:top w:val="nil"/>
              <w:left w:val="single" w:sz="4" w:space="0" w:color="9CA3AF"/>
              <w:bottom w:val="single" w:sz="4" w:space="0" w:color="9CA3AF"/>
              <w:right w:val="single" w:sz="4" w:space="0" w:color="9CA3AF"/>
            </w:tcBorders>
            <w:shd w:val="clear" w:color="auto" w:fill="auto"/>
            <w:hideMark/>
          </w:tcPr>
          <w:p w14:paraId="6446CFE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Turizmit, Kulturës dhe Sportit; Instituti Kombëtar i Regjistrimit të Trashëgimisë Kulturore</w:t>
            </w:r>
          </w:p>
        </w:tc>
        <w:tc>
          <w:tcPr>
            <w:tcW w:w="439" w:type="dxa"/>
            <w:tcBorders>
              <w:top w:val="nil"/>
              <w:left w:val="nil"/>
              <w:bottom w:val="single" w:sz="4" w:space="0" w:color="9CA3AF"/>
              <w:right w:val="single" w:sz="4" w:space="0" w:color="9CA3AF"/>
            </w:tcBorders>
            <w:shd w:val="clear" w:color="auto" w:fill="auto"/>
            <w:hideMark/>
          </w:tcPr>
          <w:p w14:paraId="0BA3C97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573775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9B66AD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62EC92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C9DE09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28A72A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45D242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nil"/>
              <w:left w:val="nil"/>
              <w:bottom w:val="single" w:sz="4" w:space="0" w:color="9CA3AF"/>
              <w:right w:val="single" w:sz="4" w:space="0" w:color="9CA3AF"/>
            </w:tcBorders>
            <w:shd w:val="clear" w:color="F1F5F9" w:fill="ECFDF5"/>
            <w:hideMark/>
          </w:tcPr>
          <w:p w14:paraId="4440713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nil"/>
              <w:left w:val="nil"/>
              <w:bottom w:val="single" w:sz="4" w:space="0" w:color="9CA3AF"/>
              <w:right w:val="single" w:sz="4" w:space="0" w:color="9CA3AF"/>
            </w:tcBorders>
            <w:shd w:val="clear" w:color="F1F5F9" w:fill="ECFDF5"/>
            <w:hideMark/>
          </w:tcPr>
          <w:p w14:paraId="77431EC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2.2.8</w:t>
            </w:r>
          </w:p>
        </w:tc>
        <w:tc>
          <w:tcPr>
            <w:tcW w:w="1007" w:type="dxa"/>
            <w:tcBorders>
              <w:top w:val="nil"/>
              <w:left w:val="nil"/>
              <w:bottom w:val="single" w:sz="4" w:space="0" w:color="9CA3AF"/>
              <w:right w:val="single" w:sz="4" w:space="0" w:color="9CA3AF"/>
            </w:tcBorders>
            <w:shd w:val="clear" w:color="F1F5F9" w:fill="ECFDF5"/>
            <w:hideMark/>
          </w:tcPr>
          <w:p w14:paraId="6501423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dhe miratimi i Planit Kombëtar të Veprimit “Për parandalimin dhe luftën kundër trafikimit të pasurive kulturore të luajtshme”, për vitet 2026-2028.</w:t>
            </w:r>
          </w:p>
        </w:tc>
        <w:tc>
          <w:tcPr>
            <w:tcW w:w="524" w:type="dxa"/>
            <w:tcBorders>
              <w:top w:val="nil"/>
              <w:left w:val="nil"/>
              <w:bottom w:val="single" w:sz="4" w:space="0" w:color="9CA3AF"/>
              <w:right w:val="single" w:sz="4" w:space="0" w:color="9CA3AF"/>
            </w:tcBorders>
            <w:shd w:val="clear" w:color="auto" w:fill="auto"/>
            <w:hideMark/>
          </w:tcPr>
          <w:p w14:paraId="7C56042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2.2.8</w:t>
            </w:r>
          </w:p>
        </w:tc>
        <w:tc>
          <w:tcPr>
            <w:tcW w:w="1307" w:type="dxa"/>
            <w:tcBorders>
              <w:top w:val="nil"/>
              <w:left w:val="nil"/>
              <w:bottom w:val="single" w:sz="4" w:space="0" w:color="9CA3AF"/>
              <w:right w:val="single" w:sz="4" w:space="0" w:color="9CA3AF"/>
            </w:tcBorders>
            <w:shd w:val="clear" w:color="auto" w:fill="auto"/>
            <w:hideMark/>
          </w:tcPr>
          <w:p w14:paraId="0AEB4E8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dhe miratimi i Planit Kombëtar të Veprimit “Për parandalimin dhe luftën kundër trafikimit të pasurive kulturore të luajtshme”, për vitet 2026-2028, duke përcaktuar përgjegjësi, masa, afate kohore dhe mekanizma koordinimi të qartë midis të gjitha institucioneve përgjegjëse.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Monitorimi periodik dhe raportimi mbi progresin e zbatimit, përfshirë vlerësimin e rezultateve operacionale, bashkëpunimit institucional dhe rreziqeve në zhvillim.</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02F4CA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91202AB</w:t>
            </w:r>
          </w:p>
        </w:tc>
        <w:tc>
          <w:tcPr>
            <w:tcW w:w="914" w:type="dxa"/>
            <w:tcBorders>
              <w:top w:val="nil"/>
              <w:left w:val="nil"/>
              <w:bottom w:val="single" w:sz="4" w:space="0" w:color="auto"/>
              <w:right w:val="single" w:sz="4" w:space="0" w:color="auto"/>
            </w:tcBorders>
            <w:shd w:val="clear" w:color="000000" w:fill="FFFFFF"/>
            <w:vAlign w:val="center"/>
            <w:hideMark/>
          </w:tcPr>
          <w:p w14:paraId="319C9FC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Turizmit, Kulturës dhe Sportit/Instituti i Regjstrimit të Pasurisë Kulturor</w:t>
            </w:r>
          </w:p>
        </w:tc>
        <w:tc>
          <w:tcPr>
            <w:tcW w:w="966" w:type="dxa"/>
            <w:tcBorders>
              <w:top w:val="nil"/>
              <w:left w:val="single" w:sz="4" w:space="0" w:color="9CA3AF"/>
              <w:bottom w:val="single" w:sz="4" w:space="0" w:color="9CA3AF"/>
              <w:right w:val="single" w:sz="4" w:space="0" w:color="9CA3AF"/>
            </w:tcBorders>
            <w:shd w:val="clear" w:color="auto" w:fill="auto"/>
            <w:hideMark/>
          </w:tcPr>
          <w:p w14:paraId="60AB3BF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Brendshme/Policia e Shtetit; Drejtoria e Përgjithshme e Doganave</w:t>
            </w:r>
          </w:p>
        </w:tc>
        <w:tc>
          <w:tcPr>
            <w:tcW w:w="439" w:type="dxa"/>
            <w:tcBorders>
              <w:top w:val="nil"/>
              <w:left w:val="nil"/>
              <w:bottom w:val="single" w:sz="4" w:space="0" w:color="9CA3AF"/>
              <w:right w:val="single" w:sz="4" w:space="0" w:color="9CA3AF"/>
            </w:tcBorders>
            <w:shd w:val="clear" w:color="auto" w:fill="auto"/>
            <w:hideMark/>
          </w:tcPr>
          <w:p w14:paraId="242929D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A36B0C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F29ECA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667F13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F83F88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FBEB6C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27614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w:t>
            </w:r>
          </w:p>
        </w:tc>
        <w:tc>
          <w:tcPr>
            <w:tcW w:w="867" w:type="dxa"/>
            <w:tcBorders>
              <w:top w:val="nil"/>
              <w:left w:val="nil"/>
              <w:bottom w:val="single" w:sz="4" w:space="0" w:color="9CA3AF"/>
              <w:right w:val="single" w:sz="4" w:space="0" w:color="9CA3AF"/>
            </w:tcBorders>
            <w:shd w:val="clear" w:color="F1F5F9" w:fill="ECFDF5"/>
            <w:hideMark/>
          </w:tcPr>
          <w:p w14:paraId="46FD85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Reduktimi i ndjeshëm i trafikimit, duke rritur zbulimin, goditjen e rrjeteve kriminale dhe forcimin e kontrolleve kufitare dhe hetimore.</w:t>
            </w:r>
          </w:p>
        </w:tc>
        <w:tc>
          <w:tcPr>
            <w:tcW w:w="517" w:type="dxa"/>
            <w:tcBorders>
              <w:top w:val="nil"/>
              <w:left w:val="nil"/>
              <w:bottom w:val="single" w:sz="4" w:space="0" w:color="9CA3AF"/>
              <w:right w:val="single" w:sz="4" w:space="0" w:color="9CA3AF"/>
            </w:tcBorders>
            <w:shd w:val="clear" w:color="F1F5F9" w:fill="ECFDF5"/>
            <w:hideMark/>
          </w:tcPr>
          <w:p w14:paraId="06F7B49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2.2.9</w:t>
            </w:r>
          </w:p>
        </w:tc>
        <w:tc>
          <w:tcPr>
            <w:tcW w:w="1007" w:type="dxa"/>
            <w:tcBorders>
              <w:top w:val="nil"/>
              <w:left w:val="nil"/>
              <w:bottom w:val="single" w:sz="4" w:space="0" w:color="9CA3AF"/>
              <w:right w:val="single" w:sz="4" w:space="0" w:color="9CA3AF"/>
            </w:tcBorders>
            <w:shd w:val="clear" w:color="F1F5F9" w:fill="ECFDF5"/>
            <w:hideMark/>
          </w:tcPr>
          <w:p w14:paraId="67D852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Ngritja dhe vënia në funksion e databazës së Objekteve të Humbura, bazuar në procedura të standardizuara për administrimin dhe përditësimin e të dhënave</w:t>
            </w:r>
          </w:p>
        </w:tc>
        <w:tc>
          <w:tcPr>
            <w:tcW w:w="524" w:type="dxa"/>
            <w:tcBorders>
              <w:top w:val="nil"/>
              <w:left w:val="nil"/>
              <w:bottom w:val="single" w:sz="4" w:space="0" w:color="9CA3AF"/>
              <w:right w:val="single" w:sz="4" w:space="0" w:color="9CA3AF"/>
            </w:tcBorders>
            <w:shd w:val="clear" w:color="auto" w:fill="auto"/>
            <w:hideMark/>
          </w:tcPr>
          <w:p w14:paraId="70EBBC0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2.2.9</w:t>
            </w:r>
          </w:p>
        </w:tc>
        <w:tc>
          <w:tcPr>
            <w:tcW w:w="1307" w:type="dxa"/>
            <w:tcBorders>
              <w:top w:val="nil"/>
              <w:left w:val="nil"/>
              <w:bottom w:val="single" w:sz="4" w:space="0" w:color="9CA3AF"/>
              <w:right w:val="single" w:sz="4" w:space="0" w:color="9CA3AF"/>
            </w:tcBorders>
            <w:shd w:val="clear" w:color="000000" w:fill="FFFFFF"/>
            <w:hideMark/>
          </w:tcPr>
          <w:p w14:paraId="1E98894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Ngritja dhe vënia në përdorim e bazës së të dhënave të Objekteve të Humbura me procedura të standardizuara procedura për hedhjen e të dhënave, përgjegjësi institucionale për mirëmbajtjen dhe mekanizma të kontrollit të cilësisë.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Përditësimi periodik i bazës së të dhënave dhe Regjistrit Kombëtar të Pasurive Kulturore, si dhe vendosja e kanale të shkëmbimit të informacionit me partnerët kombëtarë dhe ndërkombëtarë për të mbështetur identifikimin dhe rikuperimin e objekteve kulturore të vjedhura.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CD6EF4F"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91202AB</w:t>
            </w:r>
          </w:p>
        </w:tc>
        <w:tc>
          <w:tcPr>
            <w:tcW w:w="914" w:type="dxa"/>
            <w:tcBorders>
              <w:top w:val="nil"/>
              <w:left w:val="nil"/>
              <w:bottom w:val="single" w:sz="4" w:space="0" w:color="auto"/>
              <w:right w:val="single" w:sz="4" w:space="0" w:color="auto"/>
            </w:tcBorders>
            <w:shd w:val="clear" w:color="000000" w:fill="FFFFFF"/>
            <w:vAlign w:val="center"/>
            <w:hideMark/>
          </w:tcPr>
          <w:p w14:paraId="3CA7A25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Turizmit, Kulturës dhe Sportit/Instituti i Regjstrimit të Pasurisë Kulturor</w:t>
            </w:r>
          </w:p>
        </w:tc>
        <w:tc>
          <w:tcPr>
            <w:tcW w:w="966" w:type="dxa"/>
            <w:tcBorders>
              <w:top w:val="nil"/>
              <w:left w:val="single" w:sz="4" w:space="0" w:color="9CA3AF"/>
              <w:bottom w:val="single" w:sz="4" w:space="0" w:color="9CA3AF"/>
              <w:right w:val="single" w:sz="4" w:space="0" w:color="9CA3AF"/>
            </w:tcBorders>
            <w:shd w:val="clear" w:color="auto" w:fill="auto"/>
            <w:hideMark/>
          </w:tcPr>
          <w:p w14:paraId="060B81A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Kombëtare e Shoqërisë së Informacionit</w:t>
            </w:r>
          </w:p>
        </w:tc>
        <w:tc>
          <w:tcPr>
            <w:tcW w:w="439" w:type="dxa"/>
            <w:tcBorders>
              <w:top w:val="nil"/>
              <w:left w:val="nil"/>
              <w:bottom w:val="single" w:sz="4" w:space="0" w:color="9CA3AF"/>
              <w:right w:val="single" w:sz="4" w:space="0" w:color="9CA3AF"/>
            </w:tcBorders>
            <w:shd w:val="clear" w:color="auto" w:fill="auto"/>
            <w:hideMark/>
          </w:tcPr>
          <w:p w14:paraId="0279B74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596" w:type="dxa"/>
            <w:tcBorders>
              <w:top w:val="nil"/>
              <w:left w:val="nil"/>
              <w:bottom w:val="single" w:sz="4" w:space="0" w:color="9CA3AF"/>
              <w:right w:val="single" w:sz="4" w:space="0" w:color="9CA3AF"/>
            </w:tcBorders>
            <w:shd w:val="clear" w:color="auto" w:fill="auto"/>
            <w:hideMark/>
          </w:tcPr>
          <w:p w14:paraId="127960A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57CFD0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703955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1365E3D"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24E1298F"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2.2</w:t>
            </w:r>
          </w:p>
        </w:tc>
        <w:tc>
          <w:tcPr>
            <w:tcW w:w="649" w:type="dxa"/>
            <w:tcBorders>
              <w:top w:val="nil"/>
              <w:left w:val="nil"/>
              <w:bottom w:val="nil"/>
              <w:right w:val="nil"/>
            </w:tcBorders>
            <w:shd w:val="clear" w:color="FDEADA" w:fill="FEF3C7"/>
            <w:noWrap/>
            <w:vAlign w:val="bottom"/>
            <w:hideMark/>
          </w:tcPr>
          <w:p w14:paraId="6D040B5E"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4F350CBC"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30CAEF0B"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5DCA311C"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2.3 —Forcimi i kapaciteteve kombëtare për zbulimin, hetimin dhe ndjekjen penale të krimit ekonomik dhe financiar, që rezulton në rritje të sekuestrimeve dhe ulje të pandëshkueshmërisë</w:t>
            </w:r>
          </w:p>
        </w:tc>
      </w:tr>
      <w:tr w:rsidR="00F54824" w:rsidRPr="002128A6" w14:paraId="3F4EF479"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744133B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046AC31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single" w:sz="4" w:space="0" w:color="9CA3AF"/>
              <w:left w:val="nil"/>
              <w:bottom w:val="single" w:sz="4" w:space="0" w:color="9CA3AF"/>
              <w:right w:val="single" w:sz="4" w:space="0" w:color="9CA3AF"/>
            </w:tcBorders>
            <w:shd w:val="clear" w:color="F1F5F9" w:fill="ECFDF5"/>
            <w:hideMark/>
          </w:tcPr>
          <w:p w14:paraId="0ECAEC5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single" w:sz="4" w:space="0" w:color="9CA3AF"/>
              <w:left w:val="nil"/>
              <w:bottom w:val="single" w:sz="4" w:space="0" w:color="9CA3AF"/>
              <w:right w:val="single" w:sz="4" w:space="0" w:color="9CA3AF"/>
            </w:tcBorders>
            <w:shd w:val="clear" w:color="F1F5F9" w:fill="ECFDF5"/>
            <w:hideMark/>
          </w:tcPr>
          <w:p w14:paraId="19D9E58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574651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luftës kundër pastrimit të parave përmes një qasjeje të udhëhequr nga inteligjenca, duke u mbështetur në hetim proaktiv, analizë të thelluar të riskut dhe bashkëpunim të ngushtë me prokurorinë, me qëllim përmirësimin e zbulimit, hetimit dhe ndjekjes penale të pastrimit të parave si vepër autonome dhe si komponent paralel i hetimeve të krimit të organizuar.</w:t>
            </w:r>
          </w:p>
        </w:tc>
        <w:tc>
          <w:tcPr>
            <w:tcW w:w="524" w:type="dxa"/>
            <w:tcBorders>
              <w:top w:val="single" w:sz="4" w:space="0" w:color="9CA3AF"/>
              <w:left w:val="nil"/>
              <w:bottom w:val="single" w:sz="4" w:space="0" w:color="9CA3AF"/>
              <w:right w:val="single" w:sz="4" w:space="0" w:color="9CA3AF"/>
            </w:tcBorders>
            <w:shd w:val="clear" w:color="auto" w:fill="auto"/>
            <w:hideMark/>
          </w:tcPr>
          <w:p w14:paraId="3FA4A72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w:t>
            </w:r>
          </w:p>
        </w:tc>
        <w:tc>
          <w:tcPr>
            <w:tcW w:w="1307" w:type="dxa"/>
            <w:tcBorders>
              <w:top w:val="single" w:sz="4" w:space="0" w:color="9CA3AF"/>
              <w:left w:val="nil"/>
              <w:bottom w:val="single" w:sz="4" w:space="0" w:color="9CA3AF"/>
              <w:right w:val="single" w:sz="4" w:space="0" w:color="9CA3AF"/>
            </w:tcBorders>
            <w:shd w:val="clear" w:color="auto" w:fill="auto"/>
            <w:hideMark/>
          </w:tcPr>
          <w:p w14:paraId="2AAD56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hetimeve proaktive për pastrimin e parave, duke u udhëhequr nga inteligjenca dhe duke përdorur analizë të thelluar financiare, modele transaksionesh të dyshimta dhe inteligjencë ndërinstitucionale, për të zbuluar pastrimin e parave si vepër autonome dhe si komponent paralel i çështjeve të krimit të organizuar.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bashkëpunimit me organin e akuzës përmes takimeve të përbashkëta të përzgjedhjes së çështjeve, planeve të koordinuara hetimore dhe zbatimit të hershëm të masave të sekuestrimit për të ruajtur të ardhurat kriminale.</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8F2C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single" w:sz="4" w:space="0" w:color="9CA3AF"/>
              <w:left w:val="single" w:sz="4" w:space="0" w:color="9CA3AF"/>
              <w:bottom w:val="single" w:sz="4" w:space="0" w:color="9CA3AF"/>
              <w:right w:val="single" w:sz="4" w:space="0" w:color="9CA3AF"/>
            </w:tcBorders>
            <w:shd w:val="clear" w:color="auto" w:fill="auto"/>
            <w:hideMark/>
          </w:tcPr>
          <w:p w14:paraId="5BE6A7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9CA3AF"/>
              <w:left w:val="nil"/>
              <w:bottom w:val="single" w:sz="4" w:space="0" w:color="9CA3AF"/>
              <w:right w:val="single" w:sz="4" w:space="0" w:color="9CA3AF"/>
            </w:tcBorders>
            <w:shd w:val="clear" w:color="auto" w:fill="auto"/>
            <w:hideMark/>
          </w:tcPr>
          <w:p w14:paraId="3AA40AC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Përgjithshme; Byroja Kombëtare e Hetimit; Drejtoria e Përgjithshme e Tatimeve; Drejtoria e Përgjithshme e Doganave; Agjencia e Inteligjencës Financiare, </w:t>
            </w:r>
          </w:p>
        </w:tc>
        <w:tc>
          <w:tcPr>
            <w:tcW w:w="439" w:type="dxa"/>
            <w:tcBorders>
              <w:top w:val="single" w:sz="4" w:space="0" w:color="9CA3AF"/>
              <w:left w:val="nil"/>
              <w:bottom w:val="single" w:sz="4" w:space="0" w:color="9CA3AF"/>
              <w:right w:val="single" w:sz="4" w:space="0" w:color="9CA3AF"/>
            </w:tcBorders>
            <w:shd w:val="clear" w:color="auto" w:fill="auto"/>
            <w:hideMark/>
          </w:tcPr>
          <w:p w14:paraId="423F02D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065D881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4D3AAFD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5F78FB5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89451B4"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305A4D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w:t>
            </w:r>
          </w:p>
        </w:tc>
        <w:tc>
          <w:tcPr>
            <w:tcW w:w="330" w:type="dxa"/>
            <w:tcBorders>
              <w:top w:val="nil"/>
              <w:left w:val="nil"/>
              <w:bottom w:val="single" w:sz="4" w:space="0" w:color="9CA3AF"/>
              <w:right w:val="single" w:sz="4" w:space="0" w:color="9CA3AF"/>
            </w:tcBorders>
            <w:shd w:val="clear" w:color="F1F5F9" w:fill="ECFDF5"/>
            <w:hideMark/>
          </w:tcPr>
          <w:p w14:paraId="1A90BE1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3DDA56B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7C3DB82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2.3.2</w:t>
            </w:r>
          </w:p>
        </w:tc>
        <w:tc>
          <w:tcPr>
            <w:tcW w:w="1007" w:type="dxa"/>
            <w:tcBorders>
              <w:top w:val="nil"/>
              <w:left w:val="nil"/>
              <w:bottom w:val="single" w:sz="4" w:space="0" w:color="9CA3AF"/>
              <w:right w:val="single" w:sz="4" w:space="0" w:color="9CA3AF"/>
            </w:tcBorders>
            <w:shd w:val="clear" w:color="F1F5F9" w:fill="ECFDF5"/>
            <w:hideMark/>
          </w:tcPr>
          <w:p w14:paraId="66CF35F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Shkëmbimi i informacionit nga Agjencia e Inteligjencës Financiare me agjencitë ligjzbatuese dhe ato të inteligjencës, në kuadër të zbatimit të fushës së saj të veprimtarisë.</w:t>
            </w:r>
          </w:p>
        </w:tc>
        <w:tc>
          <w:tcPr>
            <w:tcW w:w="524" w:type="dxa"/>
            <w:tcBorders>
              <w:top w:val="nil"/>
              <w:left w:val="nil"/>
              <w:bottom w:val="single" w:sz="4" w:space="0" w:color="9CA3AF"/>
              <w:right w:val="single" w:sz="4" w:space="0" w:color="9CA3AF"/>
            </w:tcBorders>
            <w:shd w:val="clear" w:color="auto" w:fill="auto"/>
            <w:hideMark/>
          </w:tcPr>
          <w:p w14:paraId="365637B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2.3.2</w:t>
            </w:r>
          </w:p>
        </w:tc>
        <w:tc>
          <w:tcPr>
            <w:tcW w:w="1307" w:type="dxa"/>
            <w:tcBorders>
              <w:top w:val="nil"/>
              <w:left w:val="nil"/>
              <w:bottom w:val="single" w:sz="4" w:space="0" w:color="9CA3AF"/>
              <w:right w:val="single" w:sz="4" w:space="0" w:color="9CA3AF"/>
            </w:tcBorders>
            <w:shd w:val="clear" w:color="auto" w:fill="auto"/>
            <w:hideMark/>
          </w:tcPr>
          <w:p w14:paraId="24A56D4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Dërgimi i informacioneve midis Agjencisë së Inteligjencës Financiare dhe organeve ligjzbatuese, që janë të sigurta dhe shkëmbejnë informacion në kohë reale,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mekanizmave të strukturuar të reagimit, për të përmirësuar cilësinë e raporteve të transaksioneve të dyshimta dhe për të rritur rëndësinë e inteligjencës financiare për hetimet proaktive.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795D52C4"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91006AA</w:t>
            </w:r>
          </w:p>
        </w:tc>
        <w:tc>
          <w:tcPr>
            <w:tcW w:w="914" w:type="dxa"/>
            <w:tcBorders>
              <w:top w:val="nil"/>
              <w:left w:val="single" w:sz="4" w:space="0" w:color="9CA3AF"/>
              <w:bottom w:val="single" w:sz="4" w:space="0" w:color="9CA3AF"/>
              <w:right w:val="single" w:sz="4" w:space="0" w:color="9CA3AF"/>
            </w:tcBorders>
            <w:shd w:val="clear" w:color="auto" w:fill="auto"/>
            <w:hideMark/>
          </w:tcPr>
          <w:p w14:paraId="0C3D289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e Inteligjencës Financiare</w:t>
            </w:r>
          </w:p>
        </w:tc>
        <w:tc>
          <w:tcPr>
            <w:tcW w:w="966" w:type="dxa"/>
            <w:tcBorders>
              <w:top w:val="nil"/>
              <w:left w:val="nil"/>
              <w:bottom w:val="single" w:sz="4" w:space="0" w:color="9CA3AF"/>
              <w:right w:val="single" w:sz="4" w:space="0" w:color="9CA3AF"/>
            </w:tcBorders>
            <w:shd w:val="clear" w:color="auto" w:fill="auto"/>
            <w:hideMark/>
          </w:tcPr>
          <w:p w14:paraId="214AADE1" w14:textId="35720F5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Prokuroritë e Juridiksionit të Përgjithshëm;</w:t>
            </w:r>
            <w:r w:rsidR="002651E7"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Prokuroria e Posaçme; PSH; BKH; SHISH; DPT.</w:t>
            </w:r>
          </w:p>
        </w:tc>
        <w:tc>
          <w:tcPr>
            <w:tcW w:w="439" w:type="dxa"/>
            <w:tcBorders>
              <w:top w:val="nil"/>
              <w:left w:val="nil"/>
              <w:bottom w:val="single" w:sz="4" w:space="0" w:color="9CA3AF"/>
              <w:right w:val="single" w:sz="4" w:space="0" w:color="9CA3AF"/>
            </w:tcBorders>
            <w:shd w:val="clear" w:color="auto" w:fill="auto"/>
            <w:hideMark/>
          </w:tcPr>
          <w:p w14:paraId="48FD4AB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828D86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202B38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CAECA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894ED1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D0F3CC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C9BAF0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6B97833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2E922B6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2.3.3</w:t>
            </w:r>
          </w:p>
        </w:tc>
        <w:tc>
          <w:tcPr>
            <w:tcW w:w="1007" w:type="dxa"/>
            <w:tcBorders>
              <w:top w:val="nil"/>
              <w:left w:val="nil"/>
              <w:bottom w:val="single" w:sz="4" w:space="0" w:color="9CA3AF"/>
              <w:right w:val="single" w:sz="4" w:space="0" w:color="9CA3AF"/>
            </w:tcBorders>
            <w:shd w:val="clear" w:color="F1F5F9" w:fill="ECFDF5"/>
            <w:hideMark/>
          </w:tcPr>
          <w:p w14:paraId="3898C90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Kryerja e inspektimeve të bazuara në risk për subjektet e përcaktuara sipas Ligjit Nr. 9917, datë 19.05.2008, i pandryshuar.</w:t>
            </w:r>
          </w:p>
        </w:tc>
        <w:tc>
          <w:tcPr>
            <w:tcW w:w="524" w:type="dxa"/>
            <w:tcBorders>
              <w:top w:val="nil"/>
              <w:left w:val="nil"/>
              <w:bottom w:val="single" w:sz="4" w:space="0" w:color="9CA3AF"/>
              <w:right w:val="single" w:sz="4" w:space="0" w:color="9CA3AF"/>
            </w:tcBorders>
            <w:shd w:val="clear" w:color="auto" w:fill="auto"/>
            <w:hideMark/>
          </w:tcPr>
          <w:p w14:paraId="586579A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2.3.3</w:t>
            </w:r>
          </w:p>
        </w:tc>
        <w:tc>
          <w:tcPr>
            <w:tcW w:w="1307" w:type="dxa"/>
            <w:tcBorders>
              <w:top w:val="nil"/>
              <w:left w:val="nil"/>
              <w:bottom w:val="single" w:sz="4" w:space="0" w:color="9CA3AF"/>
              <w:right w:val="single" w:sz="4" w:space="0" w:color="9CA3AF"/>
            </w:tcBorders>
            <w:shd w:val="clear" w:color="auto" w:fill="auto"/>
            <w:hideMark/>
          </w:tcPr>
          <w:p w14:paraId="47F98AA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inspektimeve të bazuara në rrezik duke përdorur tregues specifikë sektorialë të rrezikut, duke prioritizuar subjektet me rrezik të lartë si agjentët e pasurive të paluajtshme, kontabilistët, kazinotë dhe bizneset e shërbimeve monetare.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Ndjekja e vazhdueshme e gjetjeve të inspektimit, përmes planeve për veprime korrigjuese dhe sanksioneve, aty ku është e përshtatshme, si dhe monitorimit të përmirësimeve të pajtueshmërisë me kalimin e kohës.</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4B4A353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91006AA</w:t>
            </w:r>
          </w:p>
        </w:tc>
        <w:tc>
          <w:tcPr>
            <w:tcW w:w="914" w:type="dxa"/>
            <w:tcBorders>
              <w:top w:val="nil"/>
              <w:left w:val="single" w:sz="4" w:space="0" w:color="9CA3AF"/>
              <w:bottom w:val="single" w:sz="4" w:space="0" w:color="9CA3AF"/>
              <w:right w:val="single" w:sz="4" w:space="0" w:color="9CA3AF"/>
            </w:tcBorders>
            <w:shd w:val="clear" w:color="auto" w:fill="auto"/>
            <w:hideMark/>
          </w:tcPr>
          <w:p w14:paraId="78E7559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e Inteligjencës Financiare</w:t>
            </w:r>
          </w:p>
        </w:tc>
        <w:tc>
          <w:tcPr>
            <w:tcW w:w="966" w:type="dxa"/>
            <w:tcBorders>
              <w:top w:val="nil"/>
              <w:left w:val="nil"/>
              <w:bottom w:val="single" w:sz="4" w:space="0" w:color="9CA3AF"/>
              <w:right w:val="single" w:sz="4" w:space="0" w:color="9CA3AF"/>
            </w:tcBorders>
            <w:shd w:val="clear" w:color="auto" w:fill="auto"/>
            <w:hideMark/>
          </w:tcPr>
          <w:p w14:paraId="5DCA816D" w14:textId="1B1FE83D"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e Mbikëqyrjes Financiare; Banka e Shqipërisë; Autoriteti i Mbikëqyrjes së Lojërave të Fatit; Ministria e Drejtësisë;</w:t>
            </w:r>
            <w:r w:rsidR="0082031D"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BMP.</w:t>
            </w:r>
          </w:p>
        </w:tc>
        <w:tc>
          <w:tcPr>
            <w:tcW w:w="439" w:type="dxa"/>
            <w:tcBorders>
              <w:top w:val="nil"/>
              <w:left w:val="nil"/>
              <w:bottom w:val="single" w:sz="4" w:space="0" w:color="9CA3AF"/>
              <w:right w:val="single" w:sz="4" w:space="0" w:color="9CA3AF"/>
            </w:tcBorders>
            <w:shd w:val="clear" w:color="auto" w:fill="auto"/>
            <w:hideMark/>
          </w:tcPr>
          <w:p w14:paraId="3CD4263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1CAC9D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BAF4B3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EE4BF8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D6D2868"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457A08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0B574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4C3C20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39A9E15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2.3.4</w:t>
            </w:r>
          </w:p>
        </w:tc>
        <w:tc>
          <w:tcPr>
            <w:tcW w:w="1007" w:type="dxa"/>
            <w:tcBorders>
              <w:top w:val="nil"/>
              <w:left w:val="nil"/>
              <w:bottom w:val="single" w:sz="4" w:space="0" w:color="9CA3AF"/>
              <w:right w:val="single" w:sz="4" w:space="0" w:color="9CA3AF"/>
            </w:tcBorders>
            <w:shd w:val="clear" w:color="F1F5F9" w:fill="ECFDF5"/>
            <w:hideMark/>
          </w:tcPr>
          <w:p w14:paraId="4535B65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Kryerja e Vlerësimit Kombëtar të Riskut për pastrimin e parave dhe financimin e terrorizmit, përfshirë duke mbledhur dhe analizuar të dhënat sasiore dhe cilësore nga autoritetet përgjegjëse dhe subjektet e detyruara, duke identifikuar dhe prioritizuar risqet sektoriale dhe tematike, si dhe duke shndërruar konstatimet në masa zbutëse të koordinuara dhe në prioritete politikash.</w:t>
            </w:r>
          </w:p>
        </w:tc>
        <w:tc>
          <w:tcPr>
            <w:tcW w:w="524" w:type="dxa"/>
            <w:tcBorders>
              <w:top w:val="nil"/>
              <w:left w:val="nil"/>
              <w:bottom w:val="single" w:sz="4" w:space="0" w:color="9CA3AF"/>
              <w:right w:val="single" w:sz="4" w:space="0" w:color="9CA3AF"/>
            </w:tcBorders>
            <w:shd w:val="clear" w:color="auto" w:fill="auto"/>
            <w:hideMark/>
          </w:tcPr>
          <w:p w14:paraId="38A21B1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2.3.4</w:t>
            </w:r>
          </w:p>
        </w:tc>
        <w:tc>
          <w:tcPr>
            <w:tcW w:w="1307" w:type="dxa"/>
            <w:tcBorders>
              <w:top w:val="nil"/>
              <w:left w:val="nil"/>
              <w:bottom w:val="single" w:sz="4" w:space="0" w:color="9CA3AF"/>
              <w:right w:val="single" w:sz="4" w:space="0" w:color="9CA3AF"/>
            </w:tcBorders>
            <w:shd w:val="clear" w:color="auto" w:fill="auto"/>
            <w:hideMark/>
          </w:tcPr>
          <w:p w14:paraId="3DF67DF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Mbledhja dhe analizimi i të dhënave sasiore dhe cilësore nga autoritetet përgjegjëse dhe subjektet e detyruara, për të identifikuar risqet sektoriale dhe tematike të pastrimit të parasë dhe financimit të terrorizmit.</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Shndërrimi i konstatimeve të NRA-së në masa zbutëse të koordinuara, politika të përditësuara dhe veprime operacionale të prioritizuara në të gjitha institucionet përkatëse.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44AB46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91006AA</w:t>
            </w:r>
          </w:p>
        </w:tc>
        <w:tc>
          <w:tcPr>
            <w:tcW w:w="914" w:type="dxa"/>
            <w:tcBorders>
              <w:top w:val="nil"/>
              <w:left w:val="single" w:sz="4" w:space="0" w:color="9CA3AF"/>
              <w:bottom w:val="single" w:sz="4" w:space="0" w:color="9CA3AF"/>
              <w:right w:val="single" w:sz="4" w:space="0" w:color="9CA3AF"/>
            </w:tcBorders>
            <w:shd w:val="clear" w:color="auto" w:fill="auto"/>
            <w:hideMark/>
          </w:tcPr>
          <w:p w14:paraId="30F6FD0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e Inteligjencës Financiare</w:t>
            </w:r>
          </w:p>
        </w:tc>
        <w:tc>
          <w:tcPr>
            <w:tcW w:w="966" w:type="dxa"/>
            <w:tcBorders>
              <w:top w:val="nil"/>
              <w:left w:val="nil"/>
              <w:bottom w:val="single" w:sz="4" w:space="0" w:color="9CA3AF"/>
              <w:right w:val="single" w:sz="4" w:space="0" w:color="9CA3AF"/>
            </w:tcBorders>
            <w:shd w:val="clear" w:color="auto" w:fill="auto"/>
            <w:hideMark/>
          </w:tcPr>
          <w:p w14:paraId="0E55BED4" w14:textId="321D28B5"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Shërbimi Informativ i Shtetit; Drejtoria e Përgjithshme e Tatimeve; Drejtoria e Përgjithshme e Doganave; Autoriteti i Mbikëqyrjes Financiare; Agjencia për Inteligjencën dhe Sigurinë e Mbrojtjes; Banka e Shqipërisë; Qendra Kombëtare e Biznesit;</w:t>
            </w:r>
            <w:r w:rsidR="0082031D"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Dhoma Kombëtare e Avokatisë; Prokuroria e Përgjithshme; Struktura e Posaçme kundër Korrupsionit dhe Krimit të Organizuar; Agjencia e Administrimit të Pasurive të Sekuestruara dhe Konfiskuara</w:t>
            </w:r>
          </w:p>
        </w:tc>
        <w:tc>
          <w:tcPr>
            <w:tcW w:w="439" w:type="dxa"/>
            <w:tcBorders>
              <w:top w:val="nil"/>
              <w:left w:val="nil"/>
              <w:bottom w:val="single" w:sz="4" w:space="0" w:color="9CA3AF"/>
              <w:right w:val="single" w:sz="4" w:space="0" w:color="9CA3AF"/>
            </w:tcBorders>
            <w:shd w:val="clear" w:color="auto" w:fill="auto"/>
            <w:hideMark/>
          </w:tcPr>
          <w:p w14:paraId="0A8670D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2027</w:t>
            </w:r>
          </w:p>
        </w:tc>
        <w:tc>
          <w:tcPr>
            <w:tcW w:w="596" w:type="dxa"/>
            <w:tcBorders>
              <w:top w:val="nil"/>
              <w:left w:val="nil"/>
              <w:bottom w:val="single" w:sz="4" w:space="0" w:color="9CA3AF"/>
              <w:right w:val="single" w:sz="4" w:space="0" w:color="9CA3AF"/>
            </w:tcBorders>
            <w:shd w:val="clear" w:color="auto" w:fill="auto"/>
            <w:hideMark/>
          </w:tcPr>
          <w:p w14:paraId="62A450F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4C39BB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F391F2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CC85F28"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FB406C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874066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3625C98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62AFFC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2.3.5</w:t>
            </w:r>
          </w:p>
        </w:tc>
        <w:tc>
          <w:tcPr>
            <w:tcW w:w="1007" w:type="dxa"/>
            <w:tcBorders>
              <w:top w:val="nil"/>
              <w:left w:val="nil"/>
              <w:bottom w:val="single" w:sz="4" w:space="0" w:color="9CA3AF"/>
              <w:right w:val="single" w:sz="4" w:space="0" w:color="9CA3AF"/>
            </w:tcBorders>
            <w:shd w:val="clear" w:color="F1F5F9" w:fill="ECFDF5"/>
            <w:hideMark/>
          </w:tcPr>
          <w:p w14:paraId="1478B14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Trajnime për të rritur nivelin e ndërgjegjësimit të organeve ligjzbatuesve, gjyqtarëve, prokurorëve dhe të inteligjencës për rreziqet e pastrimit të parave, me tematika të lidhura me rrezikun e mbledhjes, lëvizjes së fondeve të Shqipërisë, përdorimin e fondeve për territorin e Shqipërisë, përdorimin e personave juridik, strukturave komplekse, profesionistëve, për pastrimin e parave si vepër autonome, risku nga keqpërdorimi i OJF, financimin e terrorizmit (përfshirë edhe atë të lidhur me tregtinë apo forma të tjera të mundshme etj.).</w:t>
            </w:r>
          </w:p>
        </w:tc>
        <w:tc>
          <w:tcPr>
            <w:tcW w:w="524" w:type="dxa"/>
            <w:tcBorders>
              <w:top w:val="nil"/>
              <w:left w:val="nil"/>
              <w:bottom w:val="single" w:sz="4" w:space="0" w:color="9CA3AF"/>
              <w:right w:val="single" w:sz="4" w:space="0" w:color="9CA3AF"/>
            </w:tcBorders>
            <w:shd w:val="clear" w:color="auto" w:fill="auto"/>
            <w:hideMark/>
          </w:tcPr>
          <w:p w14:paraId="753499A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2.3.5</w:t>
            </w:r>
          </w:p>
        </w:tc>
        <w:tc>
          <w:tcPr>
            <w:tcW w:w="1307" w:type="dxa"/>
            <w:tcBorders>
              <w:top w:val="nil"/>
              <w:left w:val="nil"/>
              <w:bottom w:val="single" w:sz="4" w:space="0" w:color="9CA3AF"/>
              <w:right w:val="single" w:sz="4" w:space="0" w:color="9CA3AF"/>
            </w:tcBorders>
            <w:shd w:val="clear" w:color="auto" w:fill="auto"/>
            <w:hideMark/>
          </w:tcPr>
          <w:p w14:paraId="7DF848E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Ofrimi i trajnimeve të specializuara mbi tipologjitë e pastrimit të parave, qarkullimin ndërkufitar të fondeve, keqpërdorimin e personave juridikë, strukturat komplekse të pronësisë dhe financimin e terrorizmit (përfshirë edhe atë të lidhur me tregtinë apo forma të tjera të mundshme etj.).</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moduleve të posaçme mbi risqet e keqpërdorimit të OJF-ve, profesioneve me rrezik të lartë dhe teknologjive financiare në zhvillim, duke siguruar harmonizim me standardet FATF-së.</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910C112"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91006AA</w:t>
            </w:r>
          </w:p>
        </w:tc>
        <w:tc>
          <w:tcPr>
            <w:tcW w:w="914" w:type="dxa"/>
            <w:tcBorders>
              <w:top w:val="nil"/>
              <w:left w:val="single" w:sz="4" w:space="0" w:color="9CA3AF"/>
              <w:bottom w:val="single" w:sz="4" w:space="0" w:color="9CA3AF"/>
              <w:right w:val="single" w:sz="4" w:space="0" w:color="9CA3AF"/>
            </w:tcBorders>
            <w:shd w:val="clear" w:color="auto" w:fill="auto"/>
            <w:hideMark/>
          </w:tcPr>
          <w:p w14:paraId="52CBA79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e Inteligjencës Financiare</w:t>
            </w:r>
          </w:p>
        </w:tc>
        <w:tc>
          <w:tcPr>
            <w:tcW w:w="966" w:type="dxa"/>
            <w:tcBorders>
              <w:top w:val="nil"/>
              <w:left w:val="nil"/>
              <w:bottom w:val="single" w:sz="4" w:space="0" w:color="9CA3AF"/>
              <w:right w:val="single" w:sz="4" w:space="0" w:color="9CA3AF"/>
            </w:tcBorders>
            <w:shd w:val="clear" w:color="auto" w:fill="auto"/>
            <w:hideMark/>
          </w:tcPr>
          <w:p w14:paraId="69E8C30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Struktura e Posaçme Kundër Korrupsionit dhe Krimit të Organizuar; Gjykata e Posaçme kundër Korrupsionit dhe Krimit të Organizuar; Policia e Shtetit; Drejtoria e Përgjithshme e Doganave; Shërbimi Informativ i Shtetit; Drejtoria e Përgjithshme e Tatimeve; Këshilli i Lartë i Prokurorisë </w:t>
            </w:r>
          </w:p>
        </w:tc>
        <w:tc>
          <w:tcPr>
            <w:tcW w:w="439" w:type="dxa"/>
            <w:tcBorders>
              <w:top w:val="nil"/>
              <w:left w:val="nil"/>
              <w:bottom w:val="single" w:sz="4" w:space="0" w:color="9CA3AF"/>
              <w:right w:val="single" w:sz="4" w:space="0" w:color="9CA3AF"/>
            </w:tcBorders>
            <w:shd w:val="clear" w:color="auto" w:fill="auto"/>
            <w:hideMark/>
          </w:tcPr>
          <w:p w14:paraId="218E39A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846CDA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F4B6D0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2,235,000</w:t>
            </w:r>
          </w:p>
        </w:tc>
        <w:tc>
          <w:tcPr>
            <w:tcW w:w="1352" w:type="dxa"/>
            <w:tcBorders>
              <w:top w:val="nil"/>
              <w:left w:val="nil"/>
              <w:bottom w:val="single" w:sz="4" w:space="0" w:color="9CA3AF"/>
              <w:right w:val="single" w:sz="4" w:space="0" w:color="9CA3AF"/>
            </w:tcBorders>
            <w:shd w:val="clear" w:color="auto" w:fill="auto"/>
            <w:hideMark/>
          </w:tcPr>
          <w:p w14:paraId="0BA2BA0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Financim nga partnerët</w:t>
            </w:r>
          </w:p>
        </w:tc>
      </w:tr>
      <w:tr w:rsidR="00F54824" w:rsidRPr="002128A6" w14:paraId="311F3B2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DF78AF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C9A6B3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1B0FD5C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kapaciteteve kombëtare për zbulimin, hetimin dhe ndjekjen penale </w:t>
            </w:r>
            <w:r w:rsidRPr="002128A6">
              <w:rPr>
                <w:rFonts w:ascii="Garamond" w:eastAsia="Times New Roman" w:hAnsi="Garamond" w:cs="Times New Roman"/>
                <w:kern w:val="0"/>
                <w:sz w:val="8"/>
                <w:szCs w:val="8"/>
                <w14:ligatures w14:val="none"/>
              </w:rPr>
              <w:lastRenderedPageBreak/>
              <w:t>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498900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2.3.6</w:t>
            </w:r>
          </w:p>
        </w:tc>
        <w:tc>
          <w:tcPr>
            <w:tcW w:w="1007" w:type="dxa"/>
            <w:tcBorders>
              <w:top w:val="nil"/>
              <w:left w:val="nil"/>
              <w:bottom w:val="single" w:sz="4" w:space="0" w:color="9CA3AF"/>
              <w:right w:val="single" w:sz="4" w:space="0" w:color="9CA3AF"/>
            </w:tcBorders>
            <w:shd w:val="clear" w:color="F1F5F9" w:fill="ECFDF5"/>
            <w:hideMark/>
          </w:tcPr>
          <w:p w14:paraId="27F7F7F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kapaciteteve të specializuara qendrore dhe vendore për hetimin e krimit ekonomik dhe financiar, përmes </w:t>
            </w:r>
            <w:r w:rsidRPr="002128A6">
              <w:rPr>
                <w:rFonts w:ascii="Garamond" w:eastAsia="Times New Roman" w:hAnsi="Garamond" w:cs="Times New Roman"/>
                <w:kern w:val="0"/>
                <w:sz w:val="8"/>
                <w:szCs w:val="8"/>
                <w14:ligatures w14:val="none"/>
              </w:rPr>
              <w:lastRenderedPageBreak/>
              <w:t>integrimit të metodave novatore hetimore, mbështetjes teknologjike, menaxhimit të përmirësuar të burimeve, si dhe një plani të integruar trajnimi midis strukturave policore dhe aktorëve të tjerë shtetërorë që kontribuojnë në hetimin dhe ndjekjen penale</w:t>
            </w:r>
          </w:p>
        </w:tc>
        <w:tc>
          <w:tcPr>
            <w:tcW w:w="524" w:type="dxa"/>
            <w:tcBorders>
              <w:top w:val="nil"/>
              <w:left w:val="nil"/>
              <w:bottom w:val="single" w:sz="4" w:space="0" w:color="9CA3AF"/>
              <w:right w:val="single" w:sz="4" w:space="0" w:color="9CA3AF"/>
            </w:tcBorders>
            <w:shd w:val="clear" w:color="auto" w:fill="auto"/>
            <w:hideMark/>
          </w:tcPr>
          <w:p w14:paraId="6EF0F44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2.3.6</w:t>
            </w:r>
          </w:p>
        </w:tc>
        <w:tc>
          <w:tcPr>
            <w:tcW w:w="1307" w:type="dxa"/>
            <w:tcBorders>
              <w:top w:val="nil"/>
              <w:left w:val="nil"/>
              <w:bottom w:val="single" w:sz="4" w:space="0" w:color="9CA3AF"/>
              <w:right w:val="single" w:sz="4" w:space="0" w:color="9CA3AF"/>
            </w:tcBorders>
            <w:shd w:val="clear" w:color="auto" w:fill="auto"/>
            <w:hideMark/>
          </w:tcPr>
          <w:p w14:paraId="2CD84C6B" w14:textId="10879335"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Integrimi i metodave hetimore novatore, si mjetet kriminalistike 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kontabilitetin kriminalistik dhe analitikën e avancuar, në strukturat hetimore qendrore dhe </w:t>
            </w:r>
            <w:r w:rsidRPr="002128A6">
              <w:rPr>
                <w:rFonts w:ascii="Garamond" w:eastAsia="Times New Roman" w:hAnsi="Garamond" w:cs="Times New Roman"/>
                <w:kern w:val="0"/>
                <w:sz w:val="8"/>
                <w:szCs w:val="8"/>
                <w14:ligatures w14:val="none"/>
              </w:rPr>
              <w:lastRenderedPageBreak/>
              <w:t>vendore.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një plani trajnimi të koordinuar midis policisë, autoriteteve tatimore, doganave dhe prokurorëve, me qëllim forcimin e kapaciteteve të përbashkëta hetimore.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0F86BD5" w14:textId="0B0A5616"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91604AB</w:t>
            </w:r>
            <w:r w:rsidR="00F54824" w:rsidRPr="002128A6">
              <w:rPr>
                <w:rFonts w:ascii="Garamond" w:eastAsia="Times New Roman" w:hAnsi="Garamond" w:cs="Times New Roman"/>
                <w:kern w:val="0"/>
                <w:sz w:val="8"/>
                <w:szCs w:val="8"/>
                <w14:ligatures w14:val="none"/>
              </w:rPr>
              <w:t xml:space="preserve"> </w:t>
            </w:r>
          </w:p>
        </w:tc>
        <w:tc>
          <w:tcPr>
            <w:tcW w:w="914" w:type="dxa"/>
            <w:tcBorders>
              <w:top w:val="nil"/>
              <w:left w:val="single" w:sz="4" w:space="0" w:color="9CA3AF"/>
              <w:bottom w:val="single" w:sz="4" w:space="0" w:color="9CA3AF"/>
              <w:right w:val="single" w:sz="4" w:space="0" w:color="9CA3AF"/>
            </w:tcBorders>
            <w:shd w:val="clear" w:color="auto" w:fill="auto"/>
            <w:hideMark/>
          </w:tcPr>
          <w:p w14:paraId="554D7E6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18F62B5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Shërbimi Informativ i Shtetit; Drejtoria e Përgjithshme e Tatimeve; Drejtoria e Përgjithshme e </w:t>
            </w:r>
            <w:r w:rsidRPr="002128A6">
              <w:rPr>
                <w:rFonts w:ascii="Garamond" w:eastAsia="Times New Roman" w:hAnsi="Garamond" w:cs="Times New Roman"/>
                <w:kern w:val="0"/>
                <w:sz w:val="8"/>
                <w:szCs w:val="8"/>
                <w14:ligatures w14:val="none"/>
              </w:rPr>
              <w:lastRenderedPageBreak/>
              <w:t>Doganave; Agjencia e Inteligjencës Financiare; Qendra Kombëtare e Biznesit</w:t>
            </w:r>
          </w:p>
        </w:tc>
        <w:tc>
          <w:tcPr>
            <w:tcW w:w="439" w:type="dxa"/>
            <w:tcBorders>
              <w:top w:val="nil"/>
              <w:left w:val="nil"/>
              <w:bottom w:val="single" w:sz="4" w:space="0" w:color="9CA3AF"/>
              <w:right w:val="single" w:sz="4" w:space="0" w:color="9CA3AF"/>
            </w:tcBorders>
            <w:shd w:val="clear" w:color="auto" w:fill="auto"/>
            <w:hideMark/>
          </w:tcPr>
          <w:p w14:paraId="36E8FD8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2026</w:t>
            </w:r>
          </w:p>
        </w:tc>
        <w:tc>
          <w:tcPr>
            <w:tcW w:w="596" w:type="dxa"/>
            <w:tcBorders>
              <w:top w:val="nil"/>
              <w:left w:val="nil"/>
              <w:bottom w:val="single" w:sz="4" w:space="0" w:color="9CA3AF"/>
              <w:right w:val="single" w:sz="4" w:space="0" w:color="9CA3AF"/>
            </w:tcBorders>
            <w:shd w:val="clear" w:color="auto" w:fill="auto"/>
            <w:hideMark/>
          </w:tcPr>
          <w:p w14:paraId="2352C68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996585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7C8101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FA461EF"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62DCC8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60BD35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3EB8C12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50D790E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2.3.7</w:t>
            </w:r>
          </w:p>
        </w:tc>
        <w:tc>
          <w:tcPr>
            <w:tcW w:w="1007" w:type="dxa"/>
            <w:tcBorders>
              <w:top w:val="nil"/>
              <w:left w:val="nil"/>
              <w:bottom w:val="single" w:sz="4" w:space="0" w:color="9CA3AF"/>
              <w:right w:val="single" w:sz="4" w:space="0" w:color="9CA3AF"/>
            </w:tcBorders>
            <w:shd w:val="clear" w:color="F1F5F9" w:fill="ECFDF5"/>
            <w:hideMark/>
          </w:tcPr>
          <w:p w14:paraId="78DF82B3" w14:textId="7DF4B9F5"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Konsolidimi i praktikave për zbatimin e njëkohshëm të hetimeve financiare paralele me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hetimet për vepra penale të krimit të organizuar, trafikimit dhe korrupsionit, me qëllim identifikimin, gjurmimin, ngrirjen dhe konfiskimin e të ardhurave, pasurive dhe mjeteve kriminale në kohë dhe në mënyrë të koordinuar.</w:t>
            </w:r>
          </w:p>
        </w:tc>
        <w:tc>
          <w:tcPr>
            <w:tcW w:w="524" w:type="dxa"/>
            <w:tcBorders>
              <w:top w:val="nil"/>
              <w:left w:val="nil"/>
              <w:bottom w:val="single" w:sz="4" w:space="0" w:color="9CA3AF"/>
              <w:right w:val="single" w:sz="4" w:space="0" w:color="9CA3AF"/>
            </w:tcBorders>
            <w:shd w:val="clear" w:color="auto" w:fill="auto"/>
            <w:hideMark/>
          </w:tcPr>
          <w:p w14:paraId="31A60C7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2.3.7</w:t>
            </w:r>
          </w:p>
        </w:tc>
        <w:tc>
          <w:tcPr>
            <w:tcW w:w="1307" w:type="dxa"/>
            <w:tcBorders>
              <w:top w:val="nil"/>
              <w:left w:val="nil"/>
              <w:bottom w:val="single" w:sz="4" w:space="0" w:color="9CA3AF"/>
              <w:right w:val="single" w:sz="4" w:space="0" w:color="9CA3AF"/>
            </w:tcBorders>
            <w:shd w:val="clear" w:color="auto" w:fill="auto"/>
            <w:hideMark/>
          </w:tcPr>
          <w:p w14:paraId="4A39A37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Zbatimi sistematik i hetimeve paralele financiare në të gjitha çështjet kryesore të krimit të organizuar, trafikimit dhe korrupsionit, me qëllim identifikimin, gjurmimin, ngrirjen dhe konfiskimin e të ardhurave kriminale.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procedurave standarde operacionale dhe protokolleve të përbashkëta operacionale, për të siguruar nisje të hershme të hetimit financiar dhe veprime të koordinuara të gjurmimit të aseteve.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20413C2A"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 91604AR</w:t>
            </w:r>
          </w:p>
        </w:tc>
        <w:tc>
          <w:tcPr>
            <w:tcW w:w="914" w:type="dxa"/>
            <w:tcBorders>
              <w:top w:val="nil"/>
              <w:left w:val="single" w:sz="4" w:space="0" w:color="9CA3AF"/>
              <w:bottom w:val="single" w:sz="4" w:space="0" w:color="9CA3AF"/>
              <w:right w:val="single" w:sz="4" w:space="0" w:color="9CA3AF"/>
            </w:tcBorders>
            <w:shd w:val="clear" w:color="auto" w:fill="auto"/>
            <w:hideMark/>
          </w:tcPr>
          <w:p w14:paraId="01ADDD9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061BBF6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 Prokuroria e Posaçme kundër Korrupsionit dhe Krimit të Organizuar; Agjencia e Inteligjencës Financiare; Byroja Kombëtare e Hetimit; Drejtoria e Përgjithshme e Tatimeve; Drejtoria e Përgjithshme e Doganave</w:t>
            </w:r>
          </w:p>
        </w:tc>
        <w:tc>
          <w:tcPr>
            <w:tcW w:w="439" w:type="dxa"/>
            <w:tcBorders>
              <w:top w:val="nil"/>
              <w:left w:val="nil"/>
              <w:bottom w:val="single" w:sz="4" w:space="0" w:color="9CA3AF"/>
              <w:right w:val="single" w:sz="4" w:space="0" w:color="9CA3AF"/>
            </w:tcBorders>
            <w:shd w:val="clear" w:color="auto" w:fill="auto"/>
            <w:hideMark/>
          </w:tcPr>
          <w:p w14:paraId="7189C2E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D081B5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B0E938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93E8C9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3D34D3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04DE8F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67EE143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338AFB7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75DEE55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2.3.8</w:t>
            </w:r>
          </w:p>
        </w:tc>
        <w:tc>
          <w:tcPr>
            <w:tcW w:w="1007" w:type="dxa"/>
            <w:tcBorders>
              <w:top w:val="nil"/>
              <w:left w:val="nil"/>
              <w:bottom w:val="single" w:sz="4" w:space="0" w:color="9CA3AF"/>
              <w:right w:val="single" w:sz="4" w:space="0" w:color="9CA3AF"/>
            </w:tcBorders>
            <w:shd w:val="clear" w:color="F1F5F9" w:fill="ECFDF5"/>
            <w:hideMark/>
          </w:tcPr>
          <w:p w14:paraId="031223C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bashkëpunimit ndërinstitucional për trajtimin e korrupsionit në të gjitha format dhe nivelet e tij, përfshirë përmes punës së koordinuar në trajtimin e çështjeve, shkëmbimit të informacionit, produkteve të përbashkëta analitike dhe protokolleve të forcuara të bashkëpunimit midis institucioneve hetimore, mbikëqyrëse dhe të prokurorisë.</w:t>
            </w:r>
          </w:p>
        </w:tc>
        <w:tc>
          <w:tcPr>
            <w:tcW w:w="524" w:type="dxa"/>
            <w:tcBorders>
              <w:top w:val="nil"/>
              <w:left w:val="nil"/>
              <w:bottom w:val="single" w:sz="4" w:space="0" w:color="9CA3AF"/>
              <w:right w:val="single" w:sz="4" w:space="0" w:color="9CA3AF"/>
            </w:tcBorders>
            <w:shd w:val="clear" w:color="auto" w:fill="auto"/>
            <w:hideMark/>
          </w:tcPr>
          <w:p w14:paraId="69F2B6C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2.3.8</w:t>
            </w:r>
          </w:p>
        </w:tc>
        <w:tc>
          <w:tcPr>
            <w:tcW w:w="1307" w:type="dxa"/>
            <w:tcBorders>
              <w:top w:val="nil"/>
              <w:left w:val="nil"/>
              <w:bottom w:val="single" w:sz="4" w:space="0" w:color="9CA3AF"/>
              <w:right w:val="single" w:sz="4" w:space="0" w:color="9CA3AF"/>
            </w:tcBorders>
            <w:shd w:val="clear" w:color="auto" w:fill="auto"/>
            <w:hideMark/>
          </w:tcPr>
          <w:p w14:paraId="1F5B8A7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Koordinimi i punës me çështjet dhe produktet e përbashkëta analitike, midis institucioneve hetimore, mbikëqyrëse dhe të prokurorisë, me qëllim evidentimin e modeleve të korrupsionit dhe sektorët me rrezik të lartë.</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protokolleve të bashkëpunimit dhe mekanizmave të shkëmbimit të informacionit, për të siguruar referim në kohë, hetim të përbashkët dhe ndjekje konsistente të çështjeve të korrupsionit.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5DC370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 91604AR</w:t>
            </w:r>
          </w:p>
        </w:tc>
        <w:tc>
          <w:tcPr>
            <w:tcW w:w="914" w:type="dxa"/>
            <w:tcBorders>
              <w:top w:val="nil"/>
              <w:left w:val="single" w:sz="4" w:space="0" w:color="9CA3AF"/>
              <w:bottom w:val="single" w:sz="4" w:space="0" w:color="9CA3AF"/>
              <w:right w:val="single" w:sz="4" w:space="0" w:color="9CA3AF"/>
            </w:tcBorders>
            <w:shd w:val="clear" w:color="auto" w:fill="auto"/>
            <w:hideMark/>
          </w:tcPr>
          <w:p w14:paraId="3C38A13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638CF33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Përgjithshme; Prokuroria e Posaçme kundër Korrupsionit dhe Krimit të Organizuar; Agjencia e Inteligjencës Financiare; Byroja Kombëtare e Hetimit; Drejtoria e Përgjithshme e Doganave; </w:t>
            </w:r>
          </w:p>
        </w:tc>
        <w:tc>
          <w:tcPr>
            <w:tcW w:w="439" w:type="dxa"/>
            <w:tcBorders>
              <w:top w:val="nil"/>
              <w:left w:val="nil"/>
              <w:bottom w:val="single" w:sz="4" w:space="0" w:color="9CA3AF"/>
              <w:right w:val="single" w:sz="4" w:space="0" w:color="9CA3AF"/>
            </w:tcBorders>
            <w:shd w:val="clear" w:color="auto" w:fill="auto"/>
            <w:hideMark/>
          </w:tcPr>
          <w:p w14:paraId="315AC4E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241399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B4B6E5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7D4A53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7893EB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C469BE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BD72A0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587360B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5D5181E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2.3.9</w:t>
            </w:r>
          </w:p>
        </w:tc>
        <w:tc>
          <w:tcPr>
            <w:tcW w:w="1007" w:type="dxa"/>
            <w:tcBorders>
              <w:top w:val="nil"/>
              <w:left w:val="nil"/>
              <w:bottom w:val="single" w:sz="4" w:space="0" w:color="9CA3AF"/>
              <w:right w:val="single" w:sz="4" w:space="0" w:color="9CA3AF"/>
            </w:tcBorders>
            <w:shd w:val="clear" w:color="F1F5F9" w:fill="ECFDF5"/>
            <w:hideMark/>
          </w:tcPr>
          <w:p w14:paraId="1AF245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kërkesave për hetime paralele dhe të përbashkëta me partnerët ndërkombëtarë, përmes veprimeve hetimore proaktive, të mbështetura nga analiza e tendencave më të fundit kriminale, në fushën e krimit ekonomik dhe aseteve të përftuara në mënyrë të paligjshme në Shqipëri dhe jashtë vendit, si dhe me qëllim forcimin e gjurmimit, ngrirjes dhe konfiskimit të aseteve ndërkufitare.</w:t>
            </w:r>
          </w:p>
        </w:tc>
        <w:tc>
          <w:tcPr>
            <w:tcW w:w="524" w:type="dxa"/>
            <w:tcBorders>
              <w:top w:val="nil"/>
              <w:left w:val="nil"/>
              <w:bottom w:val="single" w:sz="4" w:space="0" w:color="9CA3AF"/>
              <w:right w:val="single" w:sz="4" w:space="0" w:color="9CA3AF"/>
            </w:tcBorders>
            <w:shd w:val="clear" w:color="auto" w:fill="auto"/>
            <w:hideMark/>
          </w:tcPr>
          <w:p w14:paraId="5B55A9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2.3.9</w:t>
            </w:r>
          </w:p>
        </w:tc>
        <w:tc>
          <w:tcPr>
            <w:tcW w:w="1307" w:type="dxa"/>
            <w:tcBorders>
              <w:top w:val="nil"/>
              <w:left w:val="nil"/>
              <w:bottom w:val="single" w:sz="4" w:space="0" w:color="9CA3AF"/>
              <w:right w:val="single" w:sz="4" w:space="0" w:color="9CA3AF"/>
            </w:tcBorders>
            <w:shd w:val="clear" w:color="auto" w:fill="auto"/>
            <w:hideMark/>
          </w:tcPr>
          <w:p w14:paraId="0046AE5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Nisja e hetimeve paralele dhe të përbashkëta me autoritetet e huaja, bazuar në tendencat në zhvillim kriminal, flukset financiare ndërkufitare dhe inteligjencën mbi asetet e mbajtura jashtë vendit.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gjurmimit, sekuestrimit dhe konfiskimit ndërkufitar të aseteve, përmes bashkëpunimit të zgjeruar me Europolin, Njësitë e Inteligjencës Financiare (NjIF-të) dhe rrjetet ndërkombëtare të hetimit financiar.</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29ACE1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77E03E3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70BEA1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Përgjithshme; Prokuroria e Posaçme Kundër Korrupsionit dhe Krimit të Organizuar; Agjencia e Inteligjencës Financiare; Byroja Kombëtare e Hetimit; </w:t>
            </w:r>
          </w:p>
        </w:tc>
        <w:tc>
          <w:tcPr>
            <w:tcW w:w="439" w:type="dxa"/>
            <w:tcBorders>
              <w:top w:val="nil"/>
              <w:left w:val="nil"/>
              <w:bottom w:val="single" w:sz="4" w:space="0" w:color="9CA3AF"/>
              <w:right w:val="single" w:sz="4" w:space="0" w:color="9CA3AF"/>
            </w:tcBorders>
            <w:shd w:val="clear" w:color="auto" w:fill="auto"/>
            <w:hideMark/>
          </w:tcPr>
          <w:p w14:paraId="5C50861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834E88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0C8C05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08849E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A0619B4"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738247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FDA9F6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7120F2A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180AB7A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2.3.10</w:t>
            </w:r>
          </w:p>
        </w:tc>
        <w:tc>
          <w:tcPr>
            <w:tcW w:w="1007" w:type="dxa"/>
            <w:tcBorders>
              <w:top w:val="nil"/>
              <w:left w:val="nil"/>
              <w:bottom w:val="single" w:sz="4" w:space="0" w:color="9CA3AF"/>
              <w:right w:val="single" w:sz="4" w:space="0" w:color="9CA3AF"/>
            </w:tcBorders>
            <w:shd w:val="clear" w:color="F1F5F9" w:fill="ECFDF5"/>
            <w:hideMark/>
          </w:tcPr>
          <w:p w14:paraId="6E347594" w14:textId="3F56297D"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Trajtimi i krimit ekonomik dhe mashtrimit financiar përmes hetimeve proaktive, përfshirë përmes përzgjedhjes së çështjeve të udhëhequr nga inteligjenca, zbatimit të teknikave të posaçme të hetimit, aty ku lejohet me ligj, forcimit të kapaciteteve të kontabilitetit kriminalistik dhe gjurmimit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 si dhe prioritizimit të çështjeve me ndikim të lartë dhe të ardhura të konsiderueshme kriminale. </w:t>
            </w:r>
          </w:p>
        </w:tc>
        <w:tc>
          <w:tcPr>
            <w:tcW w:w="524" w:type="dxa"/>
            <w:tcBorders>
              <w:top w:val="nil"/>
              <w:left w:val="nil"/>
              <w:bottom w:val="single" w:sz="4" w:space="0" w:color="9CA3AF"/>
              <w:right w:val="single" w:sz="4" w:space="0" w:color="9CA3AF"/>
            </w:tcBorders>
            <w:shd w:val="clear" w:color="auto" w:fill="auto"/>
            <w:hideMark/>
          </w:tcPr>
          <w:p w14:paraId="6D8FAEE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2.3.10</w:t>
            </w:r>
          </w:p>
        </w:tc>
        <w:tc>
          <w:tcPr>
            <w:tcW w:w="1307" w:type="dxa"/>
            <w:tcBorders>
              <w:top w:val="nil"/>
              <w:left w:val="nil"/>
              <w:bottom w:val="single" w:sz="4" w:space="0" w:color="9CA3AF"/>
              <w:right w:val="single" w:sz="4" w:space="0" w:color="9CA3AF"/>
            </w:tcBorders>
            <w:shd w:val="clear" w:color="auto" w:fill="auto"/>
            <w:hideMark/>
          </w:tcPr>
          <w:p w14:paraId="3C35520C" w14:textId="11B5D0A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Zhvillimi i proceseve të përzgjedhjes së çështjeve, të udhëhequra nga inteligjenca, me qëllim që të prioritizohen çështjet e krimit ekonomik me ndikim të lartë, të cilat përfshijnë të ardhura të rëndësishme ose cenueshmëri sistemike.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Zbatimi i teknikave të posaçme të hetimit, forcimi i kapaciteteve të kontabilitetit kriminalistik dhe zgjerimi i mjeteve të gjurmimit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me qëllim zbulimin e skemave komplekse të mashtrimit.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4995B84"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6A58C9E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6B46221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Struktura e Posaçme kundër Korrupsionit dhe Krimit të Organizuar; Byroja Kombëtare e Hetimit; Prokuroria e Përgjithshme</w:t>
            </w:r>
          </w:p>
        </w:tc>
        <w:tc>
          <w:tcPr>
            <w:tcW w:w="439" w:type="dxa"/>
            <w:tcBorders>
              <w:top w:val="nil"/>
              <w:left w:val="nil"/>
              <w:bottom w:val="single" w:sz="4" w:space="0" w:color="9CA3AF"/>
              <w:right w:val="single" w:sz="4" w:space="0" w:color="9CA3AF"/>
            </w:tcBorders>
            <w:shd w:val="clear" w:color="auto" w:fill="auto"/>
            <w:hideMark/>
          </w:tcPr>
          <w:p w14:paraId="7C96CCA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0353B7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538261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61B227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B8C92C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714EC8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8C1C9B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5D6505F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07A2B85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2.3.11</w:t>
            </w:r>
          </w:p>
        </w:tc>
        <w:tc>
          <w:tcPr>
            <w:tcW w:w="1007" w:type="dxa"/>
            <w:tcBorders>
              <w:top w:val="nil"/>
              <w:left w:val="nil"/>
              <w:bottom w:val="single" w:sz="4" w:space="0" w:color="9CA3AF"/>
              <w:right w:val="single" w:sz="4" w:space="0" w:color="9CA3AF"/>
            </w:tcBorders>
            <w:shd w:val="clear" w:color="F1F5F9" w:fill="ECFDF5"/>
            <w:hideMark/>
          </w:tcPr>
          <w:p w14:paraId="088597E7" w14:textId="2486821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Zgjerimi i aksesit dhe verifikimit </w:t>
            </w:r>
            <w:r w:rsidR="008F549F" w:rsidRPr="002128A6">
              <w:rPr>
                <w:rFonts w:ascii="Garamond" w:eastAsia="Times New Roman" w:hAnsi="Garamond" w:cs="Times New Roman"/>
                <w:i/>
                <w:iCs/>
                <w:kern w:val="0"/>
                <w:sz w:val="8"/>
                <w:szCs w:val="8"/>
                <w14:ligatures w14:val="none"/>
              </w:rPr>
              <w:t>online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në bazat e të dhënave, për qëllime të verifikimeve paraprake dhe hetimeve në fushën ekonomiko-financiare, përfshirë duke forcuar ndërveprueshmërinë, duke përmirësuar procedurat e aksesit të ligjshëm dhe duke mundësuar verifikim në kohë të informacionit të nevojshëm për analizën e riskut dhe zhvillimin e çështjes.</w:t>
            </w:r>
          </w:p>
        </w:tc>
        <w:tc>
          <w:tcPr>
            <w:tcW w:w="524" w:type="dxa"/>
            <w:tcBorders>
              <w:top w:val="nil"/>
              <w:left w:val="nil"/>
              <w:bottom w:val="single" w:sz="4" w:space="0" w:color="9CA3AF"/>
              <w:right w:val="single" w:sz="4" w:space="0" w:color="9CA3AF"/>
            </w:tcBorders>
            <w:shd w:val="clear" w:color="auto" w:fill="auto"/>
            <w:hideMark/>
          </w:tcPr>
          <w:p w14:paraId="08212D4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2.3.11</w:t>
            </w:r>
          </w:p>
        </w:tc>
        <w:tc>
          <w:tcPr>
            <w:tcW w:w="1307" w:type="dxa"/>
            <w:tcBorders>
              <w:top w:val="nil"/>
              <w:left w:val="nil"/>
              <w:bottom w:val="single" w:sz="4" w:space="0" w:color="9CA3AF"/>
              <w:right w:val="single" w:sz="4" w:space="0" w:color="9CA3AF"/>
            </w:tcBorders>
            <w:shd w:val="clear" w:color="auto" w:fill="auto"/>
            <w:hideMark/>
          </w:tcPr>
          <w:p w14:paraId="7BD36ECF" w14:textId="4F12C091"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ndërveprueshmërisë dhe i procedurave të aksesit të ligjshëm në bazat kryesore të të dhënave që përdoren në hetimet ekonomiko-financiare, duke mundësuar verifikim të shpejtë të pronësisë, transaksioneve dhe treguesëve të rrezikut.</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Ofrimi i trajnimeve dhe mbështetjes teknike për hetuesit, që të sigurojnë përdorim konsistent dhe efektiv të mjeteve të verifikimit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për zhvillimin e çështjes.</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794EEFDC"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6454C41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22F3288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Shërbimi Informativ i Shtetit; Drejtoria e Përgjithshme e Tatimeve; Drejtoria e Përgjithshme e Doganave; Autoriteti i Mbikëqyrjes Financiare; Agjencia për Inteligjencën dhe Sigurinë e Mbrojtjes; Qendra Kombëtare e Biznesit; Dhoma Kombëtare e Avokatisë; Prokuroria e Përgjithshme; Byroja Kombëtare e Hetimit</w:t>
            </w:r>
          </w:p>
        </w:tc>
        <w:tc>
          <w:tcPr>
            <w:tcW w:w="439" w:type="dxa"/>
            <w:tcBorders>
              <w:top w:val="nil"/>
              <w:left w:val="nil"/>
              <w:bottom w:val="single" w:sz="4" w:space="0" w:color="9CA3AF"/>
              <w:right w:val="single" w:sz="4" w:space="0" w:color="9CA3AF"/>
            </w:tcBorders>
            <w:shd w:val="clear" w:color="auto" w:fill="auto"/>
            <w:hideMark/>
          </w:tcPr>
          <w:p w14:paraId="6566A72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E272A0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F853F5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5DBC7C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E987C2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AE6F8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69D4CF8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242B34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288182C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2.3.12</w:t>
            </w:r>
          </w:p>
        </w:tc>
        <w:tc>
          <w:tcPr>
            <w:tcW w:w="1007" w:type="dxa"/>
            <w:tcBorders>
              <w:top w:val="nil"/>
              <w:left w:val="nil"/>
              <w:bottom w:val="single" w:sz="4" w:space="0" w:color="9CA3AF"/>
              <w:right w:val="single" w:sz="4" w:space="0" w:color="9CA3AF"/>
            </w:tcBorders>
            <w:shd w:val="clear" w:color="F1F5F9" w:fill="ECFDF5"/>
            <w:hideMark/>
          </w:tcPr>
          <w:p w14:paraId="0B81DC5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sekuestrimeve dhe konfiskimeve të pasurive që kanë prejardhje kriminale mbështetur në hetime thelluara.</w:t>
            </w:r>
          </w:p>
        </w:tc>
        <w:tc>
          <w:tcPr>
            <w:tcW w:w="524" w:type="dxa"/>
            <w:tcBorders>
              <w:top w:val="nil"/>
              <w:left w:val="nil"/>
              <w:bottom w:val="single" w:sz="4" w:space="0" w:color="9CA3AF"/>
              <w:right w:val="single" w:sz="4" w:space="0" w:color="9CA3AF"/>
            </w:tcBorders>
            <w:shd w:val="clear" w:color="auto" w:fill="auto"/>
            <w:hideMark/>
          </w:tcPr>
          <w:p w14:paraId="0FEFA2B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2.3.12</w:t>
            </w:r>
          </w:p>
        </w:tc>
        <w:tc>
          <w:tcPr>
            <w:tcW w:w="1307" w:type="dxa"/>
            <w:tcBorders>
              <w:top w:val="nil"/>
              <w:left w:val="nil"/>
              <w:bottom w:val="single" w:sz="4" w:space="0" w:color="9CA3AF"/>
              <w:right w:val="single" w:sz="4" w:space="0" w:color="9CA3AF"/>
            </w:tcBorders>
            <w:shd w:val="clear" w:color="auto" w:fill="auto"/>
            <w:hideMark/>
          </w:tcPr>
          <w:p w14:paraId="77432D6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metodologjive të gjurmimit të aseteve, zhvillimit të provave dhe koordinimit me prokurorët, për të mbështetur ngrirjen dhe konfiskimin në kohë të të ardhurave kriminale.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bashkëpunimit me strukturat e menaxhimit të aseteve, për të siguruar trajtim të duhur, vlerësim dhe asgjësim të aseteve të sekuestruara dhe të konfiskuara.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7310B0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5F81D4B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12C9D53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 Prokuroria e Posaçme kundër Korrupsionit dhe Krimit të Organizuar; Byroja Kombëtare e Hetimit; Organizata për Siguri dhe Bashkëpunim në Evropë</w:t>
            </w:r>
          </w:p>
        </w:tc>
        <w:tc>
          <w:tcPr>
            <w:tcW w:w="439" w:type="dxa"/>
            <w:tcBorders>
              <w:top w:val="nil"/>
              <w:left w:val="nil"/>
              <w:bottom w:val="single" w:sz="4" w:space="0" w:color="9CA3AF"/>
              <w:right w:val="single" w:sz="4" w:space="0" w:color="9CA3AF"/>
            </w:tcBorders>
            <w:shd w:val="clear" w:color="auto" w:fill="auto"/>
            <w:hideMark/>
          </w:tcPr>
          <w:p w14:paraId="6405279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4CCEE2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4D9124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69F0BE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305D79E"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ADFB8D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53C2CD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w:t>
            </w:r>
          </w:p>
        </w:tc>
        <w:tc>
          <w:tcPr>
            <w:tcW w:w="867" w:type="dxa"/>
            <w:tcBorders>
              <w:top w:val="nil"/>
              <w:left w:val="nil"/>
              <w:bottom w:val="single" w:sz="4" w:space="0" w:color="9CA3AF"/>
              <w:right w:val="single" w:sz="4" w:space="0" w:color="9CA3AF"/>
            </w:tcBorders>
            <w:shd w:val="clear" w:color="F1F5F9" w:fill="ECFDF5"/>
            <w:hideMark/>
          </w:tcPr>
          <w:p w14:paraId="734BABF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kapaciteteve kombëtare për zbulimin, hetimin dhe ndjekjen penale të krimit ekonomik dhe financiar, që rezulton në rritje të sekuestrimeve dhe ulje të pandëshkueshmërisë.</w:t>
            </w:r>
          </w:p>
        </w:tc>
        <w:tc>
          <w:tcPr>
            <w:tcW w:w="517" w:type="dxa"/>
            <w:tcBorders>
              <w:top w:val="nil"/>
              <w:left w:val="nil"/>
              <w:bottom w:val="single" w:sz="4" w:space="0" w:color="9CA3AF"/>
              <w:right w:val="single" w:sz="4" w:space="0" w:color="9CA3AF"/>
            </w:tcBorders>
            <w:shd w:val="clear" w:color="F1F5F9" w:fill="ECFDF5"/>
            <w:hideMark/>
          </w:tcPr>
          <w:p w14:paraId="3911E3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2.3.13</w:t>
            </w:r>
          </w:p>
        </w:tc>
        <w:tc>
          <w:tcPr>
            <w:tcW w:w="1007" w:type="dxa"/>
            <w:tcBorders>
              <w:top w:val="nil"/>
              <w:left w:val="nil"/>
              <w:bottom w:val="single" w:sz="4" w:space="0" w:color="9CA3AF"/>
              <w:right w:val="single" w:sz="4" w:space="0" w:color="9CA3AF"/>
            </w:tcBorders>
            <w:shd w:val="clear" w:color="F1F5F9" w:fill="ECFDF5"/>
            <w:hideMark/>
          </w:tcPr>
          <w:p w14:paraId="7E572FF1" w14:textId="14E896E5"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Inicimi i procesit të vlerësimit për ngritjen e një Task</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Force ad hoch të specalizuar për Pastrimin e Parave në fushën e Pronave të Paluajtshme për ndërgjegjësim dhe kontroll të forcuar mbi profesionet e lira dhe kategorive të caktuara të bizneseve dhe profesioneve jofinanciare, duke përfshirë avokatët, agjentët e pasurive të paluajtshme, kontabilistët etj.</w:t>
            </w:r>
          </w:p>
        </w:tc>
        <w:tc>
          <w:tcPr>
            <w:tcW w:w="524" w:type="dxa"/>
            <w:tcBorders>
              <w:top w:val="nil"/>
              <w:left w:val="nil"/>
              <w:bottom w:val="single" w:sz="4" w:space="0" w:color="9CA3AF"/>
              <w:right w:val="single" w:sz="4" w:space="0" w:color="9CA3AF"/>
            </w:tcBorders>
            <w:shd w:val="clear" w:color="auto" w:fill="auto"/>
            <w:hideMark/>
          </w:tcPr>
          <w:p w14:paraId="71D72C2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2.3.13</w:t>
            </w:r>
          </w:p>
        </w:tc>
        <w:tc>
          <w:tcPr>
            <w:tcW w:w="1307" w:type="dxa"/>
            <w:tcBorders>
              <w:top w:val="nil"/>
              <w:left w:val="nil"/>
              <w:bottom w:val="single" w:sz="4" w:space="0" w:color="9CA3AF"/>
              <w:right w:val="single" w:sz="4" w:space="0" w:color="9CA3AF"/>
            </w:tcBorders>
            <w:shd w:val="clear" w:color="auto" w:fill="auto"/>
            <w:hideMark/>
          </w:tcPr>
          <w:p w14:paraId="66C6D5D2" w14:textId="5098453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Kryerja e një vlerësimi gjithëpërfshirës të cenueshmërive sektoriale në sektorin e pasurive të paluajtshme, profesionet e lira dhe bizneset jofinanciare për të përcaktuar nevojën dhe strukturën e një Task</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Force të specializuar kundër pastrimit të parave.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Hartimi i propozimeve për forcimin e mekanizmave të mbikëqyrjes dhe kontrollit për profesionet dhe sektorët e identifikuar me risk të lartë ndaj pastrimit të parave, sipas gjetjeve të Vlerësimit Kombëtar të Riskut për Pastrimin e Parave dhe Financimin e Terorrizmit, por duke mbajtur në vëmendje të veçantë edhe sektorët me risk të mesëm (si p.sh.) ndërmjetësit e pasurive të paluajtshme, kontabilistët dhe profesionet e tjera relevante), me qëllim përmirësimin e zbulimit dhe raportimit të aktiviteteve të dyshimta.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7505D5E4"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single" w:sz="4" w:space="0" w:color="9CA3AF"/>
              <w:bottom w:val="single" w:sz="4" w:space="0" w:color="9CA3AF"/>
              <w:right w:val="single" w:sz="4" w:space="0" w:color="9CA3AF"/>
            </w:tcBorders>
            <w:shd w:val="clear" w:color="auto" w:fill="auto"/>
            <w:hideMark/>
          </w:tcPr>
          <w:p w14:paraId="7BEB8E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nil"/>
              <w:left w:val="nil"/>
              <w:bottom w:val="single" w:sz="4" w:space="0" w:color="9CA3AF"/>
              <w:right w:val="single" w:sz="4" w:space="0" w:color="9CA3AF"/>
            </w:tcBorders>
            <w:shd w:val="clear" w:color="auto" w:fill="auto"/>
            <w:hideMark/>
          </w:tcPr>
          <w:p w14:paraId="16CC7C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Policisë së Shtetit; Prokuroria e Përgjithshme; Prokuroria e Posaçme kundër Korrupsionit dhe Krimit të Organizuar; Byroja Kombëtare e Hetimit; Drejtoria e Përgjithshme e Tatimeve; Qendra Kombëtare e Biznesit; Organizata për Siguri dhe Bashkëpunim në Evropë</w:t>
            </w:r>
          </w:p>
        </w:tc>
        <w:tc>
          <w:tcPr>
            <w:tcW w:w="439" w:type="dxa"/>
            <w:tcBorders>
              <w:top w:val="nil"/>
              <w:left w:val="nil"/>
              <w:bottom w:val="single" w:sz="4" w:space="0" w:color="9CA3AF"/>
              <w:right w:val="single" w:sz="4" w:space="0" w:color="9CA3AF"/>
            </w:tcBorders>
            <w:shd w:val="clear" w:color="auto" w:fill="auto"/>
            <w:hideMark/>
          </w:tcPr>
          <w:p w14:paraId="3DC5A12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1C3E28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2027</w:t>
            </w:r>
          </w:p>
        </w:tc>
        <w:tc>
          <w:tcPr>
            <w:tcW w:w="649" w:type="dxa"/>
            <w:tcBorders>
              <w:top w:val="nil"/>
              <w:left w:val="nil"/>
              <w:bottom w:val="single" w:sz="4" w:space="0" w:color="9CA3AF"/>
              <w:right w:val="single" w:sz="4" w:space="0" w:color="9CA3AF"/>
            </w:tcBorders>
            <w:shd w:val="clear" w:color="auto" w:fill="auto"/>
            <w:hideMark/>
          </w:tcPr>
          <w:p w14:paraId="32D5557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D3B9D1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F051315"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022D8997"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2.3</w:t>
            </w:r>
          </w:p>
        </w:tc>
        <w:tc>
          <w:tcPr>
            <w:tcW w:w="649" w:type="dxa"/>
            <w:tcBorders>
              <w:top w:val="nil"/>
              <w:left w:val="nil"/>
              <w:bottom w:val="nil"/>
              <w:right w:val="nil"/>
            </w:tcBorders>
            <w:shd w:val="clear" w:color="FDEADA" w:fill="FEF3C7"/>
            <w:noWrap/>
            <w:vAlign w:val="bottom"/>
            <w:hideMark/>
          </w:tcPr>
          <w:p w14:paraId="28041A62"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2,235,000</w:t>
            </w:r>
          </w:p>
        </w:tc>
        <w:tc>
          <w:tcPr>
            <w:tcW w:w="1352" w:type="dxa"/>
            <w:tcBorders>
              <w:top w:val="nil"/>
              <w:left w:val="nil"/>
              <w:bottom w:val="nil"/>
              <w:right w:val="nil"/>
            </w:tcBorders>
            <w:shd w:val="clear" w:color="auto" w:fill="auto"/>
            <w:noWrap/>
            <w:vAlign w:val="bottom"/>
            <w:hideMark/>
          </w:tcPr>
          <w:p w14:paraId="4074E1BE"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5A3AF3B1"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60B9FD65"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2.4 — Rritja e kapaciteteve kombëtare në parandalimin, zbulimin dhe ndjekjen penale të krimit kibernetik, përmes teknologjisë së përparuar, aftësive të specializuara dhe bashkëpunimit ndërkombëtar.</w:t>
            </w:r>
          </w:p>
        </w:tc>
      </w:tr>
      <w:tr w:rsidR="00F54824" w:rsidRPr="002128A6" w14:paraId="2B977B13"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22A3ABA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7BFC59F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single" w:sz="4" w:space="0" w:color="9CA3AF"/>
              <w:left w:val="nil"/>
              <w:bottom w:val="single" w:sz="4" w:space="0" w:color="9CA3AF"/>
              <w:right w:val="single" w:sz="4" w:space="0" w:color="9CA3AF"/>
            </w:tcBorders>
            <w:shd w:val="clear" w:color="F1F5F9" w:fill="ECFDF5"/>
            <w:hideMark/>
          </w:tcPr>
          <w:p w14:paraId="1B152D9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kapaciteteve kombëtare në parandalimin, zbulimin dhe ndjekjen penale të krimit kibernetik, përmes teknologjisë </w:t>
            </w:r>
            <w:r w:rsidRPr="002128A6">
              <w:rPr>
                <w:rFonts w:ascii="Garamond" w:eastAsia="Times New Roman" w:hAnsi="Garamond" w:cs="Times New Roman"/>
                <w:kern w:val="0"/>
                <w:sz w:val="8"/>
                <w:szCs w:val="8"/>
                <w14:ligatures w14:val="none"/>
              </w:rPr>
              <w:lastRenderedPageBreak/>
              <w:t>së përparuar, aftësive të specializuara dhe bashkëpunimit ndërkombëtar.</w:t>
            </w:r>
          </w:p>
        </w:tc>
        <w:tc>
          <w:tcPr>
            <w:tcW w:w="517" w:type="dxa"/>
            <w:tcBorders>
              <w:top w:val="single" w:sz="4" w:space="0" w:color="9CA3AF"/>
              <w:left w:val="nil"/>
              <w:bottom w:val="single" w:sz="4" w:space="0" w:color="9CA3AF"/>
              <w:right w:val="single" w:sz="4" w:space="0" w:color="9CA3AF"/>
            </w:tcBorders>
            <w:shd w:val="clear" w:color="F1F5F9" w:fill="ECFDF5"/>
            <w:hideMark/>
          </w:tcPr>
          <w:p w14:paraId="16826B8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2.4.1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2464991A" w14:textId="575239F9"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kapaciteteve hetimore, operacionale dhe teknologjike për trajtimin e krimit kibernetik, duke përfshirë ndërtimin e kapaciteteve për analizën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dhe </w:t>
            </w:r>
            <w:r w:rsidRPr="002128A6">
              <w:rPr>
                <w:rFonts w:ascii="Garamond" w:eastAsia="Times New Roman" w:hAnsi="Garamond" w:cs="Times New Roman"/>
                <w:kern w:val="0"/>
                <w:sz w:val="8"/>
                <w:szCs w:val="8"/>
                <w14:ligatures w14:val="none"/>
              </w:rPr>
              <w:lastRenderedPageBreak/>
              <w:t xml:space="preserve">kriminalistikën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 si dhe duke përdorur mjete moderne dhe platformave për të mbështetur zbulimin, hetimin dhe dokumentimin e krimit kibernetik.</w:t>
            </w:r>
          </w:p>
        </w:tc>
        <w:tc>
          <w:tcPr>
            <w:tcW w:w="524" w:type="dxa"/>
            <w:tcBorders>
              <w:top w:val="single" w:sz="4" w:space="0" w:color="9CA3AF"/>
              <w:left w:val="nil"/>
              <w:bottom w:val="single" w:sz="4" w:space="0" w:color="9CA3AF"/>
              <w:right w:val="single" w:sz="4" w:space="0" w:color="9CA3AF"/>
            </w:tcBorders>
            <w:shd w:val="clear" w:color="auto" w:fill="auto"/>
            <w:hideMark/>
          </w:tcPr>
          <w:p w14:paraId="4252399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2.4.1</w:t>
            </w:r>
          </w:p>
        </w:tc>
        <w:tc>
          <w:tcPr>
            <w:tcW w:w="1307" w:type="dxa"/>
            <w:tcBorders>
              <w:top w:val="single" w:sz="4" w:space="0" w:color="9CA3AF"/>
              <w:left w:val="nil"/>
              <w:bottom w:val="single" w:sz="4" w:space="0" w:color="9CA3AF"/>
              <w:right w:val="single" w:sz="4" w:space="0" w:color="9CA3AF"/>
            </w:tcBorders>
            <w:shd w:val="clear" w:color="auto" w:fill="auto"/>
            <w:hideMark/>
          </w:tcPr>
          <w:p w14:paraId="6778F43B" w14:textId="3914799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Zhvillimi dhe zgjerimi i kapaciteteve të kriminalistikës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dhe analizës kibernetike, duke pajisur njësitë e specializuara me mjete moderne për nxjerrjen e të dhënave, analizën e maluerëve, kriminalistikën e rrjetit dhe ruajtjen </w:t>
            </w:r>
            <w:r w:rsidRPr="002128A6">
              <w:rPr>
                <w:rFonts w:ascii="Garamond" w:eastAsia="Times New Roman" w:hAnsi="Garamond" w:cs="Times New Roman"/>
                <w:kern w:val="0"/>
                <w:sz w:val="8"/>
                <w:szCs w:val="8"/>
                <w14:ligatures w14:val="none"/>
              </w:rPr>
              <w:lastRenderedPageBreak/>
              <w:t xml:space="preserve">e provave.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punës së strukturuar operacionale për hetimin e krimit kibernetik, duke përdorur platforma të avancuara për zbulimin, dokumentimin dhe gjetjen e autorëve të incidenteve kibernetike.</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3E5E1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91604AR;</w:t>
            </w:r>
            <w:r w:rsidRPr="002128A6">
              <w:rPr>
                <w:rFonts w:ascii="Garamond" w:eastAsia="Times New Roman" w:hAnsi="Garamond" w:cs="Times New Roman"/>
                <w:kern w:val="0"/>
                <w:sz w:val="8"/>
                <w:szCs w:val="8"/>
                <w14:ligatures w14:val="none"/>
              </w:rPr>
              <w:br/>
              <w:t>91604AA</w:t>
            </w:r>
          </w:p>
        </w:tc>
        <w:tc>
          <w:tcPr>
            <w:tcW w:w="914" w:type="dxa"/>
            <w:tcBorders>
              <w:top w:val="single" w:sz="4" w:space="0" w:color="9CA3AF"/>
              <w:left w:val="single" w:sz="4" w:space="0" w:color="9CA3AF"/>
              <w:bottom w:val="single" w:sz="4" w:space="0" w:color="9CA3AF"/>
              <w:right w:val="single" w:sz="4" w:space="0" w:color="9CA3AF"/>
            </w:tcBorders>
            <w:shd w:val="clear" w:color="auto" w:fill="auto"/>
            <w:hideMark/>
          </w:tcPr>
          <w:p w14:paraId="41AD60D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9CA3AF"/>
              <w:left w:val="nil"/>
              <w:bottom w:val="single" w:sz="4" w:space="0" w:color="9CA3AF"/>
              <w:right w:val="single" w:sz="4" w:space="0" w:color="9CA3AF"/>
            </w:tcBorders>
            <w:shd w:val="clear" w:color="auto" w:fill="auto"/>
            <w:hideMark/>
          </w:tcPr>
          <w:p w14:paraId="3368FDE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Drejtësisë; Prokuroria e Posaçme; Byroja Kombëtare e Hetimit; Agjencia e Inteligjencës Financiare</w:t>
            </w:r>
          </w:p>
        </w:tc>
        <w:tc>
          <w:tcPr>
            <w:tcW w:w="439" w:type="dxa"/>
            <w:tcBorders>
              <w:top w:val="single" w:sz="4" w:space="0" w:color="9CA3AF"/>
              <w:left w:val="nil"/>
              <w:bottom w:val="single" w:sz="4" w:space="0" w:color="9CA3AF"/>
              <w:right w:val="single" w:sz="4" w:space="0" w:color="9CA3AF"/>
            </w:tcBorders>
            <w:shd w:val="clear" w:color="auto" w:fill="auto"/>
            <w:hideMark/>
          </w:tcPr>
          <w:p w14:paraId="5DE28DE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576A5C6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266725C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5E20CE4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D0163B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D59619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901C7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7460BD4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kapaciteteve kombëtare në parandalimin, zbulimin dhe ndjekjen penale të krimit kibernetik, përmes teknologjisë së përparuar, aftësive të specializuara dhe bashkëpunimit ndërkombëtar. </w:t>
            </w:r>
          </w:p>
        </w:tc>
        <w:tc>
          <w:tcPr>
            <w:tcW w:w="517" w:type="dxa"/>
            <w:tcBorders>
              <w:top w:val="nil"/>
              <w:left w:val="nil"/>
              <w:bottom w:val="single" w:sz="4" w:space="0" w:color="9CA3AF"/>
              <w:right w:val="single" w:sz="4" w:space="0" w:color="9CA3AF"/>
            </w:tcBorders>
            <w:shd w:val="clear" w:color="F1F5F9" w:fill="ECFDF5"/>
            <w:hideMark/>
          </w:tcPr>
          <w:p w14:paraId="3E49F3E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2.4.2</w:t>
            </w:r>
          </w:p>
        </w:tc>
        <w:tc>
          <w:tcPr>
            <w:tcW w:w="1007" w:type="dxa"/>
            <w:tcBorders>
              <w:top w:val="nil"/>
              <w:left w:val="nil"/>
              <w:bottom w:val="single" w:sz="4" w:space="0" w:color="9CA3AF"/>
              <w:right w:val="single" w:sz="4" w:space="0" w:color="9CA3AF"/>
            </w:tcBorders>
            <w:shd w:val="clear" w:color="F1F5F9" w:fill="ECFDF5"/>
            <w:hideMark/>
          </w:tcPr>
          <w:p w14:paraId="361EDE3A" w14:textId="488841F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dhe zbatimi i programeve edukative dhe ndërgjegjësuese për qytetarët dhe bizneset mbi rreziqet kibernetike dhe masat mbrojtëse, përfshirë udhëzime për sjelljen e sigurt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higjienën bazë kibernetike, rrugët e raportimit dhe masat parandaluese për mbrojtjen e të dhënave personale dhe aseteve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w:t>
            </w:r>
          </w:p>
        </w:tc>
        <w:tc>
          <w:tcPr>
            <w:tcW w:w="524" w:type="dxa"/>
            <w:tcBorders>
              <w:top w:val="nil"/>
              <w:left w:val="nil"/>
              <w:bottom w:val="single" w:sz="4" w:space="0" w:color="9CA3AF"/>
              <w:right w:val="single" w:sz="4" w:space="0" w:color="9CA3AF"/>
            </w:tcBorders>
            <w:shd w:val="clear" w:color="auto" w:fill="auto"/>
            <w:hideMark/>
          </w:tcPr>
          <w:p w14:paraId="594033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2.4.2</w:t>
            </w:r>
          </w:p>
        </w:tc>
        <w:tc>
          <w:tcPr>
            <w:tcW w:w="1307" w:type="dxa"/>
            <w:tcBorders>
              <w:top w:val="nil"/>
              <w:left w:val="nil"/>
              <w:bottom w:val="single" w:sz="4" w:space="0" w:color="9CA3AF"/>
              <w:right w:val="single" w:sz="4" w:space="0" w:color="9CA3AF"/>
            </w:tcBorders>
            <w:shd w:val="clear" w:color="auto" w:fill="auto"/>
            <w:hideMark/>
          </w:tcPr>
          <w:p w14:paraId="0F114747" w14:textId="56070D92"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Përgatitja dhe ofrimi i fushatave të ndërgjegjësimit në të gjithë vendin, për qytetarët dhe bizneset, mbi rreziqet kibernetike, sjelljen e sigurt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higjienën kibernetike dhe rrugët e raportimit për incidentet kibernetike.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Hartimi i materialeve praktike udhëzuese, si listat e kontrollit, tutorialet dhe këshillat specifike sektoriale, për të ndihmuar individët dhe bizneset të mbrojnë të dhënat personale dhe asetet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24E81A8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r w:rsidRPr="002128A6">
              <w:rPr>
                <w:rFonts w:ascii="Garamond" w:eastAsia="Times New Roman" w:hAnsi="Garamond" w:cs="Times New Roman"/>
                <w:kern w:val="0"/>
                <w:sz w:val="8"/>
                <w:szCs w:val="8"/>
                <w14:ligatures w14:val="none"/>
              </w:rPr>
              <w:b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774F700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3D8ACB5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Agjencia Shtetërore për të Drejtat dhe Mbrojtjen e Fëmijës</w:t>
            </w:r>
          </w:p>
        </w:tc>
        <w:tc>
          <w:tcPr>
            <w:tcW w:w="439" w:type="dxa"/>
            <w:tcBorders>
              <w:top w:val="nil"/>
              <w:left w:val="nil"/>
              <w:bottom w:val="single" w:sz="4" w:space="0" w:color="9CA3AF"/>
              <w:right w:val="single" w:sz="4" w:space="0" w:color="9CA3AF"/>
            </w:tcBorders>
            <w:shd w:val="clear" w:color="auto" w:fill="auto"/>
            <w:hideMark/>
          </w:tcPr>
          <w:p w14:paraId="10A68A3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01124C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CBC434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D6EC17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169838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95B9A7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A4143B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54CF625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kapaciteteve kombëtare në parandalimin, zbulimin dhe ndjekjen penale të krimit kibernetik, përmes teknologjisë së përparuar, aftësive të specializuara dhe bashkëpunimit ndërkombëtar. </w:t>
            </w:r>
          </w:p>
        </w:tc>
        <w:tc>
          <w:tcPr>
            <w:tcW w:w="517" w:type="dxa"/>
            <w:tcBorders>
              <w:top w:val="nil"/>
              <w:left w:val="nil"/>
              <w:bottom w:val="single" w:sz="4" w:space="0" w:color="9CA3AF"/>
              <w:right w:val="single" w:sz="4" w:space="0" w:color="9CA3AF"/>
            </w:tcBorders>
            <w:shd w:val="clear" w:color="F1F5F9" w:fill="ECFDF5"/>
            <w:hideMark/>
          </w:tcPr>
          <w:p w14:paraId="32FCEA3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2.4.3</w:t>
            </w:r>
          </w:p>
        </w:tc>
        <w:tc>
          <w:tcPr>
            <w:tcW w:w="1007" w:type="dxa"/>
            <w:tcBorders>
              <w:top w:val="nil"/>
              <w:left w:val="nil"/>
              <w:bottom w:val="single" w:sz="4" w:space="0" w:color="9CA3AF"/>
              <w:right w:val="single" w:sz="4" w:space="0" w:color="9CA3AF"/>
            </w:tcBorders>
            <w:shd w:val="clear" w:color="F1F5F9" w:fill="ECFDF5"/>
            <w:hideMark/>
          </w:tcPr>
          <w:p w14:paraId="2BB3144E" w14:textId="0F4C316A"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Trajtimi efektiv dhe i qëndrueshëm i të gjitha formave të krimit kibernetik, përmes realizimit të hetimeve proaktive, përfshirë përdorimin e inteligjencës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 dhe metodave të avancuara teknologjike hetimore, me qëllim parandalimin, zbulimin dhe ndëshkimin e aktiviteteve kriminale në hapësirën kibernetike.</w:t>
            </w:r>
          </w:p>
        </w:tc>
        <w:tc>
          <w:tcPr>
            <w:tcW w:w="524" w:type="dxa"/>
            <w:tcBorders>
              <w:top w:val="nil"/>
              <w:left w:val="nil"/>
              <w:bottom w:val="single" w:sz="4" w:space="0" w:color="9CA3AF"/>
              <w:right w:val="single" w:sz="4" w:space="0" w:color="9CA3AF"/>
            </w:tcBorders>
            <w:shd w:val="clear" w:color="auto" w:fill="auto"/>
            <w:hideMark/>
          </w:tcPr>
          <w:p w14:paraId="101ECEA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2.4.3</w:t>
            </w:r>
          </w:p>
        </w:tc>
        <w:tc>
          <w:tcPr>
            <w:tcW w:w="1307" w:type="dxa"/>
            <w:tcBorders>
              <w:top w:val="nil"/>
              <w:left w:val="nil"/>
              <w:bottom w:val="single" w:sz="4" w:space="0" w:color="9CA3AF"/>
              <w:right w:val="single" w:sz="4" w:space="0" w:color="9CA3AF"/>
            </w:tcBorders>
            <w:shd w:val="clear" w:color="auto" w:fill="auto"/>
            <w:hideMark/>
          </w:tcPr>
          <w:p w14:paraId="08E9A53F" w14:textId="11791130"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hetimeve proaktive të krimit kibernetik, duke përdorur inteligjencën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inteligjencën nga burime të hapura (OSINT) dhe mjete të avancuara teknologjike, për të zbuluar aktivitetin kriminal në hapësirën kibernetike.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Zbatimi i teknikave të specializuara hetimore, si monitorimi i rrjetit, gjurmimi i kriptovalutave dhe operacionet e fshehta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aty ku lejohet me ligj, me qëllim parandalimin dhe ndërprerjen e veprimeve penale kibernetike.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675228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56BB4BB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6A53C8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Shërbimi Informativ i Shtetit; Drejtoria e Përgjithshme e Tatimeve; Drejtoria e Përgjithshme e Doganave; Agjencia e Inteligjencës Financiare.</w:t>
            </w:r>
          </w:p>
        </w:tc>
        <w:tc>
          <w:tcPr>
            <w:tcW w:w="439" w:type="dxa"/>
            <w:tcBorders>
              <w:top w:val="nil"/>
              <w:left w:val="nil"/>
              <w:bottom w:val="single" w:sz="4" w:space="0" w:color="9CA3AF"/>
              <w:right w:val="single" w:sz="4" w:space="0" w:color="9CA3AF"/>
            </w:tcBorders>
            <w:shd w:val="clear" w:color="auto" w:fill="auto"/>
            <w:hideMark/>
          </w:tcPr>
          <w:p w14:paraId="2B45721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2373B9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BF507A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232C98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9876970"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7E6A85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6D48EC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437586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kombëtare në parandalimin, zbulimin dhe ndjekjen penale të krimit kibernetik, 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0EA4E8A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2.4.4</w:t>
            </w:r>
          </w:p>
        </w:tc>
        <w:tc>
          <w:tcPr>
            <w:tcW w:w="1007" w:type="dxa"/>
            <w:tcBorders>
              <w:top w:val="nil"/>
              <w:left w:val="nil"/>
              <w:bottom w:val="single" w:sz="4" w:space="0" w:color="9CA3AF"/>
              <w:right w:val="single" w:sz="4" w:space="0" w:color="9CA3AF"/>
            </w:tcBorders>
            <w:shd w:val="clear" w:color="F1F5F9" w:fill="ECFDF5"/>
            <w:hideMark/>
          </w:tcPr>
          <w:p w14:paraId="677D5A01" w14:textId="318065C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Ofrimi i trajnimit të vazhdueshëm për të përditësuar njohuritë dhe për të forcuar bashkëpunimin ndërinstitucional, përfshirë trajnime të specializuara, përdorimin e softuerëve modernë</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dhe mjeteve hetimore, si dhe trajnime të përbashkëta me agjencitë ligjzbatuese, me fokus të veçantë te gjurmimi i aktiviteteve të paligjshme që përfshijnë kriptovalutat, hetimi i krimit kibernetik dhe identifikimi i grupeve kriminale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që veprojnë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w:t>
            </w:r>
          </w:p>
        </w:tc>
        <w:tc>
          <w:tcPr>
            <w:tcW w:w="524" w:type="dxa"/>
            <w:tcBorders>
              <w:top w:val="nil"/>
              <w:left w:val="nil"/>
              <w:bottom w:val="single" w:sz="4" w:space="0" w:color="9CA3AF"/>
              <w:right w:val="single" w:sz="4" w:space="0" w:color="9CA3AF"/>
            </w:tcBorders>
            <w:shd w:val="clear" w:color="auto" w:fill="auto"/>
            <w:hideMark/>
          </w:tcPr>
          <w:p w14:paraId="4EF2B9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2.4.4</w:t>
            </w:r>
          </w:p>
        </w:tc>
        <w:tc>
          <w:tcPr>
            <w:tcW w:w="1307" w:type="dxa"/>
            <w:tcBorders>
              <w:top w:val="nil"/>
              <w:left w:val="nil"/>
              <w:bottom w:val="single" w:sz="4" w:space="0" w:color="9CA3AF"/>
              <w:right w:val="single" w:sz="4" w:space="0" w:color="9CA3AF"/>
            </w:tcBorders>
            <w:shd w:val="clear" w:color="auto" w:fill="auto"/>
            <w:hideMark/>
          </w:tcPr>
          <w:p w14:paraId="50BC5A47" w14:textId="538EA69B"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Ofrimi i programeve të specializuara të trajnimit për policët, prokurorët dhe zyrtarët e inteligjencës, mbi hetimin e krimit kibernetik, gjurmimin e kriptovalutave, trajtimin e provave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dhe tendencat e reja të krimit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Organizimi i ushtrimeve trajnuese të përbashkëta me agjencitë ligjzbatuese vendase dhe ndërkombëtare, me qëllim përmirësimin e koordinimit operacional dhe kuptimin e përbashkët të kërcënimeve kibernetike.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4E0275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065119E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705AA334" w14:textId="1810C38C"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Shërbimi Informativ i Shtetit; Drejtoria e Përgjithshme e Tatimeve; Drejtoria e Përgjithshme e Doganave; Agjencia e Inteligjencës Financiare; Banka e Shqipërisë; Byroja Kombëtare e Hetimit; Agjencia Shtetërore për të Drejtat dhe Mbrojtjen e Fëmijës/Njësia për Mbrojtjen e Fëmijës; Prokuroria e Posaçme; Prokuroria e Përgjithshme</w:t>
            </w:r>
          </w:p>
        </w:tc>
        <w:tc>
          <w:tcPr>
            <w:tcW w:w="439" w:type="dxa"/>
            <w:tcBorders>
              <w:top w:val="nil"/>
              <w:left w:val="nil"/>
              <w:bottom w:val="single" w:sz="4" w:space="0" w:color="9CA3AF"/>
              <w:right w:val="single" w:sz="4" w:space="0" w:color="9CA3AF"/>
            </w:tcBorders>
            <w:shd w:val="clear" w:color="auto" w:fill="auto"/>
            <w:hideMark/>
          </w:tcPr>
          <w:p w14:paraId="6033F34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407FE1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1AAE33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3DC67D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E99B97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AE4B4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2DED93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5A3FBF3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kombëtare në parandalimin, zbulimin dhe ndjekjen penale të krimit kibernetik, 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5A9674B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2.4.5</w:t>
            </w:r>
          </w:p>
        </w:tc>
        <w:tc>
          <w:tcPr>
            <w:tcW w:w="1007" w:type="dxa"/>
            <w:tcBorders>
              <w:top w:val="nil"/>
              <w:left w:val="nil"/>
              <w:bottom w:val="single" w:sz="4" w:space="0" w:color="9CA3AF"/>
              <w:right w:val="single" w:sz="4" w:space="0" w:color="9CA3AF"/>
            </w:tcBorders>
            <w:shd w:val="clear" w:color="F1F5F9" w:fill="ECFDF5"/>
            <w:hideMark/>
          </w:tcPr>
          <w:p w14:paraId="5908A057" w14:textId="1B96B0BB"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bashkëpunimit me institucionet publike, subjektet private dhe partnerët ndërkombëtarë për trajtimin e shpejtë dhe të saktë të rasteve të abuzimit seksual të fëmijëve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përfshirë identifikimin dhe prioritizimin e rasteve urgjente, si dhe analizën efektive të provave në mbështetje të hetimit dhe ndjekjes penale.</w:t>
            </w:r>
          </w:p>
        </w:tc>
        <w:tc>
          <w:tcPr>
            <w:tcW w:w="524" w:type="dxa"/>
            <w:tcBorders>
              <w:top w:val="nil"/>
              <w:left w:val="nil"/>
              <w:bottom w:val="single" w:sz="4" w:space="0" w:color="9CA3AF"/>
              <w:right w:val="single" w:sz="4" w:space="0" w:color="9CA3AF"/>
            </w:tcBorders>
            <w:shd w:val="clear" w:color="auto" w:fill="auto"/>
            <w:hideMark/>
          </w:tcPr>
          <w:p w14:paraId="3AFC203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2.4.5</w:t>
            </w:r>
          </w:p>
        </w:tc>
        <w:tc>
          <w:tcPr>
            <w:tcW w:w="1307" w:type="dxa"/>
            <w:tcBorders>
              <w:top w:val="nil"/>
              <w:left w:val="nil"/>
              <w:bottom w:val="single" w:sz="4" w:space="0" w:color="9CA3AF"/>
              <w:right w:val="single" w:sz="4" w:space="0" w:color="9CA3AF"/>
            </w:tcBorders>
            <w:shd w:val="clear" w:color="auto" w:fill="auto"/>
            <w:hideMark/>
          </w:tcPr>
          <w:p w14:paraId="756CCC6C" w14:textId="42553C80"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Vendosja e procedurave të reagimit të shpejtë me institucionet publike, subjektet private dhe partnerët ndërkombëtarë, për të siguruar identifikim, prioritizim dhe hetim në kohë të materialit të abuzimit seksual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të fëmijëve.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Forcimi i kapacitetit të kriminalistikës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 për të analizuar provat në mënyrë efikase dhe për të mbështetur ndjekjet penale, përfshirë përmes mjeteve të specializuara dhe personelit të trajnuar.</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9EB416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0138AAC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75FBEA5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w:t>
            </w:r>
          </w:p>
        </w:tc>
        <w:tc>
          <w:tcPr>
            <w:tcW w:w="439" w:type="dxa"/>
            <w:tcBorders>
              <w:top w:val="nil"/>
              <w:left w:val="nil"/>
              <w:bottom w:val="single" w:sz="4" w:space="0" w:color="9CA3AF"/>
              <w:right w:val="single" w:sz="4" w:space="0" w:color="9CA3AF"/>
            </w:tcBorders>
            <w:shd w:val="clear" w:color="auto" w:fill="auto"/>
            <w:hideMark/>
          </w:tcPr>
          <w:p w14:paraId="5C59A38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5E2958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08E698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274317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94EA376"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A6D801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5D70B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25CEF93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kombëtare në parandalimin, zbulimin dhe ndjekjen penale të krimit kibernetik, 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103C700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2.4.6</w:t>
            </w:r>
          </w:p>
        </w:tc>
        <w:tc>
          <w:tcPr>
            <w:tcW w:w="1007" w:type="dxa"/>
            <w:tcBorders>
              <w:top w:val="nil"/>
              <w:left w:val="nil"/>
              <w:bottom w:val="single" w:sz="4" w:space="0" w:color="9CA3AF"/>
              <w:right w:val="single" w:sz="4" w:space="0" w:color="9CA3AF"/>
            </w:tcBorders>
            <w:shd w:val="clear" w:color="F1F5F9" w:fill="ECFDF5"/>
            <w:hideMark/>
          </w:tcPr>
          <w:p w14:paraId="79A19DD7" w14:textId="7C6CE78D"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dhe zbatimi i programeve edukative dhe ndërgjegjësuese për fëmijët mbi sigurinë në internet dhe mbrojtjen nga rreziqet kibernetike, si dhe ofrimi i trajnimit të vazhdueshëm të përbashkët për punonjësit e policisë dhe aktorët vendore të vijës së parë, mbi tendencat në zhvillim të krimit kibernetik, dëmet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dhe procedurat e duhura të reagimit dhe referimit.</w:t>
            </w:r>
          </w:p>
        </w:tc>
        <w:tc>
          <w:tcPr>
            <w:tcW w:w="524" w:type="dxa"/>
            <w:tcBorders>
              <w:top w:val="nil"/>
              <w:left w:val="nil"/>
              <w:bottom w:val="single" w:sz="4" w:space="0" w:color="9CA3AF"/>
              <w:right w:val="single" w:sz="4" w:space="0" w:color="9CA3AF"/>
            </w:tcBorders>
            <w:shd w:val="clear" w:color="auto" w:fill="auto"/>
            <w:hideMark/>
          </w:tcPr>
          <w:p w14:paraId="48314C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2.4.6</w:t>
            </w:r>
          </w:p>
        </w:tc>
        <w:tc>
          <w:tcPr>
            <w:tcW w:w="1307" w:type="dxa"/>
            <w:tcBorders>
              <w:top w:val="nil"/>
              <w:left w:val="nil"/>
              <w:bottom w:val="single" w:sz="4" w:space="0" w:color="9CA3AF"/>
              <w:right w:val="single" w:sz="4" w:space="0" w:color="9CA3AF"/>
            </w:tcBorders>
            <w:shd w:val="clear" w:color="auto" w:fill="auto"/>
            <w:hideMark/>
          </w:tcPr>
          <w:p w14:paraId="2646F291" w14:textId="7E10FD5E"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Zbatimi i programeve edukative të përshtatshme për moshën në shkolla dhe qendra komunitare, me qëllim që fëmijët të mësojnë mbi sigurinë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rreziqet kibernetike dhe sjelljen e përgjegjshme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Ofrimi i trajnimit të vazhdueshëm të përbashkët për oficerët e policisë, mësuesit dhe aktorët vendorë në vijën e parë, mbi dëmet e aktivitetit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procedurat e referimit dhe protokollet e mbrojtjes së fëmijëve.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AD46AD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121261A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66388D45" w14:textId="3B99FFC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Arsimit; Autoriteti Kombëtar për Sigurinë Kibernetike; Agjencia Shtetërore për të Drejtat dhe Mbrojtjen e Fëmijës/Njësia për Mbrojtjen e Fëmijës.</w:t>
            </w:r>
          </w:p>
        </w:tc>
        <w:tc>
          <w:tcPr>
            <w:tcW w:w="439" w:type="dxa"/>
            <w:tcBorders>
              <w:top w:val="nil"/>
              <w:left w:val="nil"/>
              <w:bottom w:val="single" w:sz="4" w:space="0" w:color="9CA3AF"/>
              <w:right w:val="single" w:sz="4" w:space="0" w:color="9CA3AF"/>
            </w:tcBorders>
            <w:shd w:val="clear" w:color="auto" w:fill="auto"/>
            <w:hideMark/>
          </w:tcPr>
          <w:p w14:paraId="22906ED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9F9726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1A748D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9A13A8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545504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8E1A09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2DB6A1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36820A7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kombëtare në parandalimin, zbulimin dhe ndjekjen penale të krimit kibernetik, 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35D73DD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2.4.7</w:t>
            </w:r>
          </w:p>
        </w:tc>
        <w:tc>
          <w:tcPr>
            <w:tcW w:w="1007" w:type="dxa"/>
            <w:tcBorders>
              <w:top w:val="nil"/>
              <w:left w:val="nil"/>
              <w:bottom w:val="single" w:sz="4" w:space="0" w:color="9CA3AF"/>
              <w:right w:val="single" w:sz="4" w:space="0" w:color="9CA3AF"/>
            </w:tcBorders>
            <w:shd w:val="clear" w:color="F1F5F9" w:fill="ECFDF5"/>
            <w:hideMark/>
          </w:tcPr>
          <w:p w14:paraId="1D6D033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Krijimi dhe aktivizimi i kapaciteteve teknike dhe teknologjike për të monitoruar Dark Web-in, me qëllim forcimin e parandalimit dhe zbulimit e hershëm të krimeve kibernetike, përfshirë përmes mjeteve të dedikuara, personelit të trajnuar dhe procedurave për mbledhjen e inteligjencës dhe ndjekjen operacionale.</w:t>
            </w:r>
          </w:p>
        </w:tc>
        <w:tc>
          <w:tcPr>
            <w:tcW w:w="524" w:type="dxa"/>
            <w:tcBorders>
              <w:top w:val="nil"/>
              <w:left w:val="nil"/>
              <w:bottom w:val="single" w:sz="4" w:space="0" w:color="9CA3AF"/>
              <w:right w:val="single" w:sz="4" w:space="0" w:color="9CA3AF"/>
            </w:tcBorders>
            <w:shd w:val="clear" w:color="auto" w:fill="auto"/>
            <w:hideMark/>
          </w:tcPr>
          <w:p w14:paraId="7A21ADE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2.4.7</w:t>
            </w:r>
          </w:p>
        </w:tc>
        <w:tc>
          <w:tcPr>
            <w:tcW w:w="1307" w:type="dxa"/>
            <w:tcBorders>
              <w:top w:val="nil"/>
              <w:left w:val="nil"/>
              <w:bottom w:val="single" w:sz="4" w:space="0" w:color="9CA3AF"/>
              <w:right w:val="single" w:sz="4" w:space="0" w:color="9CA3AF"/>
            </w:tcBorders>
            <w:shd w:val="clear" w:color="auto" w:fill="auto"/>
            <w:hideMark/>
          </w:tcPr>
          <w:p w14:paraId="7919249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Alokimi i kapaciteteve të dedikuara për monitorimin e DarWeb-it, përfshirë mjete të specializuara, analistë të trajnuar dhe procedura operacionale për mbledhjen e inteligjencës dhe zbulimin e hershëm të krimit kibernetik.</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Integrimi i inteligjencës së Dark Web-it në praktikën hetimore, për të mbështetur zhvillimin e çështjes, vlerësimet e kërcënimit dhe ndjekjen operacionale.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49EE07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6E164D6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68A48B9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0B8CD13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441FF6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2EFA12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E07333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881F56B"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F247DB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55F7C6D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1D9445D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kombëtare në parandalimin, zbulimin dhe ndjekjen penale të krimit kibernetik, 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5C489FE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2.4.8</w:t>
            </w:r>
          </w:p>
        </w:tc>
        <w:tc>
          <w:tcPr>
            <w:tcW w:w="1007" w:type="dxa"/>
            <w:tcBorders>
              <w:top w:val="nil"/>
              <w:left w:val="nil"/>
              <w:bottom w:val="single" w:sz="4" w:space="0" w:color="9CA3AF"/>
              <w:right w:val="single" w:sz="4" w:space="0" w:color="9CA3AF"/>
            </w:tcBorders>
            <w:shd w:val="clear" w:color="F1F5F9" w:fill="ECFDF5"/>
            <w:hideMark/>
          </w:tcPr>
          <w:p w14:paraId="692C17D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rrjeteve të bashkëpunimit ndërkombëtar dhe shkëmbimit të informacionit në luftën kundër krimit kibernetik, përmes pikave të kontaktit 24/7, me qëllim sigurimin e asistencës në kohë, shkëmbim të shpejtë të informacionit dhe përgjigje të koordinuara operacionale ndaj incidenteve dhe hetimeve kibernetike ndërkufitare.</w:t>
            </w:r>
          </w:p>
        </w:tc>
        <w:tc>
          <w:tcPr>
            <w:tcW w:w="524" w:type="dxa"/>
            <w:tcBorders>
              <w:top w:val="nil"/>
              <w:left w:val="nil"/>
              <w:bottom w:val="single" w:sz="4" w:space="0" w:color="9CA3AF"/>
              <w:right w:val="single" w:sz="4" w:space="0" w:color="9CA3AF"/>
            </w:tcBorders>
            <w:shd w:val="clear" w:color="auto" w:fill="auto"/>
            <w:hideMark/>
          </w:tcPr>
          <w:p w14:paraId="5B9C98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2.4.8</w:t>
            </w:r>
          </w:p>
        </w:tc>
        <w:tc>
          <w:tcPr>
            <w:tcW w:w="1307" w:type="dxa"/>
            <w:tcBorders>
              <w:top w:val="nil"/>
              <w:left w:val="nil"/>
              <w:bottom w:val="single" w:sz="4" w:space="0" w:color="9CA3AF"/>
              <w:right w:val="single" w:sz="4" w:space="0" w:color="9CA3AF"/>
            </w:tcBorders>
            <w:shd w:val="clear" w:color="auto" w:fill="auto"/>
            <w:hideMark/>
          </w:tcPr>
          <w:p w14:paraId="21938C8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Mbajtja e bashkëpunimit aktiv 24/7 me pikat e kontaktit të partnerëve ndërkombëtarë, për të siguruar shkëmbim të shpejtë informacioni, asistencë në kohë dhe përgjigje të koordinuara ndaj incidenteve kibernetike ndërkufitare.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Pjesëmarrja në platformat e koordinimit ndërkombëtar të krimit kibernetik, operacionet e përbashkëta dhe nismat e shkëmbimit të inteligjencës për të rritur kapacitetin hetimor ndërkufitar.</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48377C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3295F6F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3E31138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Byroja Kombëtare e Hetimit</w:t>
            </w:r>
          </w:p>
        </w:tc>
        <w:tc>
          <w:tcPr>
            <w:tcW w:w="439" w:type="dxa"/>
            <w:tcBorders>
              <w:top w:val="nil"/>
              <w:left w:val="nil"/>
              <w:bottom w:val="single" w:sz="4" w:space="0" w:color="9CA3AF"/>
              <w:right w:val="single" w:sz="4" w:space="0" w:color="9CA3AF"/>
            </w:tcBorders>
            <w:shd w:val="clear" w:color="auto" w:fill="auto"/>
            <w:hideMark/>
          </w:tcPr>
          <w:p w14:paraId="7BC66CF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650356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E1D5DE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7A824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A911FA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CB106D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E60B22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2E9EB37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kombëtare në parandalimin, zbulimin dhe ndjekjen penale të krimit kibernetik, 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1958CD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2.4.9</w:t>
            </w:r>
          </w:p>
        </w:tc>
        <w:tc>
          <w:tcPr>
            <w:tcW w:w="1007" w:type="dxa"/>
            <w:tcBorders>
              <w:top w:val="nil"/>
              <w:left w:val="nil"/>
              <w:bottom w:val="single" w:sz="4" w:space="0" w:color="9CA3AF"/>
              <w:right w:val="single" w:sz="4" w:space="0" w:color="9CA3AF"/>
            </w:tcBorders>
            <w:shd w:val="clear" w:color="F1F5F9" w:fill="ECFDF5"/>
            <w:hideMark/>
          </w:tcPr>
          <w:p w14:paraId="7EC7005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Standardizimi dhe optimizimi i procedurave për funksionim efektiv të pikës së kontaktit 24/7, përfshirë duke sqaruar rolet dhe përgjegjësitë, duke vendosur afatet kohore të reagimit, duke siguruar komunikim dhe dokumentim të sigurt dhe duke miratuar mekanizma të sigurimit të cilësisë për kërkesat dhe shkëmbimet e lidhura me krimin kibernetik. </w:t>
            </w:r>
          </w:p>
        </w:tc>
        <w:tc>
          <w:tcPr>
            <w:tcW w:w="524" w:type="dxa"/>
            <w:tcBorders>
              <w:top w:val="nil"/>
              <w:left w:val="nil"/>
              <w:bottom w:val="single" w:sz="4" w:space="0" w:color="9CA3AF"/>
              <w:right w:val="single" w:sz="4" w:space="0" w:color="9CA3AF"/>
            </w:tcBorders>
            <w:shd w:val="clear" w:color="auto" w:fill="auto"/>
            <w:hideMark/>
          </w:tcPr>
          <w:p w14:paraId="3364FF9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2.4.9</w:t>
            </w:r>
          </w:p>
        </w:tc>
        <w:tc>
          <w:tcPr>
            <w:tcW w:w="1307" w:type="dxa"/>
            <w:tcBorders>
              <w:top w:val="nil"/>
              <w:left w:val="nil"/>
              <w:bottom w:val="single" w:sz="4" w:space="0" w:color="9CA3AF"/>
              <w:right w:val="single" w:sz="4" w:space="0" w:color="9CA3AF"/>
            </w:tcBorders>
            <w:shd w:val="clear" w:color="auto" w:fill="auto"/>
            <w:hideMark/>
          </w:tcPr>
          <w:p w14:paraId="44AF2D8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dhe zbatimi i procedurave standarde operacionale që përcaktojnë rolet, përgjegjësitë, afatet kohore të reagimit dhe kërkesat e dokumentimit për të gjitha operacionet e pikave të kontaktit 24/7.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Miratimi i mekanizmave të sigurimit të cilësisë, që garantojnë komunikim të sigurt, përpunim të saktë të kërkesave dhe ndjekje konsistente të shkëmbimeve ndërkombëtare.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F72B22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3E28F2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43FD7FB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6F1959B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A945B5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881BF2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48EEFC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8BED046"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C78F1C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6E07FD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2D96250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kapaciteteve kombëtare në parandalimin, zbulimin dhe ndjekjen penale të krimit kibernetik, </w:t>
            </w:r>
            <w:r w:rsidRPr="002128A6">
              <w:rPr>
                <w:rFonts w:ascii="Garamond" w:eastAsia="Times New Roman" w:hAnsi="Garamond" w:cs="Times New Roman"/>
                <w:kern w:val="0"/>
                <w:sz w:val="8"/>
                <w:szCs w:val="8"/>
                <w14:ligatures w14:val="none"/>
              </w:rPr>
              <w:lastRenderedPageBreak/>
              <w:t>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7416DB3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2.4.10</w:t>
            </w:r>
          </w:p>
        </w:tc>
        <w:tc>
          <w:tcPr>
            <w:tcW w:w="1007" w:type="dxa"/>
            <w:tcBorders>
              <w:top w:val="nil"/>
              <w:left w:val="nil"/>
              <w:bottom w:val="single" w:sz="4" w:space="0" w:color="9CA3AF"/>
              <w:right w:val="single" w:sz="4" w:space="0" w:color="9CA3AF"/>
            </w:tcBorders>
            <w:shd w:val="clear" w:color="F1F5F9" w:fill="ECFDF5"/>
            <w:hideMark/>
          </w:tcPr>
          <w:p w14:paraId="2BE51291" w14:textId="56550B89"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bashkëpunimit me institucionet publike, OJF-të, ofruesit e shërbimeve të internetit, kompanitë telefonike dhe organizatat globale për të </w:t>
            </w:r>
            <w:r w:rsidRPr="002128A6">
              <w:rPr>
                <w:rFonts w:ascii="Garamond" w:eastAsia="Times New Roman" w:hAnsi="Garamond" w:cs="Times New Roman"/>
                <w:kern w:val="0"/>
                <w:sz w:val="8"/>
                <w:szCs w:val="8"/>
                <w14:ligatures w14:val="none"/>
              </w:rPr>
              <w:lastRenderedPageBreak/>
              <w:t>siguruar akses në kohë</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dhe informacion në kohë reale, aty ku është</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përshtatshme, si dhe për të parandaluar aktivitetet kriminale në hapësirën kibernetike, përfshirë përmes koordinimit operacional, procedurave të thjeshtuara të ruajtjes dhe dhënies së informacionit, si dhe ndërgjegjësimit dhe masave parandaluese të përbashkëta.</w:t>
            </w:r>
          </w:p>
        </w:tc>
        <w:tc>
          <w:tcPr>
            <w:tcW w:w="524" w:type="dxa"/>
            <w:tcBorders>
              <w:top w:val="nil"/>
              <w:left w:val="nil"/>
              <w:bottom w:val="single" w:sz="4" w:space="0" w:color="9CA3AF"/>
              <w:right w:val="single" w:sz="4" w:space="0" w:color="9CA3AF"/>
            </w:tcBorders>
            <w:shd w:val="clear" w:color="auto" w:fill="auto"/>
            <w:hideMark/>
          </w:tcPr>
          <w:p w14:paraId="0E061E1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2.4.10</w:t>
            </w:r>
          </w:p>
        </w:tc>
        <w:tc>
          <w:tcPr>
            <w:tcW w:w="1307" w:type="dxa"/>
            <w:tcBorders>
              <w:top w:val="nil"/>
              <w:left w:val="nil"/>
              <w:bottom w:val="single" w:sz="4" w:space="0" w:color="9CA3AF"/>
              <w:right w:val="single" w:sz="4" w:space="0" w:color="9CA3AF"/>
            </w:tcBorders>
            <w:shd w:val="clear" w:color="auto" w:fill="auto"/>
            <w:hideMark/>
          </w:tcPr>
          <w:p w14:paraId="1BBC4067" w14:textId="7DC8470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Thjeshtimi i procedurave për ruajtjen e të dhënave, zbulimin e ligjshëm të informacionit dhe koordinimin operacional me ofruesit e shërbimeve të internetit, operatorët e telekomunikimit dhe </w:t>
            </w:r>
            <w:r w:rsidRPr="002128A6">
              <w:rPr>
                <w:rFonts w:ascii="Garamond" w:eastAsia="Times New Roman" w:hAnsi="Garamond" w:cs="Times New Roman"/>
                <w:kern w:val="0"/>
                <w:sz w:val="8"/>
                <w:szCs w:val="8"/>
                <w14:ligatures w14:val="none"/>
              </w:rPr>
              <w:lastRenderedPageBreak/>
              <w:t xml:space="preserve">platformat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për të mbështetur hetimet e krimit kibernetik.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Realizimi i nismave të përbashkëta të ndërgjegjësimit dhe parandalimit me OJF-të, institucionet publike dhe partnerët e sektorit privat, me qëllim reduktimin e rreziqeve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dhe përmirësimin e raportimit të hershëm.</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FFF7B2C"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272512F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5455484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66C193C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B4EC23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77D5CB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F59F2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A9E1745"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B4904F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B4F608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6F36DFE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kombëtare në parandalimin, zbulimin dhe ndjekjen penale të krimit kibernetik, 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273877F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2.4.11</w:t>
            </w:r>
          </w:p>
        </w:tc>
        <w:tc>
          <w:tcPr>
            <w:tcW w:w="1007" w:type="dxa"/>
            <w:tcBorders>
              <w:top w:val="nil"/>
              <w:left w:val="nil"/>
              <w:bottom w:val="single" w:sz="4" w:space="0" w:color="9CA3AF"/>
              <w:right w:val="single" w:sz="4" w:space="0" w:color="9CA3AF"/>
            </w:tcBorders>
            <w:shd w:val="clear" w:color="F1F5F9" w:fill="ECFDF5"/>
            <w:hideMark/>
          </w:tcPr>
          <w:p w14:paraId="3C5FDB15" w14:textId="1BB3D7C6"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Pjesëmarrja në projektet e BE-së dhe të tjera ndërkombëtare që mbështesin raportimin dhe mbrojtjen e të miturve dhe qytetarëve nga abuzimi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duke shfrytëzuar nismat ekzistuese dhe duke ndjekur pjesëmarrjen në platformat e reja të raportimit si "Help4U", përmes organizimit të takimeve, pjesëmarrjes aktive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në aktivitetet e projektit, dhe ndjekjes së procedurave të aplikimit. </w:t>
            </w:r>
          </w:p>
        </w:tc>
        <w:tc>
          <w:tcPr>
            <w:tcW w:w="524" w:type="dxa"/>
            <w:tcBorders>
              <w:top w:val="nil"/>
              <w:left w:val="nil"/>
              <w:bottom w:val="single" w:sz="4" w:space="0" w:color="9CA3AF"/>
              <w:right w:val="single" w:sz="4" w:space="0" w:color="9CA3AF"/>
            </w:tcBorders>
            <w:shd w:val="clear" w:color="auto" w:fill="auto"/>
            <w:hideMark/>
          </w:tcPr>
          <w:p w14:paraId="44649AF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2.4.11</w:t>
            </w:r>
          </w:p>
        </w:tc>
        <w:tc>
          <w:tcPr>
            <w:tcW w:w="1307" w:type="dxa"/>
            <w:tcBorders>
              <w:top w:val="nil"/>
              <w:left w:val="nil"/>
              <w:bottom w:val="single" w:sz="4" w:space="0" w:color="9CA3AF"/>
              <w:right w:val="single" w:sz="4" w:space="0" w:color="9CA3AF"/>
            </w:tcBorders>
            <w:shd w:val="clear" w:color="auto" w:fill="auto"/>
            <w:hideMark/>
          </w:tcPr>
          <w:p w14:paraId="629A6DAB" w14:textId="375AE1F9"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Angazhimi aktiv në nismat e BE-së dhe ato ndërkombëtare, si "Help4U" dhe platformat e ngjashme, duke marrë pjesë në takimet e projektit, aktivitetet pilote dhe proceset e aplikimit.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Integrimi i produkteve të projektit në mekanizmat kombëtarë të raportimit dhe mbrojtjes, për të rritur sigurinë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të të miturve dhe të grupeve të cenueshme.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96E14D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6F2215C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09AB654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0F599FA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C4D8B7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5ED873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468269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BA05D1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DEFA1C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D1E6F3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w:t>
            </w:r>
          </w:p>
        </w:tc>
        <w:tc>
          <w:tcPr>
            <w:tcW w:w="867" w:type="dxa"/>
            <w:tcBorders>
              <w:top w:val="nil"/>
              <w:left w:val="nil"/>
              <w:bottom w:val="single" w:sz="4" w:space="0" w:color="9CA3AF"/>
              <w:right w:val="single" w:sz="4" w:space="0" w:color="9CA3AF"/>
            </w:tcBorders>
            <w:shd w:val="clear" w:color="F1F5F9" w:fill="ECFDF5"/>
            <w:hideMark/>
          </w:tcPr>
          <w:p w14:paraId="139C761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kapaciteteve kombëtare në parandalimin, zbulimin dhe ndjekjen penale të krimit kibernetik, përmes teknologjisë së përparuar, aftësive të specializuara dhe bashkëpunimit ndërkombëtar.</w:t>
            </w:r>
          </w:p>
        </w:tc>
        <w:tc>
          <w:tcPr>
            <w:tcW w:w="517" w:type="dxa"/>
            <w:tcBorders>
              <w:top w:val="nil"/>
              <w:left w:val="nil"/>
              <w:bottom w:val="single" w:sz="4" w:space="0" w:color="9CA3AF"/>
              <w:right w:val="single" w:sz="4" w:space="0" w:color="9CA3AF"/>
            </w:tcBorders>
            <w:shd w:val="clear" w:color="F1F5F9" w:fill="ECFDF5"/>
            <w:hideMark/>
          </w:tcPr>
          <w:p w14:paraId="746BB26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2.4.12</w:t>
            </w:r>
          </w:p>
        </w:tc>
        <w:tc>
          <w:tcPr>
            <w:tcW w:w="1007" w:type="dxa"/>
            <w:tcBorders>
              <w:top w:val="nil"/>
              <w:left w:val="nil"/>
              <w:bottom w:val="single" w:sz="4" w:space="0" w:color="9CA3AF"/>
              <w:right w:val="single" w:sz="4" w:space="0" w:color="9CA3AF"/>
            </w:tcBorders>
            <w:shd w:val="clear" w:color="F1F5F9" w:fill="ECFDF5"/>
            <w:hideMark/>
          </w:tcPr>
          <w:p w14:paraId="62A866B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Propozimi i ndryshimeve nënligjore për të siguruar mbështetje të qëndrueshme financiare për kapacitetet hetimore të krimit kibernetik, me qëllim garantimin e vazhdimësisë së strukturave të specializuara, mirëmbajtjes dhe modernizimit të mjeteve teknologjike, dhe qëndrueshmërisë afatgjatë të kapaciteteve të krimit kibernetik brenda strukturave të Policisë së Shtetit.</w:t>
            </w:r>
          </w:p>
        </w:tc>
        <w:tc>
          <w:tcPr>
            <w:tcW w:w="524" w:type="dxa"/>
            <w:tcBorders>
              <w:top w:val="nil"/>
              <w:left w:val="nil"/>
              <w:bottom w:val="single" w:sz="4" w:space="0" w:color="9CA3AF"/>
              <w:right w:val="single" w:sz="4" w:space="0" w:color="9CA3AF"/>
            </w:tcBorders>
            <w:shd w:val="clear" w:color="auto" w:fill="auto"/>
            <w:hideMark/>
          </w:tcPr>
          <w:p w14:paraId="7179955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2.4.12</w:t>
            </w:r>
          </w:p>
        </w:tc>
        <w:tc>
          <w:tcPr>
            <w:tcW w:w="1307" w:type="dxa"/>
            <w:tcBorders>
              <w:top w:val="nil"/>
              <w:left w:val="nil"/>
              <w:bottom w:val="single" w:sz="4" w:space="0" w:color="9CA3AF"/>
              <w:right w:val="single" w:sz="4" w:space="0" w:color="9CA3AF"/>
            </w:tcBorders>
            <w:shd w:val="clear" w:color="auto" w:fill="auto"/>
            <w:hideMark/>
          </w:tcPr>
          <w:p w14:paraId="6063AF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Realizimi i vlerësimit institucional të nevojave afatgjata financiare për njësitë hetimore të krimit kibernetik, përfshirë personelin, mjetet dhe mirëmbajtjen.</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Hartimi dhe propozimi i ndryshimeve nënligjore për të siguruar financim të qëndrueshëm për strukturat e specializuara të krimit kibernetik dhe modernizime të vazhdueshme teknologjike.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B45548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9CA3AF"/>
              <w:bottom w:val="single" w:sz="4" w:space="0" w:color="9CA3AF"/>
              <w:right w:val="single" w:sz="4" w:space="0" w:color="9CA3AF"/>
            </w:tcBorders>
            <w:shd w:val="clear" w:color="auto" w:fill="auto"/>
            <w:hideMark/>
          </w:tcPr>
          <w:p w14:paraId="5DC7A0F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4E7633D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27B077D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7F2ECD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D74DD9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766539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9685050"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5220AB93"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2.4</w:t>
            </w:r>
          </w:p>
        </w:tc>
        <w:tc>
          <w:tcPr>
            <w:tcW w:w="649" w:type="dxa"/>
            <w:tcBorders>
              <w:top w:val="nil"/>
              <w:left w:val="nil"/>
              <w:bottom w:val="nil"/>
              <w:right w:val="nil"/>
            </w:tcBorders>
            <w:shd w:val="clear" w:color="FDEADA" w:fill="FEF3C7"/>
            <w:noWrap/>
            <w:vAlign w:val="bottom"/>
            <w:hideMark/>
          </w:tcPr>
          <w:p w14:paraId="4A630D6E"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5507056F"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35948442"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01DDD081"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 xml:space="preserve"> OS 2.5 — Shërbime kriminalistike të akredituara dhe të cilësisë së lartë, të cilat garantojnë integritetin, besueshmërinë dhe pranueshmërinë e provave .</w:t>
            </w:r>
          </w:p>
        </w:tc>
      </w:tr>
      <w:tr w:rsidR="00F54824" w:rsidRPr="002128A6" w14:paraId="06EE2EFE"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1DA2B5F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062AA07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single" w:sz="4" w:space="0" w:color="9CA3AF"/>
              <w:left w:val="nil"/>
              <w:bottom w:val="single" w:sz="4" w:space="0" w:color="9CA3AF"/>
              <w:right w:val="single" w:sz="4" w:space="0" w:color="9CA3AF"/>
            </w:tcBorders>
            <w:shd w:val="clear" w:color="F1F5F9" w:fill="ECFDF5"/>
            <w:hideMark/>
          </w:tcPr>
          <w:p w14:paraId="2C5BAF4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single" w:sz="4" w:space="0" w:color="9CA3AF"/>
              <w:left w:val="nil"/>
              <w:bottom w:val="single" w:sz="4" w:space="0" w:color="9CA3AF"/>
              <w:right w:val="single" w:sz="4" w:space="0" w:color="9CA3AF"/>
            </w:tcBorders>
            <w:shd w:val="clear" w:color="F1F5F9" w:fill="ECFDF5"/>
            <w:hideMark/>
          </w:tcPr>
          <w:p w14:paraId="545F344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636504D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Miratimi i projektvendimit “Për organizimin dhe funksionimin e Institutit të Policisë Shkencore” dhe hartimi i një plani veprimi bazuar në vendimin e miratuar, ku përcaktohen përgjegjësitë, afatet kohore, burimet dhe modalitetet e monitorimit për të siguruar zbatim efektiv të reformës.</w:t>
            </w:r>
          </w:p>
        </w:tc>
        <w:tc>
          <w:tcPr>
            <w:tcW w:w="524" w:type="dxa"/>
            <w:tcBorders>
              <w:top w:val="single" w:sz="4" w:space="0" w:color="9CA3AF"/>
              <w:left w:val="nil"/>
              <w:bottom w:val="single" w:sz="4" w:space="0" w:color="9CA3AF"/>
              <w:right w:val="single" w:sz="4" w:space="0" w:color="9CA3AF"/>
            </w:tcBorders>
            <w:shd w:val="clear" w:color="auto" w:fill="auto"/>
            <w:hideMark/>
          </w:tcPr>
          <w:p w14:paraId="3578B5A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w:t>
            </w:r>
          </w:p>
        </w:tc>
        <w:tc>
          <w:tcPr>
            <w:tcW w:w="1307" w:type="dxa"/>
            <w:tcBorders>
              <w:top w:val="single" w:sz="4" w:space="0" w:color="9CA3AF"/>
              <w:left w:val="nil"/>
              <w:bottom w:val="single" w:sz="4" w:space="0" w:color="9CA3AF"/>
              <w:right w:val="single" w:sz="4" w:space="0" w:color="9CA3AF"/>
            </w:tcBorders>
            <w:shd w:val="clear" w:color="auto" w:fill="auto"/>
            <w:hideMark/>
          </w:tcPr>
          <w:p w14:paraId="72DCBA6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Finalizimi dhe miratimi i projektvendimit për organizimin dhe funksionimin e IPSH-së, duke siguruar harmonizim me kërkesat ISO 17025 dhe modelet ndërkombëtare të qeverisjes kriminalistike.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Hartimi i një plan veprimi të detajuar për zbatim, që përcakton përgjegjësitë, afatet kohore, nevojat për burime dhe modalitetet e monitorimit për të udhëhequr procesin e reformës.</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8D8B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single" w:sz="4" w:space="0" w:color="auto"/>
              <w:left w:val="nil"/>
              <w:bottom w:val="single" w:sz="4" w:space="0" w:color="auto"/>
              <w:right w:val="single" w:sz="4" w:space="0" w:color="auto"/>
            </w:tcBorders>
            <w:shd w:val="clear" w:color="000000" w:fill="FFFFFF"/>
            <w:vAlign w:val="center"/>
            <w:hideMark/>
          </w:tcPr>
          <w:p w14:paraId="37CFAF4A"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Punëve të Brendshme/Policia e Shtetit/Instituti i Policisë Shkencore; FFA; </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14:paraId="3584818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single" w:sz="4" w:space="0" w:color="9CA3AF"/>
              <w:left w:val="single" w:sz="4" w:space="0" w:color="9CA3AF"/>
              <w:bottom w:val="single" w:sz="4" w:space="0" w:color="9CA3AF"/>
              <w:right w:val="single" w:sz="4" w:space="0" w:color="9CA3AF"/>
            </w:tcBorders>
            <w:shd w:val="clear" w:color="auto" w:fill="auto"/>
            <w:hideMark/>
          </w:tcPr>
          <w:p w14:paraId="376AC5A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162C8F4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single" w:sz="4" w:space="0" w:color="9CA3AF"/>
              <w:left w:val="nil"/>
              <w:bottom w:val="single" w:sz="4" w:space="0" w:color="9CA3AF"/>
              <w:right w:val="single" w:sz="4" w:space="0" w:color="9CA3AF"/>
            </w:tcBorders>
            <w:shd w:val="clear" w:color="auto" w:fill="auto"/>
            <w:hideMark/>
          </w:tcPr>
          <w:p w14:paraId="4682405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0DEAE2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FA58CC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A8D70D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F2E7BD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5550ABB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12D834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2.5.2</w:t>
            </w:r>
          </w:p>
        </w:tc>
        <w:tc>
          <w:tcPr>
            <w:tcW w:w="1007" w:type="dxa"/>
            <w:tcBorders>
              <w:top w:val="nil"/>
              <w:left w:val="nil"/>
              <w:bottom w:val="single" w:sz="4" w:space="0" w:color="9CA3AF"/>
              <w:right w:val="single" w:sz="4" w:space="0" w:color="9CA3AF"/>
            </w:tcBorders>
            <w:shd w:val="clear" w:color="F1F5F9" w:fill="ECFDF5"/>
            <w:hideMark/>
          </w:tcPr>
          <w:p w14:paraId="0B53416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Miratimi një plani të detajuar për sistemimin e strukturës së Policisë Shkencore në ambientet e reja, përfshirë planifikimin e hapësirës, zonimin funksional të laboratorëve dhe zonave të provave, kërkesat e sigurisë, masat e sigurisë në punë, afatet kohore të zhvendosjes në faza dhe modalitetet e vazhdimësisë së punës, për të shmangur ndërprerjen e shërbimeve kriminalistike.</w:t>
            </w:r>
          </w:p>
        </w:tc>
        <w:tc>
          <w:tcPr>
            <w:tcW w:w="524" w:type="dxa"/>
            <w:tcBorders>
              <w:top w:val="nil"/>
              <w:left w:val="nil"/>
              <w:bottom w:val="single" w:sz="4" w:space="0" w:color="9CA3AF"/>
              <w:right w:val="single" w:sz="4" w:space="0" w:color="9CA3AF"/>
            </w:tcBorders>
            <w:shd w:val="clear" w:color="auto" w:fill="auto"/>
            <w:hideMark/>
          </w:tcPr>
          <w:p w14:paraId="1401E2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2.5.2</w:t>
            </w:r>
          </w:p>
        </w:tc>
        <w:tc>
          <w:tcPr>
            <w:tcW w:w="1307" w:type="dxa"/>
            <w:tcBorders>
              <w:top w:val="nil"/>
              <w:left w:val="nil"/>
              <w:bottom w:val="single" w:sz="4" w:space="0" w:color="9CA3AF"/>
              <w:right w:val="single" w:sz="4" w:space="0" w:color="9CA3AF"/>
            </w:tcBorders>
            <w:shd w:val="clear" w:color="auto" w:fill="auto"/>
            <w:hideMark/>
          </w:tcPr>
          <w:p w14:paraId="274B70F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Përgatitja e planit të sistemimit gjithëpërfshirës që detajon zonën e laboratorit, zonat e trajtimit të provave, sistemet e sigurisë dhe kërkesat e sigurisë në punë për ambientet e reja të IPSh-së.</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një kalendari për zhvendosjen me faza, duke siguruar vazhdimësinë e shërbimeve kriminalistike, përfshirë rregullimet e kontingjencës për të shmangur ndërprerjen e shërbimit.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43A4B3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I8AU307</w:t>
            </w:r>
          </w:p>
        </w:tc>
        <w:tc>
          <w:tcPr>
            <w:tcW w:w="914" w:type="dxa"/>
            <w:tcBorders>
              <w:top w:val="nil"/>
              <w:left w:val="nil"/>
              <w:bottom w:val="single" w:sz="4" w:space="0" w:color="auto"/>
              <w:right w:val="single" w:sz="4" w:space="0" w:color="auto"/>
            </w:tcBorders>
            <w:shd w:val="clear" w:color="000000" w:fill="FFFFFF"/>
            <w:vAlign w:val="center"/>
            <w:hideMark/>
          </w:tcPr>
          <w:p w14:paraId="1B644464"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auto"/>
              <w:right w:val="single" w:sz="4" w:space="0" w:color="auto"/>
            </w:tcBorders>
            <w:shd w:val="clear" w:color="000000" w:fill="FFFFFF"/>
            <w:vAlign w:val="center"/>
            <w:hideMark/>
          </w:tcPr>
          <w:p w14:paraId="70A067C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54BA00A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EB7EBE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0E1993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9C0AC7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098409E"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D167A9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269096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529BAB5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3909BF9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2.5.3</w:t>
            </w:r>
          </w:p>
        </w:tc>
        <w:tc>
          <w:tcPr>
            <w:tcW w:w="1007" w:type="dxa"/>
            <w:tcBorders>
              <w:top w:val="nil"/>
              <w:left w:val="nil"/>
              <w:bottom w:val="single" w:sz="4" w:space="0" w:color="9CA3AF"/>
              <w:right w:val="single" w:sz="4" w:space="0" w:color="9CA3AF"/>
            </w:tcBorders>
            <w:shd w:val="clear" w:color="F1F5F9" w:fill="ECFDF5"/>
            <w:hideMark/>
          </w:tcPr>
          <w:p w14:paraId="4606DAA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i standardeve minimale të cilësisë për hetimet në vendin e ngjarjes dhe për administrimin e provave nga vendi i ngjarjes deri në sallën e gjyqit, përfshirë procedurat standarde operacionale për sigurimin, dokumentimin, mbledhjen, paketimin, transportimin, ruajtjen, ekzaminimin dhe paraqitjen e provave, me qëllim garantimin e integritetit, gjurmueshmërisë dhe pranueshmërisë së provave.</w:t>
            </w:r>
          </w:p>
        </w:tc>
        <w:tc>
          <w:tcPr>
            <w:tcW w:w="524" w:type="dxa"/>
            <w:tcBorders>
              <w:top w:val="nil"/>
              <w:left w:val="nil"/>
              <w:bottom w:val="single" w:sz="4" w:space="0" w:color="9CA3AF"/>
              <w:right w:val="single" w:sz="4" w:space="0" w:color="9CA3AF"/>
            </w:tcBorders>
            <w:shd w:val="clear" w:color="auto" w:fill="auto"/>
            <w:hideMark/>
          </w:tcPr>
          <w:p w14:paraId="0FFFA66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2.5.3</w:t>
            </w:r>
          </w:p>
        </w:tc>
        <w:tc>
          <w:tcPr>
            <w:tcW w:w="1307" w:type="dxa"/>
            <w:tcBorders>
              <w:top w:val="nil"/>
              <w:left w:val="nil"/>
              <w:bottom w:val="single" w:sz="4" w:space="0" w:color="9CA3AF"/>
              <w:right w:val="single" w:sz="4" w:space="0" w:color="9CA3AF"/>
            </w:tcBorders>
            <w:shd w:val="clear" w:color="auto" w:fill="auto"/>
            <w:hideMark/>
          </w:tcPr>
          <w:p w14:paraId="5DA0179C" w14:textId="49C56E76"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dhe zbatimi i procedurave standarde operacionale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për sigurimin, dokumentimin, mbledhjen, paketimin, transportimin, ruajtjen dhe paraqitjen e provave nga vendngjarja deri në sallën e gjyqit.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Kryeja e auditimeve periodike dhe vlerësime praktike për të siguruar zbatim konsistent të procedurave standarde operacionale dhe gjurmueshmëri të plotë të provave gjatë gjithë zinxhirit të ruajtjes.</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1B6931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M160510</w:t>
            </w:r>
          </w:p>
        </w:tc>
        <w:tc>
          <w:tcPr>
            <w:tcW w:w="914" w:type="dxa"/>
            <w:tcBorders>
              <w:top w:val="nil"/>
              <w:left w:val="nil"/>
              <w:bottom w:val="single" w:sz="4" w:space="0" w:color="auto"/>
              <w:right w:val="single" w:sz="4" w:space="0" w:color="auto"/>
            </w:tcBorders>
            <w:shd w:val="clear" w:color="000000" w:fill="FFFFFF"/>
            <w:vAlign w:val="center"/>
            <w:hideMark/>
          </w:tcPr>
          <w:p w14:paraId="3436986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2D816B3B"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58FB78A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25127D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E72364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E990D1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D84B7EE"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BF39A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B728E6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44CED65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4E02CE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2.5.4</w:t>
            </w:r>
          </w:p>
        </w:tc>
        <w:tc>
          <w:tcPr>
            <w:tcW w:w="1007" w:type="dxa"/>
            <w:tcBorders>
              <w:top w:val="nil"/>
              <w:left w:val="nil"/>
              <w:bottom w:val="single" w:sz="4" w:space="0" w:color="9CA3AF"/>
              <w:right w:val="single" w:sz="4" w:space="0" w:color="9CA3AF"/>
            </w:tcBorders>
            <w:shd w:val="clear" w:color="F1F5F9" w:fill="ECFDF5"/>
            <w:hideMark/>
          </w:tcPr>
          <w:p w14:paraId="5CAABD1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Krijimi dhe sigurimi i funksionimit të bazave të të dhënave për administrimit të të dhënave të ADN-së dhe daktiloskopike, në përputhje me Ligjin nr. 124/2024 “Për mbrojtjen e të dhënave personale”, përfshirë duke përcaktuar qëllimet e ligjshme të përpunimit, kontrollet e aksesit, rregullat e ruajtjes, gjurmët e auditimit dhe garancitë e sigurisë së të dhënave për të mbrojtur të dhënat personale, ndërsa mundësohet krahasimi efektiv kriminalistik.</w:t>
            </w:r>
          </w:p>
        </w:tc>
        <w:tc>
          <w:tcPr>
            <w:tcW w:w="524" w:type="dxa"/>
            <w:tcBorders>
              <w:top w:val="nil"/>
              <w:left w:val="nil"/>
              <w:bottom w:val="single" w:sz="4" w:space="0" w:color="9CA3AF"/>
              <w:right w:val="single" w:sz="4" w:space="0" w:color="9CA3AF"/>
            </w:tcBorders>
            <w:shd w:val="clear" w:color="auto" w:fill="auto"/>
            <w:hideMark/>
          </w:tcPr>
          <w:p w14:paraId="1D25649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2.5.4</w:t>
            </w:r>
          </w:p>
        </w:tc>
        <w:tc>
          <w:tcPr>
            <w:tcW w:w="1307" w:type="dxa"/>
            <w:tcBorders>
              <w:top w:val="nil"/>
              <w:left w:val="nil"/>
              <w:bottom w:val="single" w:sz="4" w:space="0" w:color="9CA3AF"/>
              <w:right w:val="single" w:sz="4" w:space="0" w:color="9CA3AF"/>
            </w:tcBorders>
            <w:shd w:val="clear" w:color="auto" w:fill="auto"/>
            <w:hideMark/>
          </w:tcPr>
          <w:p w14:paraId="3E91B08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Instalimi dhe vënia në punë e bazës së të dhënave të ADN-së dhe gjurmëve të gishtave, me qëllime të qarta përpunimi, kontrolle aksesi, rregulla ruajtjeje dhe gjurmë auditimi, në përputhje me Ligjin nr. 124/2024 për mbrojtjen e të dhënave personale.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garancive të sigurisë së të dhënave dhe kontrolleve periodike të cilësisë, për të siguruar saktësinë, integritetin dhe përdorimin e ligjshëm të të dhënave kriminalistike.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762E0E8B" w14:textId="00252252"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Pa Kod n</w:t>
            </w:r>
            <w:r w:rsidR="00B77BA6" w:rsidRPr="002128A6">
              <w:rPr>
                <w:rFonts w:ascii="Garamond" w:eastAsia="Times New Roman" w:hAnsi="Garamond" w:cs="Times New Roman"/>
                <w:kern w:val="0"/>
                <w:sz w:val="8"/>
                <w:szCs w:val="8"/>
                <w14:ligatures w14:val="none"/>
              </w:rPr>
              <w:t>ë</w:t>
            </w:r>
            <w:r w:rsidRPr="002128A6">
              <w:rPr>
                <w:rFonts w:ascii="Garamond" w:eastAsia="Times New Roman" w:hAnsi="Garamond" w:cs="Times New Roman"/>
                <w:kern w:val="0"/>
                <w:sz w:val="8"/>
                <w:szCs w:val="8"/>
                <w14:ligatures w14:val="none"/>
              </w:rPr>
              <w:t xml:space="preserve"> PBA</w:t>
            </w:r>
          </w:p>
        </w:tc>
        <w:tc>
          <w:tcPr>
            <w:tcW w:w="914" w:type="dxa"/>
            <w:tcBorders>
              <w:top w:val="nil"/>
              <w:left w:val="nil"/>
              <w:bottom w:val="single" w:sz="4" w:space="0" w:color="auto"/>
              <w:right w:val="single" w:sz="4" w:space="0" w:color="auto"/>
            </w:tcBorders>
            <w:shd w:val="clear" w:color="000000" w:fill="FFFFFF"/>
            <w:vAlign w:val="center"/>
            <w:hideMark/>
          </w:tcPr>
          <w:p w14:paraId="5FF0F31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39AA984A"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60A12E0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27029B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3FC795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7C8CD9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121B910"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79112A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3849D5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519570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6D1C9E4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2.5.5</w:t>
            </w:r>
          </w:p>
        </w:tc>
        <w:tc>
          <w:tcPr>
            <w:tcW w:w="1007" w:type="dxa"/>
            <w:tcBorders>
              <w:top w:val="nil"/>
              <w:left w:val="nil"/>
              <w:bottom w:val="single" w:sz="4" w:space="0" w:color="9CA3AF"/>
              <w:right w:val="single" w:sz="4" w:space="0" w:color="9CA3AF"/>
            </w:tcBorders>
            <w:shd w:val="clear" w:color="F1F5F9" w:fill="ECFDF5"/>
            <w:hideMark/>
          </w:tcPr>
          <w:p w14:paraId="7DF214F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Rishikimi dhe përditësimi i programit fillestar dhe të vazhdueshëm të trajnimit për oficerët e Policisë Shkencore dhe personelin civil të Institutit të Policisë Shkencore, përfshirë vlerësimet e nevojave, përditësimin e kurrikulës, kërkesat e certifikimit/kompetencës dhe modulet praktike të harmonizuara me standardet ISO dhe metodat e reja kriminalistike.</w:t>
            </w:r>
          </w:p>
        </w:tc>
        <w:tc>
          <w:tcPr>
            <w:tcW w:w="524" w:type="dxa"/>
            <w:tcBorders>
              <w:top w:val="nil"/>
              <w:left w:val="nil"/>
              <w:bottom w:val="single" w:sz="4" w:space="0" w:color="9CA3AF"/>
              <w:right w:val="single" w:sz="4" w:space="0" w:color="9CA3AF"/>
            </w:tcBorders>
            <w:shd w:val="clear" w:color="auto" w:fill="auto"/>
            <w:hideMark/>
          </w:tcPr>
          <w:p w14:paraId="4B1B20A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2.5.5</w:t>
            </w:r>
          </w:p>
        </w:tc>
        <w:tc>
          <w:tcPr>
            <w:tcW w:w="1307" w:type="dxa"/>
            <w:tcBorders>
              <w:top w:val="nil"/>
              <w:left w:val="nil"/>
              <w:bottom w:val="single" w:sz="4" w:space="0" w:color="9CA3AF"/>
              <w:right w:val="single" w:sz="4" w:space="0" w:color="9CA3AF"/>
            </w:tcBorders>
            <w:shd w:val="clear" w:color="auto" w:fill="auto"/>
            <w:hideMark/>
          </w:tcPr>
          <w:p w14:paraId="6AC1315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vlerësimeve të nevojave për trajnim dhe përditësimi i kurrikulave, me qëllim që të reflektohen standardet ISO, metodat e reja kriminalistike dhe teknologjitë e reja.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moduleve të trajnimit bazuar në certifikim dhe kompetencë, përfshirë ushtrime praktike laboratorike dhe vlerësime të bazuara në skenarë.</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08E9BB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nil"/>
              <w:bottom w:val="single" w:sz="4" w:space="0" w:color="auto"/>
              <w:right w:val="single" w:sz="4" w:space="0" w:color="auto"/>
            </w:tcBorders>
            <w:shd w:val="clear" w:color="000000" w:fill="FFFFFF"/>
            <w:vAlign w:val="center"/>
            <w:hideMark/>
          </w:tcPr>
          <w:p w14:paraId="49F79AE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Shkencore/Akademia e Sigurisë</w:t>
            </w:r>
          </w:p>
        </w:tc>
        <w:tc>
          <w:tcPr>
            <w:tcW w:w="966" w:type="dxa"/>
            <w:tcBorders>
              <w:top w:val="nil"/>
              <w:left w:val="nil"/>
              <w:bottom w:val="single" w:sz="4" w:space="0" w:color="auto"/>
              <w:right w:val="single" w:sz="4" w:space="0" w:color="auto"/>
            </w:tcBorders>
            <w:shd w:val="clear" w:color="000000" w:fill="FFFFFF"/>
            <w:vAlign w:val="center"/>
            <w:hideMark/>
          </w:tcPr>
          <w:p w14:paraId="3AFEACAB" w14:textId="2BF82B23"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Instituti i Mjekësisë Ligjore;</w:t>
            </w:r>
            <w:r w:rsidR="00427C8E"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5732F5A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907308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3DEA17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EE4F89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52421C0"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5C5462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QP II</w:t>
            </w:r>
          </w:p>
        </w:tc>
        <w:tc>
          <w:tcPr>
            <w:tcW w:w="330" w:type="dxa"/>
            <w:tcBorders>
              <w:top w:val="nil"/>
              <w:left w:val="nil"/>
              <w:bottom w:val="single" w:sz="4" w:space="0" w:color="9CA3AF"/>
              <w:right w:val="single" w:sz="4" w:space="0" w:color="9CA3AF"/>
            </w:tcBorders>
            <w:shd w:val="clear" w:color="F1F5F9" w:fill="ECFDF5"/>
            <w:hideMark/>
          </w:tcPr>
          <w:p w14:paraId="7C1FEC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6FC69C6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316A7B2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2.5.6</w:t>
            </w:r>
          </w:p>
        </w:tc>
        <w:tc>
          <w:tcPr>
            <w:tcW w:w="1007" w:type="dxa"/>
            <w:tcBorders>
              <w:top w:val="nil"/>
              <w:left w:val="nil"/>
              <w:bottom w:val="single" w:sz="4" w:space="0" w:color="9CA3AF"/>
              <w:right w:val="single" w:sz="4" w:space="0" w:color="9CA3AF"/>
            </w:tcBorders>
            <w:shd w:val="clear" w:color="F1F5F9" w:fill="ECFDF5"/>
            <w:hideMark/>
          </w:tcPr>
          <w:p w14:paraId="5D02498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Mundësimi i shkëmbimit me partnerët të të dhënave të automatizuara në fushën e të dhënave të ADN-së dhe daktiloskopike, në bazë të dispozitave të Marrëveshjes PCC Prum, duke siguruar ndërveprueshmëri teknike, kanale të sigurta komunikimi, procedura të standardizuara të kërkimit dhe ndjekjes, si dhe pasjtueshmërinë me kërkesat e mbrojtjes së të dhënave.</w:t>
            </w:r>
          </w:p>
        </w:tc>
        <w:tc>
          <w:tcPr>
            <w:tcW w:w="524" w:type="dxa"/>
            <w:tcBorders>
              <w:top w:val="nil"/>
              <w:left w:val="nil"/>
              <w:bottom w:val="single" w:sz="4" w:space="0" w:color="9CA3AF"/>
              <w:right w:val="single" w:sz="4" w:space="0" w:color="9CA3AF"/>
            </w:tcBorders>
            <w:shd w:val="clear" w:color="auto" w:fill="auto"/>
            <w:hideMark/>
          </w:tcPr>
          <w:p w14:paraId="3BCB7DC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2.5.6</w:t>
            </w:r>
          </w:p>
        </w:tc>
        <w:tc>
          <w:tcPr>
            <w:tcW w:w="1307" w:type="dxa"/>
            <w:tcBorders>
              <w:top w:val="nil"/>
              <w:left w:val="nil"/>
              <w:bottom w:val="single" w:sz="4" w:space="0" w:color="9CA3AF"/>
              <w:right w:val="single" w:sz="4" w:space="0" w:color="9CA3AF"/>
            </w:tcBorders>
            <w:shd w:val="clear" w:color="auto" w:fill="auto"/>
            <w:hideMark/>
          </w:tcPr>
          <w:p w14:paraId="08A5554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Sigurimi i ndërveprueshmërisë teknike dhe kanaleve të sigurta të komunikimit për shkëmbimin e automatizuar të të dhënave të ADN-së dhe gjurmëve të gishtave me shtetet partnere, sipas Marrëveshjes PCC Prüm.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Hartimi i procedurave të standardizuara për kërkimin, protokollet e ndjekjes dhe përputhshmërinë me garancitë e mbrojtjes së të dhënave, me qëllim që të sigurohet bashkëpunim kriminalistik ndërkufitar i ligjshëm dhe efikas.</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49C51C52"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91604AS</w:t>
            </w:r>
          </w:p>
        </w:tc>
        <w:tc>
          <w:tcPr>
            <w:tcW w:w="914" w:type="dxa"/>
            <w:tcBorders>
              <w:top w:val="nil"/>
              <w:left w:val="nil"/>
              <w:bottom w:val="single" w:sz="4" w:space="0" w:color="auto"/>
              <w:right w:val="single" w:sz="4" w:space="0" w:color="auto"/>
            </w:tcBorders>
            <w:shd w:val="clear" w:color="000000" w:fill="FFFFFF"/>
            <w:vAlign w:val="center"/>
            <w:hideMark/>
          </w:tcPr>
          <w:p w14:paraId="29DC50FA"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041B62D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29AB615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EC1356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52A3CC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06A9D6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D00312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62F8D3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949E48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72D16A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6702873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2.5.7</w:t>
            </w:r>
          </w:p>
        </w:tc>
        <w:tc>
          <w:tcPr>
            <w:tcW w:w="1007" w:type="dxa"/>
            <w:tcBorders>
              <w:top w:val="nil"/>
              <w:left w:val="nil"/>
              <w:bottom w:val="single" w:sz="4" w:space="0" w:color="9CA3AF"/>
              <w:right w:val="single" w:sz="4" w:space="0" w:color="9CA3AF"/>
            </w:tcBorders>
            <w:shd w:val="clear" w:color="F1F5F9" w:fill="ECFDF5"/>
            <w:hideMark/>
          </w:tcPr>
          <w:p w14:paraId="6709879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Arritja e akreditimit të shërbimeve të ofruara nga Instituti i Policisë Shkencore sipas standardeve ISO, i zbatuar në faza, duke prioritizuar disiplinat shkencore me ndikim të lartë, duke kryer auditimet e brendshme, duke adresuar mospërputhjet (identifikimi, dokumentimi, vlerësimi dhe korrigjimi i devijimeve nga standardet e cilësisë së vendosur) dhe duke siguruar përmirësim të vazhdueshëm të cilësisë</w:t>
            </w:r>
          </w:p>
        </w:tc>
        <w:tc>
          <w:tcPr>
            <w:tcW w:w="524" w:type="dxa"/>
            <w:tcBorders>
              <w:top w:val="nil"/>
              <w:left w:val="nil"/>
              <w:bottom w:val="single" w:sz="4" w:space="0" w:color="9CA3AF"/>
              <w:right w:val="single" w:sz="4" w:space="0" w:color="9CA3AF"/>
            </w:tcBorders>
            <w:shd w:val="clear" w:color="auto" w:fill="auto"/>
            <w:hideMark/>
          </w:tcPr>
          <w:p w14:paraId="73A2AFE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2.5.7</w:t>
            </w:r>
          </w:p>
        </w:tc>
        <w:tc>
          <w:tcPr>
            <w:tcW w:w="1307" w:type="dxa"/>
            <w:tcBorders>
              <w:top w:val="nil"/>
              <w:left w:val="nil"/>
              <w:bottom w:val="single" w:sz="4" w:space="0" w:color="9CA3AF"/>
              <w:right w:val="single" w:sz="4" w:space="0" w:color="9CA3AF"/>
            </w:tcBorders>
            <w:shd w:val="clear" w:color="auto" w:fill="auto"/>
            <w:hideMark/>
          </w:tcPr>
          <w:p w14:paraId="4343E04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Prioritizimi i disiplinave kriminalistike me ndikim të lartë për akreditim fillestar dhe kryerja e auditimeve të brendshme për identifikimin dhe korrigjimin e mospërputhjeve.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proceseve të përmirësimit të vazhdueshëm të cilësisë, përfshirë përditësimet e dokumentacionit, veprimet korrigjuese dhe rishikimet periodike të menaxhimit.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E00D5A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M160510</w:t>
            </w:r>
          </w:p>
        </w:tc>
        <w:tc>
          <w:tcPr>
            <w:tcW w:w="914" w:type="dxa"/>
            <w:tcBorders>
              <w:top w:val="nil"/>
              <w:left w:val="nil"/>
              <w:bottom w:val="single" w:sz="4" w:space="0" w:color="auto"/>
              <w:right w:val="single" w:sz="4" w:space="0" w:color="auto"/>
            </w:tcBorders>
            <w:shd w:val="clear" w:color="000000" w:fill="FFFFFF"/>
            <w:vAlign w:val="center"/>
            <w:hideMark/>
          </w:tcPr>
          <w:p w14:paraId="2110F57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22A54D2B"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FFA</w:t>
            </w:r>
          </w:p>
        </w:tc>
        <w:tc>
          <w:tcPr>
            <w:tcW w:w="439" w:type="dxa"/>
            <w:tcBorders>
              <w:top w:val="nil"/>
              <w:left w:val="single" w:sz="4" w:space="0" w:color="9CA3AF"/>
              <w:bottom w:val="single" w:sz="4" w:space="0" w:color="9CA3AF"/>
              <w:right w:val="single" w:sz="4" w:space="0" w:color="9CA3AF"/>
            </w:tcBorders>
            <w:shd w:val="clear" w:color="auto" w:fill="auto"/>
            <w:hideMark/>
          </w:tcPr>
          <w:p w14:paraId="3A8E1EE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945155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A50304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159CC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56620E5"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B6B0E1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5098A6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4A0ECA9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347FA9E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2.5.8</w:t>
            </w:r>
          </w:p>
        </w:tc>
        <w:tc>
          <w:tcPr>
            <w:tcW w:w="1007" w:type="dxa"/>
            <w:tcBorders>
              <w:top w:val="nil"/>
              <w:left w:val="nil"/>
              <w:bottom w:val="single" w:sz="4" w:space="0" w:color="9CA3AF"/>
              <w:right w:val="single" w:sz="4" w:space="0" w:color="9CA3AF"/>
            </w:tcBorders>
            <w:shd w:val="clear" w:color="F1F5F9" w:fill="ECFDF5"/>
            <w:hideMark/>
          </w:tcPr>
          <w:p w14:paraId="20A6A81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një plani të dedikuar për zbatimin e metodave novatore në shkencat kriminalistike në luftën kundër krimit të organizuar dhe aktiviteteve të tjera kriminale, përfshirë identifikimin e metodave prioritare, pajisjeve dhe trajnimit të kërkuar, procedurat e validimit dhe integrimin në flukset operacionale të punës.</w:t>
            </w:r>
          </w:p>
        </w:tc>
        <w:tc>
          <w:tcPr>
            <w:tcW w:w="524" w:type="dxa"/>
            <w:tcBorders>
              <w:top w:val="nil"/>
              <w:left w:val="nil"/>
              <w:bottom w:val="single" w:sz="4" w:space="0" w:color="9CA3AF"/>
              <w:right w:val="single" w:sz="4" w:space="0" w:color="9CA3AF"/>
            </w:tcBorders>
            <w:shd w:val="clear" w:color="auto" w:fill="auto"/>
            <w:hideMark/>
          </w:tcPr>
          <w:p w14:paraId="348C312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2.5.8</w:t>
            </w:r>
          </w:p>
        </w:tc>
        <w:tc>
          <w:tcPr>
            <w:tcW w:w="1307" w:type="dxa"/>
            <w:tcBorders>
              <w:top w:val="nil"/>
              <w:left w:val="nil"/>
              <w:bottom w:val="single" w:sz="4" w:space="0" w:color="9CA3AF"/>
              <w:right w:val="single" w:sz="4" w:space="0" w:color="9CA3AF"/>
            </w:tcBorders>
            <w:shd w:val="clear" w:color="auto" w:fill="auto"/>
            <w:hideMark/>
          </w:tcPr>
          <w:p w14:paraId="0146B675" w14:textId="194983FB"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Identifikimi i metodave kriminalistike prioritare novatore (p.sh., kriminalistika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ADN e shpejtë, balistika e avancuar) dhe përcaktimi i nevojave për pajisje, trajnim dhe validim.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Integrimi i metodave të validuara në flukset operacionale të punës, për të rritur kapacitetin hetimor kundër krimit të organizuar.</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0D261B3" w14:textId="29B25F99"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Pa Kod n</w:t>
            </w:r>
            <w:r w:rsidR="00B77BA6" w:rsidRPr="002128A6">
              <w:rPr>
                <w:rFonts w:ascii="Garamond" w:eastAsia="Times New Roman" w:hAnsi="Garamond" w:cs="Times New Roman"/>
                <w:kern w:val="0"/>
                <w:sz w:val="8"/>
                <w:szCs w:val="8"/>
                <w14:ligatures w14:val="none"/>
              </w:rPr>
              <w:t>ë</w:t>
            </w:r>
            <w:r w:rsidRPr="002128A6">
              <w:rPr>
                <w:rFonts w:ascii="Garamond" w:eastAsia="Times New Roman" w:hAnsi="Garamond" w:cs="Times New Roman"/>
                <w:kern w:val="0"/>
                <w:sz w:val="8"/>
                <w:szCs w:val="8"/>
                <w14:ligatures w14:val="none"/>
              </w:rPr>
              <w:t xml:space="preserve"> PBA</w:t>
            </w:r>
          </w:p>
        </w:tc>
        <w:tc>
          <w:tcPr>
            <w:tcW w:w="914" w:type="dxa"/>
            <w:tcBorders>
              <w:top w:val="nil"/>
              <w:left w:val="nil"/>
              <w:bottom w:val="single" w:sz="4" w:space="0" w:color="auto"/>
              <w:right w:val="single" w:sz="4" w:space="0" w:color="auto"/>
            </w:tcBorders>
            <w:shd w:val="clear" w:color="000000" w:fill="FFFFFF"/>
            <w:vAlign w:val="center"/>
            <w:hideMark/>
          </w:tcPr>
          <w:p w14:paraId="71FAD68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Mininstria e Punëve të Brendshme/Policia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3F05283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43E3969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D1456C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051CDC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D515CE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7C56A6B"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A08F19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42A21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0F45A39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7DA19F1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2.5.9</w:t>
            </w:r>
          </w:p>
        </w:tc>
        <w:tc>
          <w:tcPr>
            <w:tcW w:w="1007" w:type="dxa"/>
            <w:tcBorders>
              <w:top w:val="nil"/>
              <w:left w:val="nil"/>
              <w:bottom w:val="single" w:sz="4" w:space="0" w:color="9CA3AF"/>
              <w:right w:val="single" w:sz="4" w:space="0" w:color="9CA3AF"/>
            </w:tcBorders>
            <w:shd w:val="clear" w:color="F1F5F9" w:fill="ECFDF5"/>
            <w:hideMark/>
          </w:tcPr>
          <w:p w14:paraId="3C61EB6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Mbështetja dhe forcimi i kapaciteteve për procesin e menaxhimit të cilësisë në nivel rajonal të hetimit të vendngjarjes dhe në nivel qendror, përfshirë përmes procedurave të harmonizuara, mentorimit, kontrolleve të brendshme dhe rishikimeve periodike të cilësisë për të siguruar zbatim konsistent të standardeve në të gjithë vendin.</w:t>
            </w:r>
          </w:p>
        </w:tc>
        <w:tc>
          <w:tcPr>
            <w:tcW w:w="524" w:type="dxa"/>
            <w:tcBorders>
              <w:top w:val="nil"/>
              <w:left w:val="nil"/>
              <w:bottom w:val="single" w:sz="4" w:space="0" w:color="9CA3AF"/>
              <w:right w:val="single" w:sz="4" w:space="0" w:color="9CA3AF"/>
            </w:tcBorders>
            <w:shd w:val="clear" w:color="auto" w:fill="auto"/>
            <w:hideMark/>
          </w:tcPr>
          <w:p w14:paraId="1390E6E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2.5.9</w:t>
            </w:r>
          </w:p>
        </w:tc>
        <w:tc>
          <w:tcPr>
            <w:tcW w:w="1307" w:type="dxa"/>
            <w:tcBorders>
              <w:top w:val="nil"/>
              <w:left w:val="nil"/>
              <w:bottom w:val="single" w:sz="4" w:space="0" w:color="9CA3AF"/>
              <w:right w:val="single" w:sz="4" w:space="0" w:color="9CA3AF"/>
            </w:tcBorders>
            <w:shd w:val="clear" w:color="auto" w:fill="auto"/>
            <w:hideMark/>
          </w:tcPr>
          <w:p w14:paraId="38F6D18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Harmonizimi i procedurave të hetimit të vendngjarjes në të gjitha rajonet, përmes mentorimit, kontrolleve të brendshme dhe rishikimeve periodike të cilësisë.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Ngritja e një kornize kombëtare të menaxhimit të cilësisë, duke siguruar zbatim konsistent të standardeve kriminalistike në të gjithë vendin.</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FD12F4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nil"/>
              <w:bottom w:val="single" w:sz="4" w:space="0" w:color="auto"/>
              <w:right w:val="single" w:sz="4" w:space="0" w:color="auto"/>
            </w:tcBorders>
            <w:shd w:val="clear" w:color="000000" w:fill="FFFFFF"/>
            <w:vAlign w:val="center"/>
            <w:hideMark/>
          </w:tcPr>
          <w:p w14:paraId="470FFE6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4B9F8B10" w14:textId="406617DF"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FFA</w:t>
            </w:r>
            <w:r w:rsidR="00F54824" w:rsidRPr="002128A6">
              <w:rPr>
                <w:rFonts w:ascii="Garamond" w:eastAsia="Times New Roman" w:hAnsi="Garamond" w:cs="Times New Roman"/>
                <w:kern w:val="0"/>
                <w:sz w:val="8"/>
                <w:szCs w:val="8"/>
                <w14:ligatures w14:val="none"/>
              </w:rPr>
              <w:t xml:space="preserve"> </w:t>
            </w:r>
          </w:p>
        </w:tc>
        <w:tc>
          <w:tcPr>
            <w:tcW w:w="439" w:type="dxa"/>
            <w:tcBorders>
              <w:top w:val="nil"/>
              <w:left w:val="single" w:sz="4" w:space="0" w:color="9CA3AF"/>
              <w:bottom w:val="single" w:sz="4" w:space="0" w:color="9CA3AF"/>
              <w:right w:val="single" w:sz="4" w:space="0" w:color="9CA3AF"/>
            </w:tcBorders>
            <w:shd w:val="clear" w:color="auto" w:fill="auto"/>
            <w:hideMark/>
          </w:tcPr>
          <w:p w14:paraId="42A6AFE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FB697D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AEB0C8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64CB4E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D89D1F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B907CE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114E20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192F987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51F894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2.5.10</w:t>
            </w:r>
          </w:p>
        </w:tc>
        <w:tc>
          <w:tcPr>
            <w:tcW w:w="1007" w:type="dxa"/>
            <w:tcBorders>
              <w:top w:val="nil"/>
              <w:left w:val="nil"/>
              <w:bottom w:val="single" w:sz="4" w:space="0" w:color="9CA3AF"/>
              <w:right w:val="single" w:sz="4" w:space="0" w:color="9CA3AF"/>
            </w:tcBorders>
            <w:shd w:val="clear" w:color="F1F5F9" w:fill="ECFDF5"/>
            <w:hideMark/>
          </w:tcPr>
          <w:p w14:paraId="486B88F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Ngritja dhe mirëmbajtja e një regjistri për inventarin e pajisjeve kriminalistike duke identifikuar sistematikisht nevojat për kalibrim, mirëmbajtje, rinovim ose zëvendësim të tyre, përfshirë duke vendosur afate, caktuar përgjegjësi dhe siguruar gjurmueshmërinë e ndërhyrjeve për të mbrojtur besueshmërinë e rezultateve kriminalistike.</w:t>
            </w:r>
          </w:p>
        </w:tc>
        <w:tc>
          <w:tcPr>
            <w:tcW w:w="524" w:type="dxa"/>
            <w:tcBorders>
              <w:top w:val="nil"/>
              <w:left w:val="nil"/>
              <w:bottom w:val="single" w:sz="4" w:space="0" w:color="9CA3AF"/>
              <w:right w:val="single" w:sz="4" w:space="0" w:color="9CA3AF"/>
            </w:tcBorders>
            <w:shd w:val="clear" w:color="auto" w:fill="auto"/>
            <w:hideMark/>
          </w:tcPr>
          <w:p w14:paraId="6072806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2.5.10</w:t>
            </w:r>
          </w:p>
        </w:tc>
        <w:tc>
          <w:tcPr>
            <w:tcW w:w="1307" w:type="dxa"/>
            <w:tcBorders>
              <w:top w:val="nil"/>
              <w:left w:val="nil"/>
              <w:bottom w:val="single" w:sz="4" w:space="0" w:color="9CA3AF"/>
              <w:right w:val="single" w:sz="4" w:space="0" w:color="9CA3AF"/>
            </w:tcBorders>
            <w:shd w:val="clear" w:color="auto" w:fill="auto"/>
            <w:hideMark/>
          </w:tcPr>
          <w:p w14:paraId="23B43E3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Krijimi i një regjistri të centralizuar që dokumenton kalibrimin, mirëmbajtjen, rinovimin dhe nevojat e zëvendësimit për të gjitha pajisjet kriminalistike.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mirëmbajtjes së planifikuar dhe procedurave të gjurmueshmërisë, për të siguruar besueshmërinë dhe saktësinë e rezultateve kriminalistike.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4C2AAA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91604AS</w:t>
            </w:r>
          </w:p>
        </w:tc>
        <w:tc>
          <w:tcPr>
            <w:tcW w:w="914" w:type="dxa"/>
            <w:tcBorders>
              <w:top w:val="nil"/>
              <w:left w:val="nil"/>
              <w:bottom w:val="single" w:sz="4" w:space="0" w:color="auto"/>
              <w:right w:val="single" w:sz="4" w:space="0" w:color="auto"/>
            </w:tcBorders>
            <w:shd w:val="clear" w:color="000000" w:fill="FFFFFF"/>
            <w:vAlign w:val="center"/>
            <w:hideMark/>
          </w:tcPr>
          <w:p w14:paraId="4B1A969F"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5611418E" w14:textId="6FEF8E9C"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FFA</w:t>
            </w:r>
            <w:r w:rsidR="00F54824" w:rsidRPr="002128A6">
              <w:rPr>
                <w:rFonts w:ascii="Garamond" w:eastAsia="Times New Roman" w:hAnsi="Garamond" w:cs="Times New Roman"/>
                <w:kern w:val="0"/>
                <w:sz w:val="8"/>
                <w:szCs w:val="8"/>
                <w14:ligatures w14:val="none"/>
              </w:rPr>
              <w:t xml:space="preserve"> </w:t>
            </w:r>
          </w:p>
        </w:tc>
        <w:tc>
          <w:tcPr>
            <w:tcW w:w="439" w:type="dxa"/>
            <w:tcBorders>
              <w:top w:val="nil"/>
              <w:left w:val="single" w:sz="4" w:space="0" w:color="9CA3AF"/>
              <w:bottom w:val="single" w:sz="4" w:space="0" w:color="9CA3AF"/>
              <w:right w:val="single" w:sz="4" w:space="0" w:color="9CA3AF"/>
            </w:tcBorders>
            <w:shd w:val="clear" w:color="auto" w:fill="auto"/>
            <w:hideMark/>
          </w:tcPr>
          <w:p w14:paraId="6F0CBEB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6FDACC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CD9312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3401C4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D31D6B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B47F7F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2FFE0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4D4AA8D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443C967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2.5.11</w:t>
            </w:r>
          </w:p>
        </w:tc>
        <w:tc>
          <w:tcPr>
            <w:tcW w:w="1007" w:type="dxa"/>
            <w:tcBorders>
              <w:top w:val="nil"/>
              <w:left w:val="nil"/>
              <w:bottom w:val="single" w:sz="4" w:space="0" w:color="9CA3AF"/>
              <w:right w:val="single" w:sz="4" w:space="0" w:color="9CA3AF"/>
            </w:tcBorders>
            <w:shd w:val="clear" w:color="F1F5F9" w:fill="ECFDF5"/>
            <w:hideMark/>
          </w:tcPr>
          <w:p w14:paraId="636593A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i një plani investimi për 1, 3 dhe 5 vjet për ofrimin e shërbimeve të policisë shkencore, përfshirë nevojat e prioritizuara të prokurimit dhe infrastrukturës, buxhetimin dhe burimet e financimit, kërkesat për burime njerëzore dhe trajnim, dhe pikat e referimit të lidhura me akreditimin e shërbimit dhe objektivat e cilësisë.</w:t>
            </w:r>
          </w:p>
        </w:tc>
        <w:tc>
          <w:tcPr>
            <w:tcW w:w="524" w:type="dxa"/>
            <w:tcBorders>
              <w:top w:val="nil"/>
              <w:left w:val="nil"/>
              <w:bottom w:val="single" w:sz="4" w:space="0" w:color="9CA3AF"/>
              <w:right w:val="single" w:sz="4" w:space="0" w:color="9CA3AF"/>
            </w:tcBorders>
            <w:shd w:val="clear" w:color="auto" w:fill="auto"/>
            <w:hideMark/>
          </w:tcPr>
          <w:p w14:paraId="4ADE0C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2.5.11</w:t>
            </w:r>
          </w:p>
        </w:tc>
        <w:tc>
          <w:tcPr>
            <w:tcW w:w="1307" w:type="dxa"/>
            <w:tcBorders>
              <w:top w:val="nil"/>
              <w:left w:val="nil"/>
              <w:bottom w:val="single" w:sz="4" w:space="0" w:color="9CA3AF"/>
              <w:right w:val="single" w:sz="4" w:space="0" w:color="9CA3AF"/>
            </w:tcBorders>
            <w:shd w:val="clear" w:color="auto" w:fill="auto"/>
            <w:hideMark/>
          </w:tcPr>
          <w:p w14:paraId="43857E5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i planeve shumëvjeçare të investimeve që përfshijnë prioritetet e prokurimit, nevojat për infrastrukturë, kërkesat e burimeve njerëzore dhe programet e trajnimit.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Lidhja e prioriteteve të investimeve me objektivat e akreditimit dhe synimet e përmirësimit të cilësisë, për të siguruar zhvillim strategjik të shërbimeve kriminalistike.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734C128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nil"/>
              <w:bottom w:val="single" w:sz="4" w:space="0" w:color="auto"/>
              <w:right w:val="single" w:sz="4" w:space="0" w:color="auto"/>
            </w:tcBorders>
            <w:shd w:val="clear" w:color="000000" w:fill="FFFFFF"/>
            <w:vAlign w:val="center"/>
            <w:hideMark/>
          </w:tcPr>
          <w:p w14:paraId="4870108C"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Mininstria e Punëve të Brendshme/Policia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0E37B197"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09A4A27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BF9299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0BE2DF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AF67D4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36D581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C0688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1A285E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22F7D62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18E0150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2.5.12</w:t>
            </w:r>
          </w:p>
        </w:tc>
        <w:tc>
          <w:tcPr>
            <w:tcW w:w="1007" w:type="dxa"/>
            <w:tcBorders>
              <w:top w:val="nil"/>
              <w:left w:val="nil"/>
              <w:bottom w:val="single" w:sz="4" w:space="0" w:color="9CA3AF"/>
              <w:right w:val="single" w:sz="4" w:space="0" w:color="9CA3AF"/>
            </w:tcBorders>
            <w:shd w:val="clear" w:color="F1F5F9" w:fill="ECFDF5"/>
            <w:hideMark/>
          </w:tcPr>
          <w:p w14:paraId="6792719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Ndërtimi i Serverit të Stacionit të Kontrollit në Distancë për të mundësuar krahasimin e drejtpërdrejtë të të dhënave daktiloskopike në sistemin AFIS Papillon të Institutit të Policisë Shkencore, duke siguruar ndërlidhje të sigurt, kapacitet të mjaftueshëm të serverit, integrim me flukset ekzistuese të punës dhe auditueshmëri të kërkimeve dhe përputhjeve</w:t>
            </w:r>
          </w:p>
        </w:tc>
        <w:tc>
          <w:tcPr>
            <w:tcW w:w="524" w:type="dxa"/>
            <w:tcBorders>
              <w:top w:val="nil"/>
              <w:left w:val="nil"/>
              <w:bottom w:val="single" w:sz="4" w:space="0" w:color="9CA3AF"/>
              <w:right w:val="single" w:sz="4" w:space="0" w:color="9CA3AF"/>
            </w:tcBorders>
            <w:shd w:val="clear" w:color="auto" w:fill="auto"/>
            <w:hideMark/>
          </w:tcPr>
          <w:p w14:paraId="781DCBA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2.5.12</w:t>
            </w:r>
          </w:p>
        </w:tc>
        <w:tc>
          <w:tcPr>
            <w:tcW w:w="1307" w:type="dxa"/>
            <w:tcBorders>
              <w:top w:val="nil"/>
              <w:left w:val="nil"/>
              <w:bottom w:val="single" w:sz="4" w:space="0" w:color="9CA3AF"/>
              <w:right w:val="single" w:sz="4" w:space="0" w:color="9CA3AF"/>
            </w:tcBorders>
            <w:shd w:val="clear" w:color="auto" w:fill="auto"/>
            <w:hideMark/>
          </w:tcPr>
          <w:p w14:paraId="2A1BDA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Ndërtimi dhe konfigurimi i Serverit të Stacionit të Kontrollit në Distancë për të mundësuar krahasimin e drejtpërdrejtë të të dhënave daktiloskopike në sistemin AFIS Papillon.</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98C110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M160510</w:t>
            </w:r>
          </w:p>
        </w:tc>
        <w:tc>
          <w:tcPr>
            <w:tcW w:w="914" w:type="dxa"/>
            <w:tcBorders>
              <w:top w:val="nil"/>
              <w:left w:val="nil"/>
              <w:bottom w:val="single" w:sz="4" w:space="0" w:color="auto"/>
              <w:right w:val="single" w:sz="4" w:space="0" w:color="auto"/>
            </w:tcBorders>
            <w:shd w:val="clear" w:color="000000" w:fill="FFFFFF"/>
            <w:vAlign w:val="center"/>
            <w:hideMark/>
          </w:tcPr>
          <w:p w14:paraId="5D755E94"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w:t>
            </w:r>
          </w:p>
        </w:tc>
        <w:tc>
          <w:tcPr>
            <w:tcW w:w="966" w:type="dxa"/>
            <w:tcBorders>
              <w:top w:val="nil"/>
              <w:left w:val="nil"/>
              <w:bottom w:val="single" w:sz="4" w:space="0" w:color="auto"/>
              <w:right w:val="single" w:sz="4" w:space="0" w:color="auto"/>
            </w:tcBorders>
            <w:shd w:val="clear" w:color="000000" w:fill="FFFFFF"/>
            <w:vAlign w:val="center"/>
            <w:hideMark/>
          </w:tcPr>
          <w:p w14:paraId="7ABA405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564304A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416333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2B88A5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C9F397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Donacioni IPA 2019</w:t>
            </w:r>
          </w:p>
        </w:tc>
      </w:tr>
      <w:tr w:rsidR="00F54824" w:rsidRPr="002128A6" w14:paraId="14ADEFE4"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4DA12F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D179EE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1E37A45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57A9503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2.5.13</w:t>
            </w:r>
          </w:p>
        </w:tc>
        <w:tc>
          <w:tcPr>
            <w:tcW w:w="1007" w:type="dxa"/>
            <w:tcBorders>
              <w:top w:val="nil"/>
              <w:left w:val="nil"/>
              <w:bottom w:val="single" w:sz="4" w:space="0" w:color="9CA3AF"/>
              <w:right w:val="single" w:sz="4" w:space="0" w:color="9CA3AF"/>
            </w:tcBorders>
            <w:shd w:val="clear" w:color="F1F5F9" w:fill="ECFDF5"/>
            <w:hideMark/>
          </w:tcPr>
          <w:p w14:paraId="15770BF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Organizimi i trajnimeve dhe vlerësimeve periodike të kompetencave të ekspertëve të vendngjarjes, përfshirë vlerësimet praktike, proceset e certifikimit/ricertifikimit dhe ngritjen e kapaciteteve të shënjestruara për të garantuar zbatim konsistent të standardeve minimale të cilësisë dhe trajtim të duhur të provave.</w:t>
            </w:r>
          </w:p>
        </w:tc>
        <w:tc>
          <w:tcPr>
            <w:tcW w:w="524" w:type="dxa"/>
            <w:tcBorders>
              <w:top w:val="nil"/>
              <w:left w:val="nil"/>
              <w:bottom w:val="single" w:sz="4" w:space="0" w:color="9CA3AF"/>
              <w:right w:val="single" w:sz="4" w:space="0" w:color="9CA3AF"/>
            </w:tcBorders>
            <w:shd w:val="clear" w:color="auto" w:fill="auto"/>
            <w:hideMark/>
          </w:tcPr>
          <w:p w14:paraId="1312251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2.5.13</w:t>
            </w:r>
          </w:p>
        </w:tc>
        <w:tc>
          <w:tcPr>
            <w:tcW w:w="1307" w:type="dxa"/>
            <w:tcBorders>
              <w:top w:val="nil"/>
              <w:left w:val="nil"/>
              <w:bottom w:val="single" w:sz="4" w:space="0" w:color="9CA3AF"/>
              <w:right w:val="single" w:sz="4" w:space="0" w:color="9CA3AF"/>
            </w:tcBorders>
            <w:shd w:val="clear" w:color="auto" w:fill="auto"/>
            <w:hideMark/>
          </w:tcPr>
          <w:p w14:paraId="3A24FB6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Ofrimi i programeve periodike të trajnimit dhe ricertifikimi për ekspertët e vendngjarjes, përfshirë vlerësimet praktike dhe ushtrimet e bazuara në skenarë.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vlerësimeve periodike të kompetencave, për të garantuar zbatim konsistent të standardeve të cilësisë dhe trajtim të duhur të provave.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7CE874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91604AS;</w:t>
            </w:r>
            <w:r w:rsidRPr="002128A6">
              <w:rPr>
                <w:rFonts w:ascii="Garamond" w:eastAsia="Times New Roman" w:hAnsi="Garamond" w:cs="Times New Roman"/>
                <w:kern w:val="0"/>
                <w:sz w:val="8"/>
                <w:szCs w:val="8"/>
                <w14:ligatures w14:val="none"/>
              </w:rPr>
              <w:br/>
              <w:t>91604AR</w:t>
            </w:r>
          </w:p>
        </w:tc>
        <w:tc>
          <w:tcPr>
            <w:tcW w:w="914" w:type="dxa"/>
            <w:tcBorders>
              <w:top w:val="nil"/>
              <w:left w:val="nil"/>
              <w:bottom w:val="single" w:sz="4" w:space="0" w:color="auto"/>
              <w:right w:val="single" w:sz="4" w:space="0" w:color="auto"/>
            </w:tcBorders>
            <w:shd w:val="clear" w:color="000000" w:fill="FFFFFF"/>
            <w:vAlign w:val="center"/>
            <w:hideMark/>
          </w:tcPr>
          <w:p w14:paraId="092859E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Shkencore/Akademia e Sigurisë</w:t>
            </w:r>
          </w:p>
        </w:tc>
        <w:tc>
          <w:tcPr>
            <w:tcW w:w="966" w:type="dxa"/>
            <w:tcBorders>
              <w:top w:val="nil"/>
              <w:left w:val="nil"/>
              <w:bottom w:val="single" w:sz="4" w:space="0" w:color="auto"/>
              <w:right w:val="single" w:sz="4" w:space="0" w:color="auto"/>
            </w:tcBorders>
            <w:shd w:val="clear" w:color="000000" w:fill="FFFFFF"/>
            <w:vAlign w:val="center"/>
            <w:hideMark/>
          </w:tcPr>
          <w:p w14:paraId="6C0CD13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42C3524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A38F85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69AF29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158BF4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E1AD9E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FD8B80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6819835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35D1934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440BD45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2.5.14</w:t>
            </w:r>
          </w:p>
        </w:tc>
        <w:tc>
          <w:tcPr>
            <w:tcW w:w="1007" w:type="dxa"/>
            <w:tcBorders>
              <w:top w:val="nil"/>
              <w:left w:val="nil"/>
              <w:bottom w:val="single" w:sz="4" w:space="0" w:color="9CA3AF"/>
              <w:right w:val="single" w:sz="4" w:space="0" w:color="9CA3AF"/>
            </w:tcBorders>
            <w:shd w:val="clear" w:color="F1F5F9" w:fill="ECFDF5"/>
            <w:hideMark/>
          </w:tcPr>
          <w:p w14:paraId="14DF2897" w14:textId="0A2AF3D2"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Integrimi i IPSH në komunitetin ndërkombëtar të shkencave kriminalistike, përfshirë përmes pjesëmarrjes në rrjete përkatëse, shkëmbime dhe ushtrimet krahasimore, me qëllim përshtatjen</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modeleve, praktikave dhe metodave novatore të përdorura nga vendet e zhvilluara </w:t>
            </w:r>
            <w:r w:rsidRPr="002128A6">
              <w:rPr>
                <w:rFonts w:ascii="Garamond" w:eastAsia="Times New Roman" w:hAnsi="Garamond" w:cs="Times New Roman"/>
                <w:kern w:val="0"/>
                <w:sz w:val="8"/>
                <w:szCs w:val="8"/>
                <w14:ligatures w14:val="none"/>
              </w:rPr>
              <w:lastRenderedPageBreak/>
              <w:t>dhe brendësimin e tyre në politikat kombëtare të zhvillimit të shërbimit kriminalistik në Shqipëri.</w:t>
            </w:r>
          </w:p>
        </w:tc>
        <w:tc>
          <w:tcPr>
            <w:tcW w:w="524" w:type="dxa"/>
            <w:tcBorders>
              <w:top w:val="nil"/>
              <w:left w:val="nil"/>
              <w:bottom w:val="single" w:sz="4" w:space="0" w:color="9CA3AF"/>
              <w:right w:val="single" w:sz="4" w:space="0" w:color="9CA3AF"/>
            </w:tcBorders>
            <w:shd w:val="clear" w:color="auto" w:fill="auto"/>
            <w:hideMark/>
          </w:tcPr>
          <w:p w14:paraId="5024E7C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2.5.14</w:t>
            </w:r>
          </w:p>
        </w:tc>
        <w:tc>
          <w:tcPr>
            <w:tcW w:w="1307" w:type="dxa"/>
            <w:tcBorders>
              <w:top w:val="nil"/>
              <w:left w:val="nil"/>
              <w:bottom w:val="single" w:sz="4" w:space="0" w:color="9CA3AF"/>
              <w:right w:val="single" w:sz="4" w:space="0" w:color="9CA3AF"/>
            </w:tcBorders>
            <w:shd w:val="clear" w:color="auto" w:fill="auto"/>
            <w:hideMark/>
          </w:tcPr>
          <w:p w14:paraId="32DD46C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Pjesëmarrja në rrjetet ndërkombëtare kriminalistike, shkëmbimet dhe ushtrimet krahasimore, për të përdorur praktikat më të mira dhe metoda novatore.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Materializimi i modeleve ndërkombëtarë dhe i mësimeve të nxjerra në politikat kombëtare të zhvillimit të shërbimit kriminalistik.</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DF095E2"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91604AS</w:t>
            </w:r>
          </w:p>
        </w:tc>
        <w:tc>
          <w:tcPr>
            <w:tcW w:w="914" w:type="dxa"/>
            <w:tcBorders>
              <w:top w:val="nil"/>
              <w:left w:val="nil"/>
              <w:bottom w:val="single" w:sz="4" w:space="0" w:color="auto"/>
              <w:right w:val="nil"/>
            </w:tcBorders>
            <w:shd w:val="clear" w:color="000000" w:fill="FFFFFF"/>
            <w:vAlign w:val="center"/>
            <w:hideMark/>
          </w:tcPr>
          <w:p w14:paraId="41B2E04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Brendshme/Instituti i Policisë Shkencore</w:t>
            </w:r>
          </w:p>
        </w:tc>
        <w:tc>
          <w:tcPr>
            <w:tcW w:w="966" w:type="dxa"/>
            <w:tcBorders>
              <w:top w:val="nil"/>
              <w:left w:val="single" w:sz="4" w:space="0" w:color="auto"/>
              <w:bottom w:val="single" w:sz="4" w:space="0" w:color="auto"/>
              <w:right w:val="single" w:sz="4" w:space="0" w:color="auto"/>
            </w:tcBorders>
            <w:shd w:val="clear" w:color="000000" w:fill="FFFFFF"/>
            <w:vAlign w:val="center"/>
            <w:hideMark/>
          </w:tcPr>
          <w:p w14:paraId="06531AA1"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3D31384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447DE1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41F24D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9D43C5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FE3AB4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7262AA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E3F9A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7929D6F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5527BF2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2.5.15</w:t>
            </w:r>
          </w:p>
        </w:tc>
        <w:tc>
          <w:tcPr>
            <w:tcW w:w="1007" w:type="dxa"/>
            <w:tcBorders>
              <w:top w:val="nil"/>
              <w:left w:val="nil"/>
              <w:bottom w:val="single" w:sz="4" w:space="0" w:color="9CA3AF"/>
              <w:right w:val="single" w:sz="4" w:space="0" w:color="9CA3AF"/>
            </w:tcBorders>
            <w:shd w:val="clear" w:color="F1F5F9" w:fill="ECFDF5"/>
            <w:hideMark/>
          </w:tcPr>
          <w:p w14:paraId="70DC3E4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Rishikimi dhe propozimi i ndryshimeve ligjore në lidhje me mbledhjen e mostrave të ADN-së nga të dyshuarit dhe të arrestuarit, përfshirë duke sqaruar bazën ligjore, garancitë procedurale, kërkesat e zinxhirit të ruajtjes, periudhat e ruajtjes dhe garancitë e mbrojtjes së të dhënave, me qëllim forcimin e efektivitetit hetimor dhe respektimin e të drejtave themelore.</w:t>
            </w:r>
          </w:p>
        </w:tc>
        <w:tc>
          <w:tcPr>
            <w:tcW w:w="524" w:type="dxa"/>
            <w:tcBorders>
              <w:top w:val="nil"/>
              <w:left w:val="nil"/>
              <w:bottom w:val="single" w:sz="4" w:space="0" w:color="9CA3AF"/>
              <w:right w:val="single" w:sz="4" w:space="0" w:color="9CA3AF"/>
            </w:tcBorders>
            <w:shd w:val="clear" w:color="auto" w:fill="auto"/>
            <w:hideMark/>
          </w:tcPr>
          <w:p w14:paraId="4C4D720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2.5.15</w:t>
            </w:r>
          </w:p>
        </w:tc>
        <w:tc>
          <w:tcPr>
            <w:tcW w:w="1307" w:type="dxa"/>
            <w:tcBorders>
              <w:top w:val="nil"/>
              <w:left w:val="nil"/>
              <w:bottom w:val="single" w:sz="4" w:space="0" w:color="9CA3AF"/>
              <w:right w:val="single" w:sz="4" w:space="0" w:color="9CA3AF"/>
            </w:tcBorders>
            <w:shd w:val="clear" w:color="auto" w:fill="auto"/>
            <w:hideMark/>
          </w:tcPr>
          <w:p w14:paraId="521D0AC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analizës së boshllëqeve ligjore dhe propozimi i ndryshimeve që sqarojnë bazën ligjore, garancitë procedurale, rregullat e zinxhirit të ruajtjes, periudhat e ruajtjes dhe garancitë e mbrojtjes së të dhënave.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Garantimi që ndryshimet e propozuara të forcojnë efektivitetin hetimor, ndërsa të drejtat themelore respektohen plotësisht.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F344F8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nil"/>
              <w:bottom w:val="single" w:sz="4" w:space="0" w:color="auto"/>
              <w:right w:val="nil"/>
            </w:tcBorders>
            <w:shd w:val="clear" w:color="000000" w:fill="FFFFFF"/>
            <w:vAlign w:val="center"/>
            <w:hideMark/>
          </w:tcPr>
          <w:p w14:paraId="54DB23CA"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w:t>
            </w:r>
          </w:p>
        </w:tc>
        <w:tc>
          <w:tcPr>
            <w:tcW w:w="966" w:type="dxa"/>
            <w:tcBorders>
              <w:top w:val="nil"/>
              <w:left w:val="single" w:sz="4" w:space="0" w:color="auto"/>
              <w:bottom w:val="single" w:sz="4" w:space="0" w:color="auto"/>
              <w:right w:val="single" w:sz="4" w:space="0" w:color="auto"/>
            </w:tcBorders>
            <w:shd w:val="clear" w:color="000000" w:fill="FFFFFF"/>
            <w:vAlign w:val="center"/>
            <w:hideMark/>
          </w:tcPr>
          <w:p w14:paraId="75F8D5F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Drejtësisë; FFA</w:t>
            </w:r>
          </w:p>
        </w:tc>
        <w:tc>
          <w:tcPr>
            <w:tcW w:w="439" w:type="dxa"/>
            <w:tcBorders>
              <w:top w:val="nil"/>
              <w:left w:val="single" w:sz="4" w:space="0" w:color="9CA3AF"/>
              <w:bottom w:val="single" w:sz="4" w:space="0" w:color="9CA3AF"/>
              <w:right w:val="single" w:sz="4" w:space="0" w:color="9CA3AF"/>
            </w:tcBorders>
            <w:shd w:val="clear" w:color="auto" w:fill="auto"/>
            <w:hideMark/>
          </w:tcPr>
          <w:p w14:paraId="66367AC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310970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E7EE1F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4B0060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26F7C1E"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C2DDAB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62C933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2718A5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77800E1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2.5.16</w:t>
            </w:r>
          </w:p>
        </w:tc>
        <w:tc>
          <w:tcPr>
            <w:tcW w:w="1007" w:type="dxa"/>
            <w:tcBorders>
              <w:top w:val="nil"/>
              <w:left w:val="nil"/>
              <w:bottom w:val="single" w:sz="4" w:space="0" w:color="9CA3AF"/>
              <w:right w:val="single" w:sz="4" w:space="0" w:color="9CA3AF"/>
            </w:tcBorders>
            <w:shd w:val="clear" w:color="F1F5F9" w:fill="ECFDF5"/>
            <w:hideMark/>
          </w:tcPr>
          <w:p w14:paraId="06A8FDDF" w14:textId="53C458A8"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Përditësimi i programeve të trajnimit me zhvillime të reja teknologjike, bazuar në nevojave të identifikuara dhe zhvillim trajnimeve për sigurimin dhe ekzaminimin e vendngjarjes, përfshirë modulet mbi pajisjet e reja, dokumentimin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parandalimin e kontaminimit dhe integritetin e provave.</w:t>
            </w:r>
          </w:p>
        </w:tc>
        <w:tc>
          <w:tcPr>
            <w:tcW w:w="524" w:type="dxa"/>
            <w:tcBorders>
              <w:top w:val="nil"/>
              <w:left w:val="nil"/>
              <w:bottom w:val="single" w:sz="4" w:space="0" w:color="9CA3AF"/>
              <w:right w:val="single" w:sz="4" w:space="0" w:color="9CA3AF"/>
            </w:tcBorders>
            <w:shd w:val="clear" w:color="auto" w:fill="auto"/>
            <w:hideMark/>
          </w:tcPr>
          <w:p w14:paraId="1C1FF70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2.5.16</w:t>
            </w:r>
          </w:p>
        </w:tc>
        <w:tc>
          <w:tcPr>
            <w:tcW w:w="1307" w:type="dxa"/>
            <w:tcBorders>
              <w:top w:val="nil"/>
              <w:left w:val="nil"/>
              <w:bottom w:val="single" w:sz="4" w:space="0" w:color="9CA3AF"/>
              <w:right w:val="single" w:sz="4" w:space="0" w:color="9CA3AF"/>
            </w:tcBorders>
            <w:shd w:val="clear" w:color="auto" w:fill="auto"/>
            <w:hideMark/>
          </w:tcPr>
          <w:p w14:paraId="1153B489" w14:textId="02257E9B"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Integrimi, në kurrikulat e trajnimit, i pajisjeve të reja, i mjeteve të dokumentimit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 teknikave të parandalimit të kontaminimit dhe moduleve të integritetit të provave.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sesioneve praktike të trajnimit mbi sigurimin dhe ekzaminimin e vendngjarjes, duke përdorur metodologji të përditësuara.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341B712"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nil"/>
              <w:bottom w:val="single" w:sz="4" w:space="0" w:color="auto"/>
              <w:right w:val="nil"/>
            </w:tcBorders>
            <w:shd w:val="clear" w:color="000000" w:fill="FFFFFF"/>
            <w:vAlign w:val="center"/>
            <w:hideMark/>
          </w:tcPr>
          <w:p w14:paraId="1B191C6F"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Shkencore/Akademia e Sigurisë</w:t>
            </w:r>
          </w:p>
        </w:tc>
        <w:tc>
          <w:tcPr>
            <w:tcW w:w="966" w:type="dxa"/>
            <w:tcBorders>
              <w:top w:val="nil"/>
              <w:left w:val="single" w:sz="4" w:space="0" w:color="auto"/>
              <w:bottom w:val="single" w:sz="4" w:space="0" w:color="auto"/>
              <w:right w:val="single" w:sz="4" w:space="0" w:color="auto"/>
            </w:tcBorders>
            <w:shd w:val="clear" w:color="000000" w:fill="FFFFFF"/>
            <w:vAlign w:val="center"/>
            <w:hideMark/>
          </w:tcPr>
          <w:p w14:paraId="2D64A192"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0897305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B25317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CE7C29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220768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0765EA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9F986E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4B93D5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7173CC6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0275B7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2.5.17</w:t>
            </w:r>
          </w:p>
        </w:tc>
        <w:tc>
          <w:tcPr>
            <w:tcW w:w="1007" w:type="dxa"/>
            <w:tcBorders>
              <w:top w:val="nil"/>
              <w:left w:val="nil"/>
              <w:bottom w:val="single" w:sz="4" w:space="0" w:color="9CA3AF"/>
              <w:right w:val="single" w:sz="4" w:space="0" w:color="9CA3AF"/>
            </w:tcBorders>
            <w:shd w:val="clear" w:color="F1F5F9" w:fill="ECFDF5"/>
            <w:hideMark/>
          </w:tcPr>
          <w:p w14:paraId="7917384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Rishikimi dhe përditësimi i programit fillestar dhe të vazhdueshëm të trajnimit për oficerët e policisë gjyqësore, përfshirë modulet mbi koordinimin efektiv me ekspertët kriminalistë, trajtimin dhe referimin e provave, kërkimin dhe interpretimin e ekspertizave dhe paraqitjen në sallën e gjyqit të konstatimeve kriminalistike.</w:t>
            </w:r>
          </w:p>
        </w:tc>
        <w:tc>
          <w:tcPr>
            <w:tcW w:w="524" w:type="dxa"/>
            <w:tcBorders>
              <w:top w:val="nil"/>
              <w:left w:val="nil"/>
              <w:bottom w:val="single" w:sz="4" w:space="0" w:color="9CA3AF"/>
              <w:right w:val="single" w:sz="4" w:space="0" w:color="9CA3AF"/>
            </w:tcBorders>
            <w:shd w:val="clear" w:color="auto" w:fill="auto"/>
            <w:hideMark/>
          </w:tcPr>
          <w:p w14:paraId="0AD631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2.5.17</w:t>
            </w:r>
          </w:p>
        </w:tc>
        <w:tc>
          <w:tcPr>
            <w:tcW w:w="1307" w:type="dxa"/>
            <w:tcBorders>
              <w:top w:val="nil"/>
              <w:left w:val="nil"/>
              <w:bottom w:val="single" w:sz="4" w:space="0" w:color="9CA3AF"/>
              <w:right w:val="single" w:sz="4" w:space="0" w:color="9CA3AF"/>
            </w:tcBorders>
            <w:shd w:val="clear" w:color="auto" w:fill="auto"/>
            <w:hideMark/>
          </w:tcPr>
          <w:p w14:paraId="562ECC3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Përditësimi i moduleve të trajnimit për oficerët e policisë gjyqësore, mbi koordinimin efektiv me ekspertët kriminalistë, trajtimin e provave dhe procedurat e referimit.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trajnimit mbi kërkimin, interpretimin dhe paraqitjen e ekzaminimeve kriminalistike në gjykatë për të forcuar fuqinë provuese.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5C5D210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nil"/>
              <w:bottom w:val="single" w:sz="4" w:space="0" w:color="auto"/>
              <w:right w:val="nil"/>
            </w:tcBorders>
            <w:shd w:val="clear" w:color="000000" w:fill="FFFFFF"/>
            <w:vAlign w:val="center"/>
            <w:hideMark/>
          </w:tcPr>
          <w:p w14:paraId="7BC8516B"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Shkencore/Akademia e Sigurisë</w:t>
            </w:r>
          </w:p>
        </w:tc>
        <w:tc>
          <w:tcPr>
            <w:tcW w:w="966" w:type="dxa"/>
            <w:tcBorders>
              <w:top w:val="nil"/>
              <w:left w:val="single" w:sz="4" w:space="0" w:color="auto"/>
              <w:bottom w:val="single" w:sz="4" w:space="0" w:color="auto"/>
              <w:right w:val="single" w:sz="4" w:space="0" w:color="auto"/>
            </w:tcBorders>
            <w:shd w:val="clear" w:color="000000" w:fill="FFFFFF"/>
            <w:vAlign w:val="center"/>
            <w:hideMark/>
          </w:tcPr>
          <w:p w14:paraId="4EE8743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46BEABF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BD7B14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CB860A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861F1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DCAFC88"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81AC20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593573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4084F74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480F17A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2.5.18</w:t>
            </w:r>
          </w:p>
        </w:tc>
        <w:tc>
          <w:tcPr>
            <w:tcW w:w="1007" w:type="dxa"/>
            <w:tcBorders>
              <w:top w:val="nil"/>
              <w:left w:val="nil"/>
              <w:bottom w:val="single" w:sz="4" w:space="0" w:color="9CA3AF"/>
              <w:right w:val="single" w:sz="4" w:space="0" w:color="9CA3AF"/>
            </w:tcBorders>
            <w:shd w:val="clear" w:color="F1F5F9" w:fill="ECFDF5"/>
            <w:hideMark/>
          </w:tcPr>
          <w:p w14:paraId="060BA96E" w14:textId="5B78469E"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kapaciteteve teknike dhe profesionale për kryerjen e ekzaminimeve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përfshirë përmes personelit të specializuar, mjeteve moderne kriminalistike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metodologjive të standardizuara dhe trajnimit të vazhdueshëm për të mbështetur hetimet që përfshijnë pajisjet elektronike, provat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dhe gjurmët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 komplekse.</w:t>
            </w:r>
          </w:p>
        </w:tc>
        <w:tc>
          <w:tcPr>
            <w:tcW w:w="524" w:type="dxa"/>
            <w:tcBorders>
              <w:top w:val="nil"/>
              <w:left w:val="nil"/>
              <w:bottom w:val="single" w:sz="4" w:space="0" w:color="9CA3AF"/>
              <w:right w:val="single" w:sz="4" w:space="0" w:color="9CA3AF"/>
            </w:tcBorders>
            <w:shd w:val="clear" w:color="auto" w:fill="auto"/>
            <w:hideMark/>
          </w:tcPr>
          <w:p w14:paraId="086F9E2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2.5.18</w:t>
            </w:r>
          </w:p>
        </w:tc>
        <w:tc>
          <w:tcPr>
            <w:tcW w:w="1307" w:type="dxa"/>
            <w:tcBorders>
              <w:top w:val="nil"/>
              <w:left w:val="nil"/>
              <w:bottom w:val="single" w:sz="4" w:space="0" w:color="9CA3AF"/>
              <w:right w:val="single" w:sz="4" w:space="0" w:color="9CA3AF"/>
            </w:tcBorders>
            <w:shd w:val="clear" w:color="auto" w:fill="auto"/>
            <w:hideMark/>
          </w:tcPr>
          <w:p w14:paraId="3D140D8C" w14:textId="3BF4C626"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personelit të specializuar dhe prokurimi i mjeteve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moderne të kriminalistikës, për të mbështetur ekzaminimet e pajisjeve elektronike, provave </w:t>
            </w:r>
            <w:r w:rsidR="008F549F" w:rsidRPr="002128A6">
              <w:rPr>
                <w:rFonts w:ascii="Garamond" w:eastAsia="Times New Roman" w:hAnsi="Garamond" w:cs="Times New Roman"/>
                <w:i/>
                <w:iCs/>
                <w:kern w:val="0"/>
                <w:sz w:val="8"/>
                <w:szCs w:val="8"/>
                <w14:ligatures w14:val="none"/>
              </w:rPr>
              <w:t>online</w:t>
            </w:r>
            <w:r w:rsidRPr="002128A6">
              <w:rPr>
                <w:rFonts w:ascii="Garamond" w:eastAsia="Times New Roman" w:hAnsi="Garamond" w:cs="Times New Roman"/>
                <w:kern w:val="0"/>
                <w:sz w:val="8"/>
                <w:szCs w:val="8"/>
                <w14:ligatures w14:val="none"/>
              </w:rPr>
              <w:t xml:space="preserve"> dhe gjurmëve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xml:space="preserve">e komplekse.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Zbatimi i metodologjive të standardizuara dhe trajnimit të vazhdueshëm për të siguruar produkte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 kriminalistike të cilësisë së lartë.</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45588E9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91604AS</w:t>
            </w:r>
          </w:p>
        </w:tc>
        <w:tc>
          <w:tcPr>
            <w:tcW w:w="914" w:type="dxa"/>
            <w:tcBorders>
              <w:top w:val="nil"/>
              <w:left w:val="nil"/>
              <w:bottom w:val="single" w:sz="4" w:space="0" w:color="auto"/>
              <w:right w:val="single" w:sz="4" w:space="0" w:color="auto"/>
            </w:tcBorders>
            <w:shd w:val="clear" w:color="auto" w:fill="auto"/>
            <w:vAlign w:val="center"/>
            <w:hideMark/>
          </w:tcPr>
          <w:p w14:paraId="71635C2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Shtetit/Instituti i Policisë Shkencore </w:t>
            </w:r>
          </w:p>
        </w:tc>
        <w:tc>
          <w:tcPr>
            <w:tcW w:w="966" w:type="dxa"/>
            <w:tcBorders>
              <w:top w:val="nil"/>
              <w:left w:val="nil"/>
              <w:bottom w:val="single" w:sz="4" w:space="0" w:color="auto"/>
              <w:right w:val="single" w:sz="4" w:space="0" w:color="auto"/>
            </w:tcBorders>
            <w:shd w:val="clear" w:color="auto" w:fill="auto"/>
            <w:vAlign w:val="center"/>
            <w:hideMark/>
          </w:tcPr>
          <w:p w14:paraId="0BD2EC1C"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FFA</w:t>
            </w:r>
          </w:p>
        </w:tc>
        <w:tc>
          <w:tcPr>
            <w:tcW w:w="439" w:type="dxa"/>
            <w:tcBorders>
              <w:top w:val="nil"/>
              <w:left w:val="single" w:sz="4" w:space="0" w:color="9CA3AF"/>
              <w:bottom w:val="single" w:sz="4" w:space="0" w:color="9CA3AF"/>
              <w:right w:val="single" w:sz="4" w:space="0" w:color="9CA3AF"/>
            </w:tcBorders>
            <w:shd w:val="clear" w:color="auto" w:fill="auto"/>
            <w:hideMark/>
          </w:tcPr>
          <w:p w14:paraId="35B89A9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60FFB2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E22247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EDEA0C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7BF04A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F46F2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FD402E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w:t>
            </w:r>
          </w:p>
        </w:tc>
        <w:tc>
          <w:tcPr>
            <w:tcW w:w="867" w:type="dxa"/>
            <w:tcBorders>
              <w:top w:val="nil"/>
              <w:left w:val="nil"/>
              <w:bottom w:val="single" w:sz="4" w:space="0" w:color="9CA3AF"/>
              <w:right w:val="single" w:sz="4" w:space="0" w:color="9CA3AF"/>
            </w:tcBorders>
            <w:shd w:val="clear" w:color="F1F5F9" w:fill="ECFDF5"/>
            <w:hideMark/>
          </w:tcPr>
          <w:p w14:paraId="037F750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Shërbime kriminalistike të akredituara dhe të cilësisë së lartë, të cilat garantojnë integritetin, besueshmërinë dhe pranueshmërinë e provave.</w:t>
            </w:r>
          </w:p>
        </w:tc>
        <w:tc>
          <w:tcPr>
            <w:tcW w:w="517" w:type="dxa"/>
            <w:tcBorders>
              <w:top w:val="nil"/>
              <w:left w:val="nil"/>
              <w:bottom w:val="single" w:sz="4" w:space="0" w:color="9CA3AF"/>
              <w:right w:val="single" w:sz="4" w:space="0" w:color="9CA3AF"/>
            </w:tcBorders>
            <w:shd w:val="clear" w:color="F1F5F9" w:fill="ECFDF5"/>
            <w:hideMark/>
          </w:tcPr>
          <w:p w14:paraId="4BB8D6E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2.5.19</w:t>
            </w:r>
          </w:p>
        </w:tc>
        <w:tc>
          <w:tcPr>
            <w:tcW w:w="1007" w:type="dxa"/>
            <w:tcBorders>
              <w:top w:val="nil"/>
              <w:left w:val="nil"/>
              <w:bottom w:val="single" w:sz="4" w:space="0" w:color="9CA3AF"/>
              <w:right w:val="single" w:sz="4" w:space="0" w:color="9CA3AF"/>
            </w:tcBorders>
            <w:shd w:val="clear" w:color="F1F5F9" w:fill="ECFDF5"/>
            <w:hideMark/>
          </w:tcPr>
          <w:p w14:paraId="0D19E59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dhe shpërndarja e një udhëzuesi që përditësohet çdo vit, mbi paketimin dhe ruajtjen e provave fizike, problematikat e afateve, si dhe rishikimi i strategjisë për çështjet kriminalistike dhe protokolleve të marrjes në dorëzim, me qëllim që të sigurohet trajtim konsistent i provave dhe forcim i pranueshmërisë dhe besueshmërisë së rezultateve kriminalistike.</w:t>
            </w:r>
          </w:p>
        </w:tc>
        <w:tc>
          <w:tcPr>
            <w:tcW w:w="524" w:type="dxa"/>
            <w:tcBorders>
              <w:top w:val="nil"/>
              <w:left w:val="nil"/>
              <w:bottom w:val="single" w:sz="4" w:space="0" w:color="9CA3AF"/>
              <w:right w:val="single" w:sz="4" w:space="0" w:color="9CA3AF"/>
            </w:tcBorders>
            <w:shd w:val="clear" w:color="auto" w:fill="auto"/>
            <w:hideMark/>
          </w:tcPr>
          <w:p w14:paraId="358A959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2.5.19</w:t>
            </w:r>
          </w:p>
        </w:tc>
        <w:tc>
          <w:tcPr>
            <w:tcW w:w="1307" w:type="dxa"/>
            <w:tcBorders>
              <w:top w:val="nil"/>
              <w:left w:val="nil"/>
              <w:bottom w:val="single" w:sz="4" w:space="0" w:color="9CA3AF"/>
              <w:right w:val="single" w:sz="4" w:space="0" w:color="9CA3AF"/>
            </w:tcBorders>
            <w:shd w:val="clear" w:color="auto" w:fill="auto"/>
            <w:hideMark/>
          </w:tcPr>
          <w:p w14:paraId="209AC99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dhe përditësimi i një udhëzuesi vjetor mbi paketimin, ruajtjen dhe trajtimin e provave fizike, përfshirë problematikat e afateve dhe protokollet e marrjes në dorëzim.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Shpërndarja e udhëzuesit te të gjitha institucionet përkatëse dhe kryerja e trajnimit për të siguruar zbatim konsistent dhe pranueshmëri të përmirësuar të provave kriminalistike.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D34244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nil"/>
              <w:bottom w:val="single" w:sz="4" w:space="0" w:color="auto"/>
              <w:right w:val="nil"/>
            </w:tcBorders>
            <w:shd w:val="clear" w:color="000000" w:fill="FFFFFF"/>
            <w:vAlign w:val="center"/>
            <w:hideMark/>
          </w:tcPr>
          <w:p w14:paraId="0460BF1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Shtetit/Instituti i Policisë Shkencore</w:t>
            </w:r>
          </w:p>
        </w:tc>
        <w:tc>
          <w:tcPr>
            <w:tcW w:w="966" w:type="dxa"/>
            <w:tcBorders>
              <w:top w:val="nil"/>
              <w:left w:val="single" w:sz="4" w:space="0" w:color="auto"/>
              <w:bottom w:val="single" w:sz="4" w:space="0" w:color="auto"/>
              <w:right w:val="single" w:sz="4" w:space="0" w:color="auto"/>
            </w:tcBorders>
            <w:shd w:val="clear" w:color="000000" w:fill="FFFFFF"/>
            <w:vAlign w:val="center"/>
            <w:hideMark/>
          </w:tcPr>
          <w:p w14:paraId="0E90972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Drejtësisë/Instituti i Mjekësisë Ligjore; FFA</w:t>
            </w:r>
          </w:p>
        </w:tc>
        <w:tc>
          <w:tcPr>
            <w:tcW w:w="439" w:type="dxa"/>
            <w:tcBorders>
              <w:top w:val="nil"/>
              <w:left w:val="single" w:sz="4" w:space="0" w:color="9CA3AF"/>
              <w:bottom w:val="single" w:sz="4" w:space="0" w:color="9CA3AF"/>
              <w:right w:val="single" w:sz="4" w:space="0" w:color="9CA3AF"/>
            </w:tcBorders>
            <w:shd w:val="clear" w:color="auto" w:fill="auto"/>
            <w:hideMark/>
          </w:tcPr>
          <w:p w14:paraId="5C04527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CDBA2A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0FAAB5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B8C12E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488BC08"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3621ADD4"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2.5</w:t>
            </w:r>
          </w:p>
        </w:tc>
        <w:tc>
          <w:tcPr>
            <w:tcW w:w="649" w:type="dxa"/>
            <w:tcBorders>
              <w:top w:val="nil"/>
              <w:left w:val="nil"/>
              <w:bottom w:val="nil"/>
              <w:right w:val="nil"/>
            </w:tcBorders>
            <w:shd w:val="clear" w:color="FDEADA" w:fill="FEF3C7"/>
            <w:noWrap/>
            <w:vAlign w:val="bottom"/>
            <w:hideMark/>
          </w:tcPr>
          <w:p w14:paraId="4516809F"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0B512F1A"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0A47B3AB"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4CA2529A"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2.6 — Rritja e efektivitetit në gjurmimin, sekuestrim, konfiskimin dhe ripërdorimin e aseteve, duke hequr sistematikisht të ardhurat kriminale dhe duke i riinvestuar për dobi publike.</w:t>
            </w:r>
          </w:p>
        </w:tc>
      </w:tr>
      <w:tr w:rsidR="00F54824" w:rsidRPr="002128A6" w14:paraId="2489C5AB"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7BC452C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35A97EB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single" w:sz="4" w:space="0" w:color="9CA3AF"/>
              <w:left w:val="nil"/>
              <w:bottom w:val="single" w:sz="4" w:space="0" w:color="9CA3AF"/>
              <w:right w:val="single" w:sz="4" w:space="0" w:color="9CA3AF"/>
            </w:tcBorders>
            <w:shd w:val="clear" w:color="F1F5F9" w:fill="ECFDF5"/>
            <w:hideMark/>
          </w:tcPr>
          <w:p w14:paraId="426E9F8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në gjurmimin, sekuestrimin, konfiskimin dhe ripërdorimin e aseteve, duke hequr sistematikisht të ardhurat kriminale dhe duke i riinvestuar për dobi publike.</w:t>
            </w:r>
          </w:p>
        </w:tc>
        <w:tc>
          <w:tcPr>
            <w:tcW w:w="517" w:type="dxa"/>
            <w:tcBorders>
              <w:top w:val="single" w:sz="4" w:space="0" w:color="9CA3AF"/>
              <w:left w:val="nil"/>
              <w:bottom w:val="single" w:sz="4" w:space="0" w:color="9CA3AF"/>
              <w:right w:val="single" w:sz="4" w:space="0" w:color="9CA3AF"/>
            </w:tcBorders>
            <w:shd w:val="clear" w:color="F1F5F9" w:fill="ECFDF5"/>
            <w:hideMark/>
          </w:tcPr>
          <w:p w14:paraId="28EAB33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4EEB2A0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Miratimi i akteve nënligjore për zbatimin e Ligjit nr. 44/2025 “Për Zyrën e Rikuperimit të Aseteve, duke përcaktuar organizimin e brendshëm, mandatet, flukset e punës dhe procedurat e bashkëpunimit të Zyrës së Rikuperimit të Asetev, me qëllim përcaktimin e përgjegjësive të qarta operacionale dhe performancës efektive të funksioneve të gjurmimit dhe rikuperimit të aseteve.</w:t>
            </w:r>
          </w:p>
        </w:tc>
        <w:tc>
          <w:tcPr>
            <w:tcW w:w="524" w:type="dxa"/>
            <w:tcBorders>
              <w:top w:val="single" w:sz="4" w:space="0" w:color="9CA3AF"/>
              <w:left w:val="nil"/>
              <w:bottom w:val="single" w:sz="4" w:space="0" w:color="9CA3AF"/>
              <w:right w:val="single" w:sz="4" w:space="0" w:color="9CA3AF"/>
            </w:tcBorders>
            <w:shd w:val="clear" w:color="auto" w:fill="auto"/>
            <w:hideMark/>
          </w:tcPr>
          <w:p w14:paraId="2EB7A2C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2.6.1</w:t>
            </w:r>
          </w:p>
        </w:tc>
        <w:tc>
          <w:tcPr>
            <w:tcW w:w="1307" w:type="dxa"/>
            <w:tcBorders>
              <w:top w:val="single" w:sz="4" w:space="0" w:color="9CA3AF"/>
              <w:left w:val="nil"/>
              <w:bottom w:val="single" w:sz="4" w:space="0" w:color="9CA3AF"/>
              <w:right w:val="single" w:sz="4" w:space="0" w:color="9CA3AF"/>
            </w:tcBorders>
            <w:shd w:val="clear" w:color="auto" w:fill="auto"/>
            <w:hideMark/>
          </w:tcPr>
          <w:p w14:paraId="55ECCFD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konsultimi dhe miratimi i të gjitha akteve nënligjore që kërkohen për ta bërë ZRA-në plotësisht funksionale, përfshirë organizimin e brendshëm, mandatet, flukset e punës dhe procedurat e bashkëpunimit me organet hetimore dhe të prokurorisë.</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Hartimi i manualeve operacionale të detajuara dhe i diagramit të fluksit të punës për gjurmimin e aseteve, shkëmbimin e informacionit, prioritizimin e çështjeve dhe koordinimin me partnerët kombëtarë dhe ndërkombëtarë.</w:t>
            </w:r>
          </w:p>
        </w:tc>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F18C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single" w:sz="4" w:space="0" w:color="auto"/>
              <w:left w:val="nil"/>
              <w:bottom w:val="single" w:sz="4" w:space="0" w:color="auto"/>
              <w:right w:val="single" w:sz="4" w:space="0" w:color="auto"/>
            </w:tcBorders>
            <w:shd w:val="clear" w:color="000000" w:fill="FFFFFF"/>
            <w:vAlign w:val="center"/>
            <w:hideMark/>
          </w:tcPr>
          <w:p w14:paraId="0795FBFC"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single" w:sz="4" w:space="0" w:color="auto"/>
              <w:left w:val="nil"/>
              <w:bottom w:val="single" w:sz="4" w:space="0" w:color="auto"/>
              <w:right w:val="nil"/>
            </w:tcBorders>
            <w:shd w:val="clear" w:color="000000" w:fill="FFFFFF"/>
            <w:vAlign w:val="center"/>
            <w:hideMark/>
          </w:tcPr>
          <w:p w14:paraId="1FF0B1D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Punëve të Brendshme </w:t>
            </w:r>
          </w:p>
        </w:tc>
        <w:tc>
          <w:tcPr>
            <w:tcW w:w="439" w:type="dxa"/>
            <w:tcBorders>
              <w:top w:val="single" w:sz="4" w:space="0" w:color="9CA3AF"/>
              <w:left w:val="single" w:sz="4" w:space="0" w:color="9CA3AF"/>
              <w:bottom w:val="single" w:sz="4" w:space="0" w:color="9CA3AF"/>
              <w:right w:val="single" w:sz="4" w:space="0" w:color="9CA3AF"/>
            </w:tcBorders>
            <w:shd w:val="clear" w:color="auto" w:fill="auto"/>
            <w:hideMark/>
          </w:tcPr>
          <w:p w14:paraId="6FE4316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2048B05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649" w:type="dxa"/>
            <w:tcBorders>
              <w:top w:val="single" w:sz="4" w:space="0" w:color="9CA3AF"/>
              <w:left w:val="nil"/>
              <w:bottom w:val="single" w:sz="4" w:space="0" w:color="9CA3AF"/>
              <w:right w:val="single" w:sz="4" w:space="0" w:color="9CA3AF"/>
            </w:tcBorders>
            <w:shd w:val="clear" w:color="auto" w:fill="auto"/>
            <w:hideMark/>
          </w:tcPr>
          <w:p w14:paraId="1FA0A9D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71A00FC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6E132E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471078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F3A16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nil"/>
              <w:left w:val="nil"/>
              <w:bottom w:val="single" w:sz="4" w:space="0" w:color="9CA3AF"/>
              <w:right w:val="single" w:sz="4" w:space="0" w:color="9CA3AF"/>
            </w:tcBorders>
            <w:shd w:val="clear" w:color="F1F5F9" w:fill="ECFDF5"/>
            <w:hideMark/>
          </w:tcPr>
          <w:p w14:paraId="4290BF0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në gjurmimin, sekuestrimin, konfiskimin dhe ripërdorimin e aseteve, duke hequr sistematikisht të ardhurat kriminale dhe duke i riinvestuar për dobi publike.</w:t>
            </w:r>
          </w:p>
        </w:tc>
        <w:tc>
          <w:tcPr>
            <w:tcW w:w="517" w:type="dxa"/>
            <w:tcBorders>
              <w:top w:val="nil"/>
              <w:left w:val="nil"/>
              <w:bottom w:val="single" w:sz="4" w:space="0" w:color="9CA3AF"/>
              <w:right w:val="single" w:sz="4" w:space="0" w:color="9CA3AF"/>
            </w:tcBorders>
            <w:shd w:val="clear" w:color="F1F5F9" w:fill="ECFDF5"/>
            <w:hideMark/>
          </w:tcPr>
          <w:p w14:paraId="45FE391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2.6.2</w:t>
            </w:r>
          </w:p>
        </w:tc>
        <w:tc>
          <w:tcPr>
            <w:tcW w:w="1007" w:type="dxa"/>
            <w:tcBorders>
              <w:top w:val="nil"/>
              <w:left w:val="nil"/>
              <w:bottom w:val="single" w:sz="4" w:space="0" w:color="9CA3AF"/>
              <w:right w:val="single" w:sz="4" w:space="0" w:color="9CA3AF"/>
            </w:tcBorders>
            <w:shd w:val="clear" w:color="F1F5F9" w:fill="ECFDF5"/>
            <w:hideMark/>
          </w:tcPr>
          <w:p w14:paraId="44E0888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Pjesëmarrja aktive e Zyrës së Rikuperimit të Aseteve në shkëmbimin e informacionit brenda Rrjetit Evropian të Zyrave të Rikuperimit të Aseteve, rrjetit CARIN, si dhe në platformat rajonale/ndërkombëtare të rikuperimit të aseteve, përfshirë përmes përgjigjeve në kohë ndaj kërkesave, shpërndarjes proaktive të informacionit, pjesëmarrjes në takime dhe trajnime, dhe ndjekjes së koordinuar të veprimeve të gjurmimit të aseteve.</w:t>
            </w:r>
          </w:p>
        </w:tc>
        <w:tc>
          <w:tcPr>
            <w:tcW w:w="524" w:type="dxa"/>
            <w:tcBorders>
              <w:top w:val="nil"/>
              <w:left w:val="nil"/>
              <w:bottom w:val="single" w:sz="4" w:space="0" w:color="9CA3AF"/>
              <w:right w:val="single" w:sz="4" w:space="0" w:color="9CA3AF"/>
            </w:tcBorders>
            <w:shd w:val="clear" w:color="auto" w:fill="auto"/>
            <w:hideMark/>
          </w:tcPr>
          <w:p w14:paraId="74E3BD0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2.6.2</w:t>
            </w:r>
          </w:p>
        </w:tc>
        <w:tc>
          <w:tcPr>
            <w:tcW w:w="1307" w:type="dxa"/>
            <w:tcBorders>
              <w:top w:val="nil"/>
              <w:left w:val="nil"/>
              <w:bottom w:val="single" w:sz="4" w:space="0" w:color="9CA3AF"/>
              <w:right w:val="single" w:sz="4" w:space="0" w:color="9CA3AF"/>
            </w:tcBorders>
            <w:shd w:val="clear" w:color="auto" w:fill="auto"/>
            <w:hideMark/>
          </w:tcPr>
          <w:p w14:paraId="5FD873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Pjesëmarrje e strukturuar në Rrjetin e BE-së të Zyrave të Rikuperimit të Aseteve, CARIN dhe platformat rajonale, përmes përgjigjeve në kohë ndaj kërkesave, shpërndarjes proaktive të inteligjencës dhe pjesëmarrjes në takime dhe trajnime.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Koordinimi i veprimeve ndjekëse ndaj kërkesave ndërkufitare për gjurmim të aseteve, duke kryer verifikim të shpejtë, shkëmbim informacioni dhe mbështetje operacionale për ngrirje dhe konfiskim.</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DC6EB3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nil"/>
              <w:bottom w:val="single" w:sz="4" w:space="0" w:color="auto"/>
              <w:right w:val="single" w:sz="4" w:space="0" w:color="auto"/>
            </w:tcBorders>
            <w:shd w:val="clear" w:color="000000" w:fill="FFFFFF"/>
            <w:vAlign w:val="center"/>
            <w:hideMark/>
          </w:tcPr>
          <w:p w14:paraId="2339CE4F"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auto"/>
              <w:right w:val="nil"/>
            </w:tcBorders>
            <w:shd w:val="clear" w:color="000000" w:fill="FFFFFF"/>
            <w:vAlign w:val="center"/>
            <w:hideMark/>
          </w:tcPr>
          <w:p w14:paraId="7BAC6AD0"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Punëve të Brendshme </w:t>
            </w:r>
          </w:p>
        </w:tc>
        <w:tc>
          <w:tcPr>
            <w:tcW w:w="439" w:type="dxa"/>
            <w:tcBorders>
              <w:top w:val="nil"/>
              <w:left w:val="single" w:sz="4" w:space="0" w:color="9CA3AF"/>
              <w:bottom w:val="single" w:sz="4" w:space="0" w:color="9CA3AF"/>
              <w:right w:val="single" w:sz="4" w:space="0" w:color="9CA3AF"/>
            </w:tcBorders>
            <w:shd w:val="clear" w:color="auto" w:fill="auto"/>
            <w:hideMark/>
          </w:tcPr>
          <w:p w14:paraId="208A9DA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0CF05A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119C14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41864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6CA1546"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869CE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E2DCD5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nil"/>
              <w:left w:val="nil"/>
              <w:bottom w:val="single" w:sz="4" w:space="0" w:color="9CA3AF"/>
              <w:right w:val="single" w:sz="4" w:space="0" w:color="9CA3AF"/>
            </w:tcBorders>
            <w:shd w:val="clear" w:color="F1F5F9" w:fill="ECFDF5"/>
            <w:hideMark/>
          </w:tcPr>
          <w:p w14:paraId="7E2AFC1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në gjurmimin, sekuestrimin, konfiskimin dhe ripërdorimin e aseteve, duke hequr sistematikisht të ardhurat kriminale dhe duke i riinvestuar për dobi publike.</w:t>
            </w:r>
          </w:p>
        </w:tc>
        <w:tc>
          <w:tcPr>
            <w:tcW w:w="517" w:type="dxa"/>
            <w:tcBorders>
              <w:top w:val="nil"/>
              <w:left w:val="nil"/>
              <w:bottom w:val="single" w:sz="4" w:space="0" w:color="9CA3AF"/>
              <w:right w:val="single" w:sz="4" w:space="0" w:color="9CA3AF"/>
            </w:tcBorders>
            <w:shd w:val="clear" w:color="F1F5F9" w:fill="ECFDF5"/>
            <w:hideMark/>
          </w:tcPr>
          <w:p w14:paraId="5215B96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2.6.3</w:t>
            </w:r>
          </w:p>
        </w:tc>
        <w:tc>
          <w:tcPr>
            <w:tcW w:w="1007" w:type="dxa"/>
            <w:tcBorders>
              <w:top w:val="nil"/>
              <w:left w:val="nil"/>
              <w:bottom w:val="single" w:sz="4" w:space="0" w:color="9CA3AF"/>
              <w:right w:val="single" w:sz="4" w:space="0" w:color="9CA3AF"/>
            </w:tcBorders>
            <w:shd w:val="clear" w:color="F1F5F9" w:fill="ECFDF5"/>
            <w:hideMark/>
          </w:tcPr>
          <w:p w14:paraId="26765C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administrimit dhe ripërdorimit të aseteve të konfiskuara, me qëllim ruajtjen dhe/ose rritjen së vlere për ripërdorim të mëvonshëm ripërdorimit, duke forcuar planifikimin e menaxhimit të aseteve, masat e mirëmbajtjes dhe mbrojtjes, praktikat e vlerësimit dhe vendimmarrjen transparente mbi asgjësimin ose ripërdorimin.</w:t>
            </w:r>
          </w:p>
        </w:tc>
        <w:tc>
          <w:tcPr>
            <w:tcW w:w="524" w:type="dxa"/>
            <w:tcBorders>
              <w:top w:val="nil"/>
              <w:left w:val="nil"/>
              <w:bottom w:val="single" w:sz="4" w:space="0" w:color="9CA3AF"/>
              <w:right w:val="single" w:sz="4" w:space="0" w:color="9CA3AF"/>
            </w:tcBorders>
            <w:shd w:val="clear" w:color="auto" w:fill="auto"/>
            <w:hideMark/>
          </w:tcPr>
          <w:p w14:paraId="25DA351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2.6.3</w:t>
            </w:r>
          </w:p>
        </w:tc>
        <w:tc>
          <w:tcPr>
            <w:tcW w:w="1307" w:type="dxa"/>
            <w:tcBorders>
              <w:top w:val="nil"/>
              <w:left w:val="nil"/>
              <w:bottom w:val="single" w:sz="4" w:space="0" w:color="9CA3AF"/>
              <w:right w:val="single" w:sz="4" w:space="0" w:color="9CA3AF"/>
            </w:tcBorders>
            <w:shd w:val="clear" w:color="auto" w:fill="auto"/>
            <w:hideMark/>
          </w:tcPr>
          <w:p w14:paraId="3F32C13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planifikimit të menaxhimit të aseteve, duke miratuar praktika të standardizuara vlerësimi, protokolle mirëmbajtjeje dhe masa mbrojtëse për ruajtjen apo rritjen e vlerës së aseteve,.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Miratimi i procedurave transparente vendimmarrës për asgjësimin dhe ripërdorimit, përfshirë kërkesat e dokumentimit, vlerësimet e riskut dhe mekanizmat e raportimit publik.</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192C28DD"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91601AG</w:t>
            </w:r>
          </w:p>
        </w:tc>
        <w:tc>
          <w:tcPr>
            <w:tcW w:w="914" w:type="dxa"/>
            <w:tcBorders>
              <w:top w:val="nil"/>
              <w:left w:val="nil"/>
              <w:bottom w:val="single" w:sz="4" w:space="0" w:color="auto"/>
              <w:right w:val="single" w:sz="4" w:space="0" w:color="auto"/>
            </w:tcBorders>
            <w:shd w:val="clear" w:color="000000" w:fill="FFFFFF"/>
            <w:vAlign w:val="center"/>
            <w:hideMark/>
          </w:tcPr>
          <w:p w14:paraId="4E2868BF"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Agjencia e Administrimit të Pasurive të Sekuestruara dhe Konfiskuara </w:t>
            </w:r>
          </w:p>
        </w:tc>
        <w:tc>
          <w:tcPr>
            <w:tcW w:w="966" w:type="dxa"/>
            <w:tcBorders>
              <w:top w:val="nil"/>
              <w:left w:val="nil"/>
              <w:bottom w:val="single" w:sz="4" w:space="0" w:color="auto"/>
              <w:right w:val="nil"/>
            </w:tcBorders>
            <w:shd w:val="clear" w:color="000000" w:fill="FFFFFF"/>
            <w:vAlign w:val="center"/>
            <w:hideMark/>
          </w:tcPr>
          <w:p w14:paraId="7F4745A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Punëve të Brendshme </w:t>
            </w:r>
          </w:p>
        </w:tc>
        <w:tc>
          <w:tcPr>
            <w:tcW w:w="439" w:type="dxa"/>
            <w:tcBorders>
              <w:top w:val="nil"/>
              <w:left w:val="single" w:sz="4" w:space="0" w:color="9CA3AF"/>
              <w:bottom w:val="single" w:sz="4" w:space="0" w:color="9CA3AF"/>
              <w:right w:val="single" w:sz="4" w:space="0" w:color="9CA3AF"/>
            </w:tcBorders>
            <w:shd w:val="clear" w:color="auto" w:fill="auto"/>
            <w:hideMark/>
          </w:tcPr>
          <w:p w14:paraId="6C47B81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66EFD0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AEE2DA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17,500,000</w:t>
            </w:r>
          </w:p>
        </w:tc>
        <w:tc>
          <w:tcPr>
            <w:tcW w:w="1352" w:type="dxa"/>
            <w:tcBorders>
              <w:top w:val="nil"/>
              <w:left w:val="nil"/>
              <w:bottom w:val="single" w:sz="4" w:space="0" w:color="9CA3AF"/>
              <w:right w:val="single" w:sz="4" w:space="0" w:color="9CA3AF"/>
            </w:tcBorders>
            <w:shd w:val="clear" w:color="auto" w:fill="auto"/>
            <w:hideMark/>
          </w:tcPr>
          <w:p w14:paraId="5E59D19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AAPSK GIZ, Partneri i Shqipërisë</w:t>
            </w:r>
          </w:p>
        </w:tc>
      </w:tr>
      <w:tr w:rsidR="00F54824" w:rsidRPr="002128A6" w14:paraId="47E1F67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19EF79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A8D61E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nil"/>
              <w:left w:val="nil"/>
              <w:bottom w:val="single" w:sz="4" w:space="0" w:color="9CA3AF"/>
              <w:right w:val="single" w:sz="4" w:space="0" w:color="9CA3AF"/>
            </w:tcBorders>
            <w:shd w:val="clear" w:color="F1F5F9" w:fill="ECFDF5"/>
            <w:hideMark/>
          </w:tcPr>
          <w:p w14:paraId="2CF1B3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efektivitetit në gjurmimin, sekuestrimin, konfiskimin dhe ripërdorimin e aseteve, duke hequr </w:t>
            </w:r>
            <w:r w:rsidRPr="002128A6">
              <w:rPr>
                <w:rFonts w:ascii="Garamond" w:eastAsia="Times New Roman" w:hAnsi="Garamond" w:cs="Times New Roman"/>
                <w:kern w:val="0"/>
                <w:sz w:val="8"/>
                <w:szCs w:val="8"/>
                <w14:ligatures w14:val="none"/>
              </w:rPr>
              <w:lastRenderedPageBreak/>
              <w:t>sistematikisht të ardhurat kriminale dhe duke i riinvestuar për dobi publike.</w:t>
            </w:r>
          </w:p>
        </w:tc>
        <w:tc>
          <w:tcPr>
            <w:tcW w:w="517" w:type="dxa"/>
            <w:tcBorders>
              <w:top w:val="nil"/>
              <w:left w:val="nil"/>
              <w:bottom w:val="single" w:sz="4" w:space="0" w:color="9CA3AF"/>
              <w:right w:val="single" w:sz="4" w:space="0" w:color="9CA3AF"/>
            </w:tcBorders>
            <w:shd w:val="clear" w:color="F1F5F9" w:fill="ECFDF5"/>
            <w:hideMark/>
          </w:tcPr>
          <w:p w14:paraId="4F6E369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2.6.4</w:t>
            </w:r>
          </w:p>
        </w:tc>
        <w:tc>
          <w:tcPr>
            <w:tcW w:w="1007" w:type="dxa"/>
            <w:tcBorders>
              <w:top w:val="nil"/>
              <w:left w:val="nil"/>
              <w:bottom w:val="single" w:sz="4" w:space="0" w:color="9CA3AF"/>
              <w:right w:val="single" w:sz="4" w:space="0" w:color="9CA3AF"/>
            </w:tcBorders>
            <w:shd w:val="clear" w:color="F1F5F9" w:fill="ECFDF5"/>
            <w:hideMark/>
          </w:tcPr>
          <w:p w14:paraId="5230FBE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Ripërdorimi i aseteve të konfiskuara, përfshirë ripërdorimin social, brenda 6 muajve nga konfiskimi, duke thjeshtuar procedurat </w:t>
            </w:r>
            <w:r w:rsidRPr="002128A6">
              <w:rPr>
                <w:rFonts w:ascii="Garamond" w:eastAsia="Times New Roman" w:hAnsi="Garamond" w:cs="Times New Roman"/>
                <w:kern w:val="0"/>
                <w:sz w:val="8"/>
                <w:szCs w:val="8"/>
                <w14:ligatures w14:val="none"/>
              </w:rPr>
              <w:lastRenderedPageBreak/>
              <w:t>administrative, duke standardizuar rrugët e vendimmarrjes dhe duke forcuar koordinimin midis Agjencisë për Administrimin e Pasurive të Sekuestruara dhe të Konfiskuara dhe institucioneve përfituese përkatëse.</w:t>
            </w:r>
          </w:p>
        </w:tc>
        <w:tc>
          <w:tcPr>
            <w:tcW w:w="524" w:type="dxa"/>
            <w:tcBorders>
              <w:top w:val="nil"/>
              <w:left w:val="nil"/>
              <w:bottom w:val="single" w:sz="4" w:space="0" w:color="9CA3AF"/>
              <w:right w:val="single" w:sz="4" w:space="0" w:color="9CA3AF"/>
            </w:tcBorders>
            <w:shd w:val="clear" w:color="auto" w:fill="auto"/>
            <w:hideMark/>
          </w:tcPr>
          <w:p w14:paraId="3C3D67F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2.6.4</w:t>
            </w:r>
          </w:p>
        </w:tc>
        <w:tc>
          <w:tcPr>
            <w:tcW w:w="1307" w:type="dxa"/>
            <w:tcBorders>
              <w:top w:val="nil"/>
              <w:left w:val="nil"/>
              <w:bottom w:val="single" w:sz="4" w:space="0" w:color="9CA3AF"/>
              <w:right w:val="single" w:sz="4" w:space="0" w:color="9CA3AF"/>
            </w:tcBorders>
            <w:shd w:val="clear" w:color="auto" w:fill="auto"/>
            <w:hideMark/>
          </w:tcPr>
          <w:p w14:paraId="1ACB849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Harmonizimi i procedurave administrative dhe i praktikës së vendimmarrjes, në mënyrë që asetet e konfiskuara të transferohen për ripërdorim social brenda gjashtë muajve, duke u dhënë </w:t>
            </w:r>
            <w:r w:rsidRPr="002128A6">
              <w:rPr>
                <w:rFonts w:ascii="Garamond" w:eastAsia="Times New Roman" w:hAnsi="Garamond" w:cs="Times New Roman"/>
                <w:kern w:val="0"/>
                <w:sz w:val="8"/>
                <w:szCs w:val="8"/>
                <w14:ligatures w14:val="none"/>
              </w:rPr>
              <w:lastRenderedPageBreak/>
              <w:t>prioritet projekteve në dobi të viktimave, të rinjve dhe rezistencës komunitare.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koordinimit midis AAPSK-së dhe institucioneve përfituese, për të garantuar dorëzim në kohë, përgatitjen e planeve të ripërdorimit dhe monitorimin e zbatimit.</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CAB793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91601AG</w:t>
            </w:r>
          </w:p>
        </w:tc>
        <w:tc>
          <w:tcPr>
            <w:tcW w:w="914" w:type="dxa"/>
            <w:tcBorders>
              <w:top w:val="nil"/>
              <w:left w:val="nil"/>
              <w:bottom w:val="single" w:sz="4" w:space="0" w:color="auto"/>
              <w:right w:val="single" w:sz="4" w:space="0" w:color="auto"/>
            </w:tcBorders>
            <w:shd w:val="clear" w:color="000000" w:fill="FFFFFF"/>
            <w:vAlign w:val="center"/>
            <w:hideMark/>
          </w:tcPr>
          <w:p w14:paraId="29560853"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Agjencia e Administrimit të Pasurive të Sekuestruara dhe Konfiskuara </w:t>
            </w:r>
          </w:p>
        </w:tc>
        <w:tc>
          <w:tcPr>
            <w:tcW w:w="966" w:type="dxa"/>
            <w:tcBorders>
              <w:top w:val="nil"/>
              <w:left w:val="nil"/>
              <w:bottom w:val="single" w:sz="4" w:space="0" w:color="auto"/>
              <w:right w:val="nil"/>
            </w:tcBorders>
            <w:shd w:val="clear" w:color="000000" w:fill="FFFFFF"/>
            <w:vAlign w:val="center"/>
            <w:hideMark/>
          </w:tcPr>
          <w:p w14:paraId="648A2DB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Punëve të Brendshme/Policia e Shtetit </w:t>
            </w:r>
          </w:p>
        </w:tc>
        <w:tc>
          <w:tcPr>
            <w:tcW w:w="439" w:type="dxa"/>
            <w:tcBorders>
              <w:top w:val="nil"/>
              <w:left w:val="single" w:sz="4" w:space="0" w:color="9CA3AF"/>
              <w:bottom w:val="single" w:sz="4" w:space="0" w:color="9CA3AF"/>
              <w:right w:val="single" w:sz="4" w:space="0" w:color="9CA3AF"/>
            </w:tcBorders>
            <w:shd w:val="clear" w:color="auto" w:fill="auto"/>
            <w:hideMark/>
          </w:tcPr>
          <w:p w14:paraId="2408D65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212BF8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44ACA0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3,000,000,000</w:t>
            </w:r>
          </w:p>
        </w:tc>
        <w:tc>
          <w:tcPr>
            <w:tcW w:w="1352" w:type="dxa"/>
            <w:tcBorders>
              <w:top w:val="nil"/>
              <w:left w:val="nil"/>
              <w:bottom w:val="single" w:sz="4" w:space="0" w:color="9CA3AF"/>
              <w:right w:val="single" w:sz="4" w:space="0" w:color="9CA3AF"/>
            </w:tcBorders>
            <w:shd w:val="clear" w:color="auto" w:fill="auto"/>
            <w:hideMark/>
          </w:tcPr>
          <w:p w14:paraId="64345D0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AAPSK GIZ, Partneri i Shqipërisë</w:t>
            </w:r>
          </w:p>
        </w:tc>
      </w:tr>
      <w:tr w:rsidR="00F54824" w:rsidRPr="002128A6" w14:paraId="2F39B92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2B9F98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3A7250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nil"/>
              <w:left w:val="nil"/>
              <w:bottom w:val="single" w:sz="4" w:space="0" w:color="9CA3AF"/>
              <w:right w:val="single" w:sz="4" w:space="0" w:color="9CA3AF"/>
            </w:tcBorders>
            <w:shd w:val="clear" w:color="F1F5F9" w:fill="ECFDF5"/>
            <w:hideMark/>
          </w:tcPr>
          <w:p w14:paraId="6E4588F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në gjurmimin, sekuestrimin, konfiskimin dhe ripërdorimin e aseteve, duke hequr sistematikisht të ardhurat kriminale dhe duke i riinvestuar për dobi publike.</w:t>
            </w:r>
          </w:p>
        </w:tc>
        <w:tc>
          <w:tcPr>
            <w:tcW w:w="517" w:type="dxa"/>
            <w:tcBorders>
              <w:top w:val="nil"/>
              <w:left w:val="nil"/>
              <w:bottom w:val="single" w:sz="4" w:space="0" w:color="9CA3AF"/>
              <w:right w:val="single" w:sz="4" w:space="0" w:color="9CA3AF"/>
            </w:tcBorders>
            <w:shd w:val="clear" w:color="F1F5F9" w:fill="ECFDF5"/>
            <w:hideMark/>
          </w:tcPr>
          <w:p w14:paraId="7CA34CF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2.6.5</w:t>
            </w:r>
          </w:p>
        </w:tc>
        <w:tc>
          <w:tcPr>
            <w:tcW w:w="1007" w:type="dxa"/>
            <w:tcBorders>
              <w:top w:val="nil"/>
              <w:left w:val="nil"/>
              <w:bottom w:val="single" w:sz="4" w:space="0" w:color="9CA3AF"/>
              <w:right w:val="single" w:sz="4" w:space="0" w:color="9CA3AF"/>
            </w:tcBorders>
            <w:shd w:val="clear" w:color="F1F5F9" w:fill="ECFDF5"/>
            <w:hideMark/>
          </w:tcPr>
          <w:p w14:paraId="1FCC30E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dhe harmonizimi i praktikave për revokimin e aseteve kriminale, përmes hartimit të metodologjive të përbashkëta, qasjeve konsistente provuese dhe procedurale dhe punës së koordinuar të çështjeve midis autoriteteve përgjegjëse, me qëllim rritjen e sigurisë juridike dhe efektivitetit të rezultateve të rikuperimit të aseteve.</w:t>
            </w:r>
          </w:p>
        </w:tc>
        <w:tc>
          <w:tcPr>
            <w:tcW w:w="524" w:type="dxa"/>
            <w:tcBorders>
              <w:top w:val="nil"/>
              <w:left w:val="nil"/>
              <w:bottom w:val="single" w:sz="4" w:space="0" w:color="9CA3AF"/>
              <w:right w:val="single" w:sz="4" w:space="0" w:color="9CA3AF"/>
            </w:tcBorders>
            <w:shd w:val="clear" w:color="auto" w:fill="auto"/>
            <w:hideMark/>
          </w:tcPr>
          <w:p w14:paraId="777C653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2.6.5</w:t>
            </w:r>
          </w:p>
        </w:tc>
        <w:tc>
          <w:tcPr>
            <w:tcW w:w="1307" w:type="dxa"/>
            <w:tcBorders>
              <w:top w:val="nil"/>
              <w:left w:val="nil"/>
              <w:bottom w:val="single" w:sz="4" w:space="0" w:color="9CA3AF"/>
              <w:right w:val="single" w:sz="4" w:space="0" w:color="9CA3AF"/>
            </w:tcBorders>
            <w:shd w:val="clear" w:color="auto" w:fill="auto"/>
            <w:hideMark/>
          </w:tcPr>
          <w:p w14:paraId="7A44706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i metodologjive të përbashkëta dhe standardeve provuese për revokimin e aseteve kriminale, duke siguruar zbatim konsistent në institucionet hetimore, të prokurorisë dhe gjyqësore.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Mbajtja e takimeve të koordinuara për trajtimin e çështjeve, me qëllim që të harmonizohen qasjet procedurale, të reduktohen pasiguria juridike dhe të rritet efektiviteti i rezultateve të rikuperimit të aseteve.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2E9A30A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91601AG</w:t>
            </w:r>
          </w:p>
        </w:tc>
        <w:tc>
          <w:tcPr>
            <w:tcW w:w="914" w:type="dxa"/>
            <w:tcBorders>
              <w:top w:val="nil"/>
              <w:left w:val="nil"/>
              <w:bottom w:val="single" w:sz="4" w:space="0" w:color="auto"/>
              <w:right w:val="single" w:sz="4" w:space="0" w:color="auto"/>
            </w:tcBorders>
            <w:shd w:val="clear" w:color="000000" w:fill="FFFFFF"/>
            <w:vAlign w:val="center"/>
            <w:hideMark/>
          </w:tcPr>
          <w:p w14:paraId="6C49913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Agjencia e Administrimit të Pasurive të Sekuestruara dhe Konfiskuara </w:t>
            </w:r>
          </w:p>
        </w:tc>
        <w:tc>
          <w:tcPr>
            <w:tcW w:w="966" w:type="dxa"/>
            <w:tcBorders>
              <w:top w:val="nil"/>
              <w:left w:val="nil"/>
              <w:bottom w:val="single" w:sz="4" w:space="0" w:color="auto"/>
              <w:right w:val="single" w:sz="4" w:space="0" w:color="auto"/>
            </w:tcBorders>
            <w:shd w:val="clear" w:color="000000" w:fill="FFFFFF"/>
            <w:vAlign w:val="center"/>
            <w:hideMark/>
          </w:tcPr>
          <w:p w14:paraId="5D55ED29"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439" w:type="dxa"/>
            <w:tcBorders>
              <w:top w:val="nil"/>
              <w:left w:val="single" w:sz="4" w:space="0" w:color="9CA3AF"/>
              <w:bottom w:val="single" w:sz="4" w:space="0" w:color="9CA3AF"/>
              <w:right w:val="single" w:sz="4" w:space="0" w:color="9CA3AF"/>
            </w:tcBorders>
            <w:shd w:val="clear" w:color="auto" w:fill="auto"/>
            <w:hideMark/>
          </w:tcPr>
          <w:p w14:paraId="44781EA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F3BCD1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437096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E7164E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AMSCA</w:t>
            </w:r>
          </w:p>
        </w:tc>
      </w:tr>
      <w:tr w:rsidR="00F54824" w:rsidRPr="002128A6" w14:paraId="57237D57"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480097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EF727D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nil"/>
              <w:left w:val="nil"/>
              <w:bottom w:val="single" w:sz="4" w:space="0" w:color="9CA3AF"/>
              <w:right w:val="single" w:sz="4" w:space="0" w:color="9CA3AF"/>
            </w:tcBorders>
            <w:shd w:val="clear" w:color="F1F5F9" w:fill="ECFDF5"/>
            <w:hideMark/>
          </w:tcPr>
          <w:p w14:paraId="7ABF48C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në gjurmimin, sekuestrimin, konfiskimin dhe ripërdorimin e aseteve, duke hequr sistematikisht të ardhurat kriminale dhe duke i riinvestuar për dobi publike.</w:t>
            </w:r>
          </w:p>
        </w:tc>
        <w:tc>
          <w:tcPr>
            <w:tcW w:w="517" w:type="dxa"/>
            <w:tcBorders>
              <w:top w:val="nil"/>
              <w:left w:val="nil"/>
              <w:bottom w:val="single" w:sz="4" w:space="0" w:color="9CA3AF"/>
              <w:right w:val="single" w:sz="4" w:space="0" w:color="9CA3AF"/>
            </w:tcBorders>
            <w:shd w:val="clear" w:color="F1F5F9" w:fill="ECFDF5"/>
            <w:hideMark/>
          </w:tcPr>
          <w:p w14:paraId="1756E7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2.6.6</w:t>
            </w:r>
          </w:p>
        </w:tc>
        <w:tc>
          <w:tcPr>
            <w:tcW w:w="1007" w:type="dxa"/>
            <w:tcBorders>
              <w:top w:val="nil"/>
              <w:left w:val="nil"/>
              <w:bottom w:val="single" w:sz="4" w:space="0" w:color="9CA3AF"/>
              <w:right w:val="single" w:sz="4" w:space="0" w:color="9CA3AF"/>
            </w:tcBorders>
            <w:shd w:val="clear" w:color="F1F5F9" w:fill="ECFDF5"/>
            <w:hideMark/>
          </w:tcPr>
          <w:p w14:paraId="7BEB07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Identifikimi i nevojave për rritjen e kapaciteteve logjistike për të mbështetur administrimin e aseteve të sekuestruara dhe të konfiskuara, duke vlerësuar strukturat e ruajtjes, modalitetet e sigurisë, pajisjet e transportit dhe trajtimit, nevojat TI dhe kërkesat për burime njerëzore, si dhe duke shndërruar boshllëqet e identifikuara në veprime përmirësimi të prioritizuara.</w:t>
            </w:r>
          </w:p>
        </w:tc>
        <w:tc>
          <w:tcPr>
            <w:tcW w:w="524" w:type="dxa"/>
            <w:tcBorders>
              <w:top w:val="nil"/>
              <w:left w:val="nil"/>
              <w:bottom w:val="single" w:sz="4" w:space="0" w:color="9CA3AF"/>
              <w:right w:val="single" w:sz="4" w:space="0" w:color="9CA3AF"/>
            </w:tcBorders>
            <w:shd w:val="clear" w:color="auto" w:fill="auto"/>
            <w:hideMark/>
          </w:tcPr>
          <w:p w14:paraId="0283576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2.6.6</w:t>
            </w:r>
          </w:p>
        </w:tc>
        <w:tc>
          <w:tcPr>
            <w:tcW w:w="1307" w:type="dxa"/>
            <w:tcBorders>
              <w:top w:val="nil"/>
              <w:left w:val="nil"/>
              <w:bottom w:val="single" w:sz="4" w:space="0" w:color="9CA3AF"/>
              <w:right w:val="single" w:sz="4" w:space="0" w:color="9CA3AF"/>
            </w:tcBorders>
            <w:shd w:val="clear" w:color="auto" w:fill="auto"/>
            <w:hideMark/>
          </w:tcPr>
          <w:p w14:paraId="03BC18C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një vlerësimi gjithëpërfshirës të strukturave të ruajtjes, modalitetevetë sigurisë, pajisjeve të transportit dhe trajtimit, sistemeve TI dhe nevojave për burime njerëzore, për menaxhimin e aseteve të sekuestruara dhe të konfiskuara.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Shndërrimi i boshllëqeve të identifikuara në veprime përmirësimi të prioritizuara, përfshirë planet e prokurimit, modernizimet e infrastrukturës dhe përshtatjet në personel.</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620E68E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91601AH</w:t>
            </w:r>
          </w:p>
        </w:tc>
        <w:tc>
          <w:tcPr>
            <w:tcW w:w="914" w:type="dxa"/>
            <w:tcBorders>
              <w:top w:val="nil"/>
              <w:left w:val="nil"/>
              <w:bottom w:val="single" w:sz="4" w:space="0" w:color="auto"/>
              <w:right w:val="single" w:sz="4" w:space="0" w:color="auto"/>
            </w:tcBorders>
            <w:shd w:val="clear" w:color="000000" w:fill="FFFFFF"/>
            <w:vAlign w:val="center"/>
            <w:hideMark/>
          </w:tcPr>
          <w:p w14:paraId="5DDB26A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Agjencia e Administrimit të Pasurive të Sekuestruara dhe Konfiskuara </w:t>
            </w:r>
          </w:p>
        </w:tc>
        <w:tc>
          <w:tcPr>
            <w:tcW w:w="966" w:type="dxa"/>
            <w:tcBorders>
              <w:top w:val="nil"/>
              <w:left w:val="nil"/>
              <w:bottom w:val="single" w:sz="4" w:space="0" w:color="auto"/>
              <w:right w:val="single" w:sz="4" w:space="0" w:color="auto"/>
            </w:tcBorders>
            <w:shd w:val="clear" w:color="000000" w:fill="FFFFFF"/>
            <w:vAlign w:val="center"/>
            <w:hideMark/>
          </w:tcPr>
          <w:p w14:paraId="3B66767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single" w:sz="4" w:space="0" w:color="9CA3AF"/>
              <w:bottom w:val="single" w:sz="4" w:space="0" w:color="9CA3AF"/>
              <w:right w:val="single" w:sz="4" w:space="0" w:color="9CA3AF"/>
            </w:tcBorders>
            <w:shd w:val="clear" w:color="auto" w:fill="auto"/>
            <w:hideMark/>
          </w:tcPr>
          <w:p w14:paraId="64DB63A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F8A24B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1AFDC7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2A9CCD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18E6DB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078C566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DDBD1E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nil"/>
              <w:left w:val="nil"/>
              <w:bottom w:val="single" w:sz="4" w:space="0" w:color="9CA3AF"/>
              <w:right w:val="single" w:sz="4" w:space="0" w:color="9CA3AF"/>
            </w:tcBorders>
            <w:shd w:val="clear" w:color="F1F5F9" w:fill="ECFDF5"/>
            <w:hideMark/>
          </w:tcPr>
          <w:p w14:paraId="650FBFD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në gjurmimin, sekuestrimin, konfiskimin dhe ripërdorimin e aseteve, duke hequr sistematikisht të ardhurat kriminale dhe duke i riinvestuar për dobi publike.</w:t>
            </w:r>
          </w:p>
        </w:tc>
        <w:tc>
          <w:tcPr>
            <w:tcW w:w="517" w:type="dxa"/>
            <w:tcBorders>
              <w:top w:val="nil"/>
              <w:left w:val="nil"/>
              <w:bottom w:val="single" w:sz="4" w:space="0" w:color="9CA3AF"/>
              <w:right w:val="single" w:sz="4" w:space="0" w:color="9CA3AF"/>
            </w:tcBorders>
            <w:shd w:val="clear" w:color="F1F5F9" w:fill="ECFDF5"/>
            <w:hideMark/>
          </w:tcPr>
          <w:p w14:paraId="283F74C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2.6.7</w:t>
            </w:r>
          </w:p>
        </w:tc>
        <w:tc>
          <w:tcPr>
            <w:tcW w:w="1007" w:type="dxa"/>
            <w:tcBorders>
              <w:top w:val="nil"/>
              <w:left w:val="nil"/>
              <w:bottom w:val="single" w:sz="4" w:space="0" w:color="9CA3AF"/>
              <w:right w:val="single" w:sz="4" w:space="0" w:color="9CA3AF"/>
            </w:tcBorders>
            <w:shd w:val="clear" w:color="F1F5F9" w:fill="ECFDF5"/>
            <w:hideMark/>
          </w:tcPr>
          <w:p w14:paraId="257079D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dhe miratimi i procedurave standarde operacionale të përbashkëta, ndërmjet Agjencisë për Administrimin e Pasurive të Sekuestruara dhe të Konfiskuara dhe Zyrës për Rikuperimin e Aseteve (ZRA), përfshirë procedurat për referimin, shkëmbimin e informacionit, kërkesat për gjurmimin e aseteve, përditësimet e regjistrit të aseteve, si dhe masat e koordinuara për ruajtjen, administrimin dhe ripërdorimin.</w:t>
            </w:r>
          </w:p>
        </w:tc>
        <w:tc>
          <w:tcPr>
            <w:tcW w:w="524" w:type="dxa"/>
            <w:tcBorders>
              <w:top w:val="nil"/>
              <w:left w:val="nil"/>
              <w:bottom w:val="single" w:sz="4" w:space="0" w:color="9CA3AF"/>
              <w:right w:val="single" w:sz="4" w:space="0" w:color="9CA3AF"/>
            </w:tcBorders>
            <w:shd w:val="clear" w:color="auto" w:fill="auto"/>
            <w:hideMark/>
          </w:tcPr>
          <w:p w14:paraId="66FF351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2.6.7</w:t>
            </w:r>
          </w:p>
        </w:tc>
        <w:tc>
          <w:tcPr>
            <w:tcW w:w="1307" w:type="dxa"/>
            <w:tcBorders>
              <w:top w:val="nil"/>
              <w:left w:val="nil"/>
              <w:bottom w:val="single" w:sz="4" w:space="0" w:color="9CA3AF"/>
              <w:right w:val="single" w:sz="4" w:space="0" w:color="9CA3AF"/>
            </w:tcBorders>
            <w:shd w:val="clear" w:color="auto" w:fill="auto"/>
            <w:hideMark/>
          </w:tcPr>
          <w:p w14:paraId="67A4F3E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i procedurave standarde operacionale të përbashkëta që mbulojnë referimet, shkëmbimin e informacionit, kërkesat e gjurmimit të aseteve, përditësimet e regjistrit të aseteve dhe veprimet e koordinuara të mbrojtjes dhe ripërdorimit.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Trajnimi i personelit të të dyjave institucioneve mbi procedurat standarde operacionale, për të garantuar zbatim konsistent dhe bashkëpunim efikas në flukset e punës gjatë rikuperimit të aseteve.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3E2E778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91601AG</w:t>
            </w:r>
          </w:p>
        </w:tc>
        <w:tc>
          <w:tcPr>
            <w:tcW w:w="914" w:type="dxa"/>
            <w:tcBorders>
              <w:top w:val="nil"/>
              <w:left w:val="nil"/>
              <w:bottom w:val="single" w:sz="4" w:space="0" w:color="auto"/>
              <w:right w:val="single" w:sz="4" w:space="0" w:color="auto"/>
            </w:tcBorders>
            <w:shd w:val="clear" w:color="000000" w:fill="FFFFFF"/>
            <w:vAlign w:val="center"/>
            <w:hideMark/>
          </w:tcPr>
          <w:p w14:paraId="17AC6B3C"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Agjencia e Administrimit të Pasurive të Sekuestruara dhe Konfiskuara </w:t>
            </w:r>
          </w:p>
        </w:tc>
        <w:tc>
          <w:tcPr>
            <w:tcW w:w="966" w:type="dxa"/>
            <w:tcBorders>
              <w:top w:val="nil"/>
              <w:left w:val="nil"/>
              <w:bottom w:val="single" w:sz="4" w:space="0" w:color="auto"/>
              <w:right w:val="single" w:sz="4" w:space="0" w:color="auto"/>
            </w:tcBorders>
            <w:shd w:val="clear" w:color="000000" w:fill="FFFFFF"/>
            <w:vAlign w:val="center"/>
            <w:hideMark/>
          </w:tcPr>
          <w:p w14:paraId="4C9A9392"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Punëve të Brendshme/Policia e Shtetit </w:t>
            </w:r>
          </w:p>
        </w:tc>
        <w:tc>
          <w:tcPr>
            <w:tcW w:w="439" w:type="dxa"/>
            <w:tcBorders>
              <w:top w:val="nil"/>
              <w:left w:val="single" w:sz="4" w:space="0" w:color="9CA3AF"/>
              <w:bottom w:val="single" w:sz="4" w:space="0" w:color="9CA3AF"/>
              <w:right w:val="single" w:sz="4" w:space="0" w:color="9CA3AF"/>
            </w:tcBorders>
            <w:shd w:val="clear" w:color="auto" w:fill="auto"/>
            <w:hideMark/>
          </w:tcPr>
          <w:p w14:paraId="611C196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E07B50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8B885E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9F5461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63596A9"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01305E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4D555C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nil"/>
              <w:left w:val="nil"/>
              <w:bottom w:val="single" w:sz="4" w:space="0" w:color="9CA3AF"/>
              <w:right w:val="single" w:sz="4" w:space="0" w:color="9CA3AF"/>
            </w:tcBorders>
            <w:shd w:val="clear" w:color="F1F5F9" w:fill="ECFDF5"/>
            <w:hideMark/>
          </w:tcPr>
          <w:p w14:paraId="57480F8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në gjurmimin, sekuestrimin, konfiskimin dhe ripërdorimin e aseteve, duke hequr sistematikisht të ardhurat kriminale dhe duke i riinvestuar për dobi publike.</w:t>
            </w:r>
          </w:p>
        </w:tc>
        <w:tc>
          <w:tcPr>
            <w:tcW w:w="517" w:type="dxa"/>
            <w:tcBorders>
              <w:top w:val="nil"/>
              <w:left w:val="nil"/>
              <w:bottom w:val="single" w:sz="4" w:space="0" w:color="9CA3AF"/>
              <w:right w:val="single" w:sz="4" w:space="0" w:color="9CA3AF"/>
            </w:tcBorders>
            <w:shd w:val="clear" w:color="F1F5F9" w:fill="ECFDF5"/>
            <w:hideMark/>
          </w:tcPr>
          <w:p w14:paraId="02897BC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2.6.8</w:t>
            </w:r>
          </w:p>
        </w:tc>
        <w:tc>
          <w:tcPr>
            <w:tcW w:w="1007" w:type="dxa"/>
            <w:tcBorders>
              <w:top w:val="nil"/>
              <w:left w:val="nil"/>
              <w:bottom w:val="single" w:sz="4" w:space="0" w:color="9CA3AF"/>
              <w:right w:val="single" w:sz="4" w:space="0" w:color="9CA3AF"/>
            </w:tcBorders>
            <w:shd w:val="clear" w:color="F1F5F9" w:fill="ECFDF5"/>
            <w:hideMark/>
          </w:tcPr>
          <w:p w14:paraId="6F5E35D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elementeve funksionale të regjistrit elektronik të aseteve të sekuestruara dhe të konfiskuara, me përmirësimin e kontrollit të cilësisë së të dhënave, sigurimin e përditësimeve në kohë, përmirësimin e menaxhimit të aksesit të përdoruesit dhe të auditueshmërisë, duke mundësuar funksionalitetet raportuese dhe analitike në mbështetje të vendimmarrjes për administrimin, asgjësimin dhe ripërdorimin.</w:t>
            </w:r>
          </w:p>
        </w:tc>
        <w:tc>
          <w:tcPr>
            <w:tcW w:w="524" w:type="dxa"/>
            <w:tcBorders>
              <w:top w:val="nil"/>
              <w:left w:val="nil"/>
              <w:bottom w:val="single" w:sz="4" w:space="0" w:color="9CA3AF"/>
              <w:right w:val="single" w:sz="4" w:space="0" w:color="9CA3AF"/>
            </w:tcBorders>
            <w:shd w:val="clear" w:color="auto" w:fill="auto"/>
            <w:hideMark/>
          </w:tcPr>
          <w:p w14:paraId="0C43796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2.6.8</w:t>
            </w:r>
          </w:p>
        </w:tc>
        <w:tc>
          <w:tcPr>
            <w:tcW w:w="1307" w:type="dxa"/>
            <w:tcBorders>
              <w:top w:val="nil"/>
              <w:left w:val="nil"/>
              <w:bottom w:val="single" w:sz="4" w:space="0" w:color="9CA3AF"/>
              <w:right w:val="single" w:sz="4" w:space="0" w:color="9CA3AF"/>
            </w:tcBorders>
            <w:shd w:val="clear" w:color="auto" w:fill="auto"/>
            <w:hideMark/>
          </w:tcPr>
          <w:p w14:paraId="13964E1A" w14:textId="0852A86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Përmirësimi i regjistrit elektronik duke futur kontrolle të cilësisë së të dhënave, mekanizma përditësimi në kohë, rregulla të përmirësuara të menaxhimit të aksesit dhe funksione auditueshmërie.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Zhvillimi i funksionaliteteve të raportimit dhe analitike, për të mbështetur vendimmarrjen</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për administrimin, asgjësimin dhe ripërdorimin social të aseteve të konfiskuara.</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083EE675"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91601AH</w:t>
            </w:r>
          </w:p>
        </w:tc>
        <w:tc>
          <w:tcPr>
            <w:tcW w:w="914" w:type="dxa"/>
            <w:tcBorders>
              <w:top w:val="nil"/>
              <w:left w:val="nil"/>
              <w:bottom w:val="single" w:sz="4" w:space="0" w:color="auto"/>
              <w:right w:val="single" w:sz="4" w:space="0" w:color="auto"/>
            </w:tcBorders>
            <w:shd w:val="clear" w:color="000000" w:fill="FFFFFF"/>
            <w:vAlign w:val="center"/>
            <w:hideMark/>
          </w:tcPr>
          <w:p w14:paraId="701BD404"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Agjencia e Administrimit të Pasurive të Sekuestruara dhe Konfiskuara </w:t>
            </w:r>
          </w:p>
        </w:tc>
        <w:tc>
          <w:tcPr>
            <w:tcW w:w="966" w:type="dxa"/>
            <w:tcBorders>
              <w:top w:val="nil"/>
              <w:left w:val="nil"/>
              <w:bottom w:val="single" w:sz="4" w:space="0" w:color="auto"/>
              <w:right w:val="single" w:sz="4" w:space="0" w:color="auto"/>
            </w:tcBorders>
            <w:shd w:val="clear" w:color="000000" w:fill="FFFFFF"/>
            <w:vAlign w:val="center"/>
            <w:hideMark/>
          </w:tcPr>
          <w:p w14:paraId="76A1A286"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single" w:sz="4" w:space="0" w:color="9CA3AF"/>
              <w:bottom w:val="single" w:sz="4" w:space="0" w:color="9CA3AF"/>
              <w:right w:val="single" w:sz="4" w:space="0" w:color="9CA3AF"/>
            </w:tcBorders>
            <w:shd w:val="clear" w:color="auto" w:fill="auto"/>
            <w:hideMark/>
          </w:tcPr>
          <w:p w14:paraId="31E4DF4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45740C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25BCCE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6D1B5B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GIZ</w:t>
            </w:r>
          </w:p>
        </w:tc>
      </w:tr>
      <w:tr w:rsidR="00F54824" w:rsidRPr="002128A6" w14:paraId="7519D416"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0E18F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83A1F1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w:t>
            </w:r>
          </w:p>
        </w:tc>
        <w:tc>
          <w:tcPr>
            <w:tcW w:w="867" w:type="dxa"/>
            <w:tcBorders>
              <w:top w:val="nil"/>
              <w:left w:val="nil"/>
              <w:bottom w:val="single" w:sz="4" w:space="0" w:color="9CA3AF"/>
              <w:right w:val="single" w:sz="4" w:space="0" w:color="9CA3AF"/>
            </w:tcBorders>
            <w:shd w:val="clear" w:color="F1F5F9" w:fill="ECFDF5"/>
            <w:hideMark/>
          </w:tcPr>
          <w:p w14:paraId="38C7C4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në gjurmimin, sekuestrimin, konfiskimin dhe ripërdorimin e aseteve, duke hequr sistematikisht të ardhurat kriminale dhe duke i riinvestuar për dobi publike.</w:t>
            </w:r>
          </w:p>
        </w:tc>
        <w:tc>
          <w:tcPr>
            <w:tcW w:w="517" w:type="dxa"/>
            <w:tcBorders>
              <w:top w:val="nil"/>
              <w:left w:val="nil"/>
              <w:bottom w:val="single" w:sz="4" w:space="0" w:color="9CA3AF"/>
              <w:right w:val="single" w:sz="4" w:space="0" w:color="9CA3AF"/>
            </w:tcBorders>
            <w:shd w:val="clear" w:color="F1F5F9" w:fill="ECFDF5"/>
            <w:hideMark/>
          </w:tcPr>
          <w:p w14:paraId="62BAA78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2.6.9</w:t>
            </w:r>
          </w:p>
        </w:tc>
        <w:tc>
          <w:tcPr>
            <w:tcW w:w="1007" w:type="dxa"/>
            <w:tcBorders>
              <w:top w:val="nil"/>
              <w:left w:val="nil"/>
              <w:bottom w:val="single" w:sz="4" w:space="0" w:color="9CA3AF"/>
              <w:right w:val="single" w:sz="4" w:space="0" w:color="9CA3AF"/>
            </w:tcBorders>
            <w:shd w:val="clear" w:color="F1F5F9" w:fill="ECFDF5"/>
            <w:hideMark/>
          </w:tcPr>
          <w:p w14:paraId="2DB9EBF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shkëmbimit ndërinstitucional dhe ndërkombëtar të informacionit në fushën e aseteve të sekuestruara, si dhe sigurimi/zgjerimi i aksesit në bazat e të dhënave përkatëse, përmes kanaleve të sigurta, autorizimeve të qarta dhe modaliteteve të ndërveprueshmërisë, me qëllim përmirësimin e gjurmimit, verifikimit, administrimit dhe ripërdorimit të aseteve në kohë.</w:t>
            </w:r>
          </w:p>
        </w:tc>
        <w:tc>
          <w:tcPr>
            <w:tcW w:w="524" w:type="dxa"/>
            <w:tcBorders>
              <w:top w:val="nil"/>
              <w:left w:val="nil"/>
              <w:bottom w:val="single" w:sz="4" w:space="0" w:color="9CA3AF"/>
              <w:right w:val="single" w:sz="4" w:space="0" w:color="9CA3AF"/>
            </w:tcBorders>
            <w:shd w:val="clear" w:color="auto" w:fill="auto"/>
            <w:hideMark/>
          </w:tcPr>
          <w:p w14:paraId="509D46B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2.6.9</w:t>
            </w:r>
          </w:p>
        </w:tc>
        <w:tc>
          <w:tcPr>
            <w:tcW w:w="1307" w:type="dxa"/>
            <w:tcBorders>
              <w:top w:val="nil"/>
              <w:left w:val="nil"/>
              <w:bottom w:val="single" w:sz="4" w:space="0" w:color="9CA3AF"/>
              <w:right w:val="single" w:sz="4" w:space="0" w:color="9CA3AF"/>
            </w:tcBorders>
            <w:shd w:val="clear" w:color="auto" w:fill="auto"/>
            <w:hideMark/>
          </w:tcPr>
          <w:p w14:paraId="3CAF470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Miratimi i kanalave të sigurta dhe i procedurave të qarta të autorizimit për shkëmbimin e informacionit midis organeve hetimore, autoriteteve financiare, AAPSK-së dhe partnerëve ndërkombëtarë.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Përmirësimi i ndërveprueshmërinë midis bazave përkatëse të të dhënave kombëtare dhe ndërkombëtare për të mbështetur gjurmimin, verifikimin, administrimin dhe ripërdorimin në kohë të aseteve.</w:t>
            </w:r>
          </w:p>
        </w:tc>
        <w:tc>
          <w:tcPr>
            <w:tcW w:w="699" w:type="dxa"/>
            <w:tcBorders>
              <w:top w:val="nil"/>
              <w:left w:val="single" w:sz="4" w:space="0" w:color="auto"/>
              <w:bottom w:val="single" w:sz="4" w:space="0" w:color="auto"/>
              <w:right w:val="single" w:sz="4" w:space="0" w:color="auto"/>
            </w:tcBorders>
            <w:shd w:val="clear" w:color="000000" w:fill="FFFFFF"/>
            <w:vAlign w:val="center"/>
            <w:hideMark/>
          </w:tcPr>
          <w:p w14:paraId="2B44C23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91601AG</w:t>
            </w:r>
          </w:p>
        </w:tc>
        <w:tc>
          <w:tcPr>
            <w:tcW w:w="914" w:type="dxa"/>
            <w:tcBorders>
              <w:top w:val="nil"/>
              <w:left w:val="nil"/>
              <w:bottom w:val="single" w:sz="4" w:space="0" w:color="auto"/>
              <w:right w:val="single" w:sz="4" w:space="0" w:color="auto"/>
            </w:tcBorders>
            <w:shd w:val="clear" w:color="000000" w:fill="FFFFFF"/>
            <w:vAlign w:val="center"/>
            <w:hideMark/>
          </w:tcPr>
          <w:p w14:paraId="07DC912E"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Agjencia e Administrimit të Pasurive të Sekuestruara dhe Konfiskuara </w:t>
            </w:r>
          </w:p>
        </w:tc>
        <w:tc>
          <w:tcPr>
            <w:tcW w:w="966" w:type="dxa"/>
            <w:tcBorders>
              <w:top w:val="nil"/>
              <w:left w:val="nil"/>
              <w:bottom w:val="single" w:sz="4" w:space="0" w:color="auto"/>
              <w:right w:val="single" w:sz="4" w:space="0" w:color="auto"/>
            </w:tcBorders>
            <w:shd w:val="clear" w:color="000000" w:fill="FFFFFF"/>
            <w:vAlign w:val="center"/>
            <w:hideMark/>
          </w:tcPr>
          <w:p w14:paraId="33BA3E38" w14:textId="77777777" w:rsidR="00C42826" w:rsidRPr="002128A6" w:rsidRDefault="00C42826" w:rsidP="00C42826">
            <w:pPr>
              <w:spacing w:after="0" w:line="240" w:lineRule="auto"/>
              <w:jc w:val="center"/>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single" w:sz="4" w:space="0" w:color="9CA3AF"/>
              <w:bottom w:val="single" w:sz="4" w:space="0" w:color="9CA3AF"/>
              <w:right w:val="single" w:sz="4" w:space="0" w:color="9CA3AF"/>
            </w:tcBorders>
            <w:shd w:val="clear" w:color="auto" w:fill="auto"/>
            <w:hideMark/>
          </w:tcPr>
          <w:p w14:paraId="0AF1C02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764D7B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2B4F2A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2CEDDA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3AF422D4"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7AEA4554"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2.6</w:t>
            </w:r>
          </w:p>
        </w:tc>
        <w:tc>
          <w:tcPr>
            <w:tcW w:w="649" w:type="dxa"/>
            <w:tcBorders>
              <w:top w:val="nil"/>
              <w:left w:val="nil"/>
              <w:bottom w:val="nil"/>
              <w:right w:val="nil"/>
            </w:tcBorders>
            <w:shd w:val="clear" w:color="FDEADA" w:fill="FEF3C7"/>
            <w:noWrap/>
            <w:vAlign w:val="bottom"/>
            <w:hideMark/>
          </w:tcPr>
          <w:p w14:paraId="087292BE"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3,017,500,000</w:t>
            </w:r>
          </w:p>
        </w:tc>
        <w:tc>
          <w:tcPr>
            <w:tcW w:w="1352" w:type="dxa"/>
            <w:tcBorders>
              <w:top w:val="nil"/>
              <w:left w:val="nil"/>
              <w:bottom w:val="nil"/>
              <w:right w:val="nil"/>
            </w:tcBorders>
            <w:shd w:val="clear" w:color="auto" w:fill="auto"/>
            <w:noWrap/>
            <w:vAlign w:val="bottom"/>
            <w:hideMark/>
          </w:tcPr>
          <w:p w14:paraId="2E7433CE"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7DCB04CC"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42E8F34F"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2.7 — Përmirësimi i matshëm në hetimet dhe ndjekjet penale të udhëheqësve dhe anëtarëve të strukturave të krimit të organizuar, e demonstruar me rritjen e dënimeve të rënda dhe ekzekutimit të vendimeve gjyqësore.</w:t>
            </w:r>
          </w:p>
        </w:tc>
      </w:tr>
      <w:tr w:rsidR="00F54824" w:rsidRPr="002128A6" w14:paraId="4B2A8F8D"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708403E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139700F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single" w:sz="4" w:space="0" w:color="9CA3AF"/>
              <w:left w:val="nil"/>
              <w:bottom w:val="single" w:sz="4" w:space="0" w:color="9CA3AF"/>
              <w:right w:val="single" w:sz="4" w:space="0" w:color="9CA3AF"/>
            </w:tcBorders>
            <w:shd w:val="clear" w:color="F1F5F9" w:fill="ECFDF5"/>
            <w:hideMark/>
          </w:tcPr>
          <w:p w14:paraId="230C35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single" w:sz="4" w:space="0" w:color="9CA3AF"/>
              <w:left w:val="nil"/>
              <w:bottom w:val="single" w:sz="4" w:space="0" w:color="9CA3AF"/>
              <w:right w:val="single" w:sz="4" w:space="0" w:color="9CA3AF"/>
            </w:tcBorders>
            <w:shd w:val="clear" w:color="F1F5F9" w:fill="ECFDF5"/>
            <w:hideMark/>
          </w:tcPr>
          <w:p w14:paraId="265F1E7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2A1F744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Konsolidimi të dhënave statistikore mbi veprat penale të krimit të organizuar, përmes përdorimit të vazhdueshëm të platformës elektronike, duke siguruar hyrje të rregullt të të dhënave, validim, kontroll cilësie dhe raportim analitik për të mbështetur planifikimin operacional dhe vendimmarrjen strategjike.</w:t>
            </w:r>
          </w:p>
        </w:tc>
        <w:tc>
          <w:tcPr>
            <w:tcW w:w="524" w:type="dxa"/>
            <w:tcBorders>
              <w:top w:val="single" w:sz="4" w:space="0" w:color="9CA3AF"/>
              <w:left w:val="nil"/>
              <w:bottom w:val="single" w:sz="4" w:space="0" w:color="9CA3AF"/>
              <w:right w:val="single" w:sz="4" w:space="0" w:color="9CA3AF"/>
            </w:tcBorders>
            <w:shd w:val="clear" w:color="auto" w:fill="auto"/>
            <w:hideMark/>
          </w:tcPr>
          <w:p w14:paraId="13BD57A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w:t>
            </w:r>
          </w:p>
        </w:tc>
        <w:tc>
          <w:tcPr>
            <w:tcW w:w="1307" w:type="dxa"/>
            <w:tcBorders>
              <w:top w:val="single" w:sz="4" w:space="0" w:color="9CA3AF"/>
              <w:left w:val="nil"/>
              <w:bottom w:val="single" w:sz="4" w:space="0" w:color="9CA3AF"/>
              <w:right w:val="single" w:sz="4" w:space="0" w:color="9CA3AF"/>
            </w:tcBorders>
            <w:shd w:val="clear" w:color="auto" w:fill="auto"/>
            <w:hideMark/>
          </w:tcPr>
          <w:p w14:paraId="61D7BB64" w14:textId="02EEDC48"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Sigurimi i hedhjes së rregullt të të dhënave, </w:t>
            </w:r>
            <w:r w:rsidR="002128A6" w:rsidRPr="002128A6">
              <w:rPr>
                <w:rFonts w:ascii="Garamond" w:eastAsia="Times New Roman" w:hAnsi="Garamond" w:cs="Times New Roman"/>
                <w:kern w:val="0"/>
                <w:sz w:val="8"/>
                <w:szCs w:val="8"/>
                <w14:ligatures w14:val="none"/>
              </w:rPr>
              <w:t>certifikim</w:t>
            </w:r>
            <w:r w:rsidRPr="002128A6">
              <w:rPr>
                <w:rFonts w:ascii="Garamond" w:eastAsia="Times New Roman" w:hAnsi="Garamond" w:cs="Times New Roman"/>
                <w:kern w:val="0"/>
                <w:sz w:val="8"/>
                <w:szCs w:val="8"/>
                <w14:ligatures w14:val="none"/>
              </w:rPr>
              <w:t xml:space="preserve"> dhe kontroll të cilësisë në platformën elektronike nga të gjitha strukturat përgjegjëse, duke mundësuar raportim statistikor të saktë dhe në kohë.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Prodhimi i raporteve analitike periodike bazuar në të dhënat e konsoliduara, për të mbështetur planifikimin operacional, vlerësimet e kërcënimeve dhe vendimmarrjen strategjike.</w:t>
            </w:r>
          </w:p>
        </w:tc>
        <w:tc>
          <w:tcPr>
            <w:tcW w:w="699" w:type="dxa"/>
            <w:tcBorders>
              <w:top w:val="single" w:sz="4" w:space="0" w:color="9CA3AF"/>
              <w:left w:val="nil"/>
              <w:bottom w:val="single" w:sz="4" w:space="0" w:color="9CA3AF"/>
              <w:right w:val="single" w:sz="4" w:space="0" w:color="9CA3AF"/>
            </w:tcBorders>
            <w:shd w:val="clear" w:color="auto" w:fill="auto"/>
            <w:hideMark/>
          </w:tcPr>
          <w:p w14:paraId="2C3CC77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91401AA</w:t>
            </w:r>
          </w:p>
        </w:tc>
        <w:tc>
          <w:tcPr>
            <w:tcW w:w="914" w:type="dxa"/>
            <w:tcBorders>
              <w:top w:val="single" w:sz="4" w:space="0" w:color="9CA3AF"/>
              <w:left w:val="nil"/>
              <w:bottom w:val="single" w:sz="4" w:space="0" w:color="9CA3AF"/>
              <w:right w:val="single" w:sz="4" w:space="0" w:color="9CA3AF"/>
            </w:tcBorders>
            <w:shd w:val="clear" w:color="auto" w:fill="auto"/>
            <w:hideMark/>
          </w:tcPr>
          <w:p w14:paraId="32BDF04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Drejtësisë</w:t>
            </w:r>
          </w:p>
        </w:tc>
        <w:tc>
          <w:tcPr>
            <w:tcW w:w="966" w:type="dxa"/>
            <w:tcBorders>
              <w:top w:val="single" w:sz="4" w:space="0" w:color="9CA3AF"/>
              <w:left w:val="nil"/>
              <w:bottom w:val="single" w:sz="4" w:space="0" w:color="9CA3AF"/>
              <w:right w:val="single" w:sz="4" w:space="0" w:color="9CA3AF"/>
            </w:tcBorders>
            <w:shd w:val="clear" w:color="auto" w:fill="auto"/>
            <w:hideMark/>
          </w:tcPr>
          <w:p w14:paraId="3BB7ED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Byroja Kombëtare e Hetimit; Prokuroria e Posaçme; Gjykatat</w:t>
            </w:r>
          </w:p>
        </w:tc>
        <w:tc>
          <w:tcPr>
            <w:tcW w:w="439" w:type="dxa"/>
            <w:tcBorders>
              <w:top w:val="single" w:sz="4" w:space="0" w:color="9CA3AF"/>
              <w:left w:val="nil"/>
              <w:bottom w:val="single" w:sz="4" w:space="0" w:color="9CA3AF"/>
              <w:right w:val="single" w:sz="4" w:space="0" w:color="9CA3AF"/>
            </w:tcBorders>
            <w:shd w:val="clear" w:color="auto" w:fill="auto"/>
            <w:hideMark/>
          </w:tcPr>
          <w:p w14:paraId="1A1563B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419FA83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25062BE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78CF7E3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A9AF6E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AD1E04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095C5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2CBE2B8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1699BC9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2.7.2</w:t>
            </w:r>
          </w:p>
        </w:tc>
        <w:tc>
          <w:tcPr>
            <w:tcW w:w="1007" w:type="dxa"/>
            <w:tcBorders>
              <w:top w:val="nil"/>
              <w:left w:val="nil"/>
              <w:bottom w:val="single" w:sz="4" w:space="0" w:color="9CA3AF"/>
              <w:right w:val="single" w:sz="4" w:space="0" w:color="9CA3AF"/>
            </w:tcBorders>
            <w:shd w:val="clear" w:color="F1F5F9" w:fill="ECFDF5"/>
            <w:hideMark/>
          </w:tcPr>
          <w:p w14:paraId="22E54DD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Bërja efektive e Seksionit të Mbikëqyrjes Parandaluese brenda Byrosë Kombëtare të Hetimit, duke plotësuar personelin dhe procedurat, duke siguruar pajisjet dhe mjetet e përshtatshme operacionale dhe duke miratuar mekanizma të qartë koordinimi me strukturat hetimore dhe të prokurorisë, për mbikëqyrje të ligjshme dhe veprime ndjekëse.</w:t>
            </w:r>
          </w:p>
        </w:tc>
        <w:tc>
          <w:tcPr>
            <w:tcW w:w="524" w:type="dxa"/>
            <w:tcBorders>
              <w:top w:val="nil"/>
              <w:left w:val="nil"/>
              <w:bottom w:val="single" w:sz="4" w:space="0" w:color="9CA3AF"/>
              <w:right w:val="single" w:sz="4" w:space="0" w:color="9CA3AF"/>
            </w:tcBorders>
            <w:shd w:val="clear" w:color="auto" w:fill="auto"/>
            <w:hideMark/>
          </w:tcPr>
          <w:p w14:paraId="51E9030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2.7.2</w:t>
            </w:r>
          </w:p>
        </w:tc>
        <w:tc>
          <w:tcPr>
            <w:tcW w:w="1307" w:type="dxa"/>
            <w:tcBorders>
              <w:top w:val="nil"/>
              <w:left w:val="nil"/>
              <w:bottom w:val="single" w:sz="4" w:space="0" w:color="9CA3AF"/>
              <w:right w:val="single" w:sz="4" w:space="0" w:color="9CA3AF"/>
            </w:tcBorders>
            <w:shd w:val="clear" w:color="auto" w:fill="auto"/>
            <w:hideMark/>
          </w:tcPr>
          <w:p w14:paraId="73262B6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Plotësimi i personelit, procedurave operacionale dhe flukseve të brendshme të punës për Seksionin e Mbikëqyrjes Parandaluese, duke garantuar operacione mbikëqyrjeje të ligjshme dhe efikase.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Pajisja e Seksionit me mjete moderne mbikëqyrjeje dhe miratimi i mekanizmave të qartë të koordinimit me organet hetimore dhe të prokurorisë, për veprime ndjekëse.</w:t>
            </w:r>
          </w:p>
        </w:tc>
        <w:tc>
          <w:tcPr>
            <w:tcW w:w="699" w:type="dxa"/>
            <w:tcBorders>
              <w:top w:val="nil"/>
              <w:left w:val="nil"/>
              <w:bottom w:val="single" w:sz="4" w:space="0" w:color="9CA3AF"/>
              <w:right w:val="single" w:sz="4" w:space="0" w:color="9CA3AF"/>
            </w:tcBorders>
            <w:shd w:val="clear" w:color="auto" w:fill="auto"/>
            <w:hideMark/>
          </w:tcPr>
          <w:p w14:paraId="1A5B5AD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94101AB</w:t>
            </w:r>
          </w:p>
        </w:tc>
        <w:tc>
          <w:tcPr>
            <w:tcW w:w="914" w:type="dxa"/>
            <w:tcBorders>
              <w:top w:val="nil"/>
              <w:left w:val="nil"/>
              <w:bottom w:val="single" w:sz="4" w:space="0" w:color="9CA3AF"/>
              <w:right w:val="single" w:sz="4" w:space="0" w:color="9CA3AF"/>
            </w:tcBorders>
            <w:shd w:val="clear" w:color="auto" w:fill="auto"/>
            <w:hideMark/>
          </w:tcPr>
          <w:p w14:paraId="3DB9D1B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Byroja Kombëtare e Hetimit</w:t>
            </w:r>
          </w:p>
        </w:tc>
        <w:tc>
          <w:tcPr>
            <w:tcW w:w="966" w:type="dxa"/>
            <w:tcBorders>
              <w:top w:val="nil"/>
              <w:left w:val="nil"/>
              <w:bottom w:val="single" w:sz="4" w:space="0" w:color="9CA3AF"/>
              <w:right w:val="single" w:sz="4" w:space="0" w:color="9CA3AF"/>
            </w:tcBorders>
            <w:shd w:val="clear" w:color="auto" w:fill="auto"/>
            <w:hideMark/>
          </w:tcPr>
          <w:p w14:paraId="1CAE1B0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 Struktura e Posaçme Kundër Korrupsionit dhe Krimit të Organizuar;</w:t>
            </w:r>
          </w:p>
        </w:tc>
        <w:tc>
          <w:tcPr>
            <w:tcW w:w="439" w:type="dxa"/>
            <w:tcBorders>
              <w:top w:val="nil"/>
              <w:left w:val="nil"/>
              <w:bottom w:val="single" w:sz="4" w:space="0" w:color="9CA3AF"/>
              <w:right w:val="single" w:sz="4" w:space="0" w:color="9CA3AF"/>
            </w:tcBorders>
            <w:shd w:val="clear" w:color="auto" w:fill="auto"/>
            <w:hideMark/>
          </w:tcPr>
          <w:p w14:paraId="5E4F264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D7BF94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81745A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FD7F33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A30D52E"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5FFA98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C1697A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79C58B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Përmirësimi i matshëm në hetimet dhe ndjekjet penale të udhëheqësve dhe anëtarëve të strukturave të krimit të organizuar, e demonstruar me rritjen e dënimeve të rënda dhe ekzekutimit të </w:t>
            </w:r>
            <w:r w:rsidRPr="002128A6">
              <w:rPr>
                <w:rFonts w:ascii="Garamond" w:eastAsia="Times New Roman" w:hAnsi="Garamond" w:cs="Times New Roman"/>
                <w:kern w:val="0"/>
                <w:sz w:val="8"/>
                <w:szCs w:val="8"/>
                <w14:ligatures w14:val="none"/>
              </w:rPr>
              <w:lastRenderedPageBreak/>
              <w:t>vendimeve gjyqësore.</w:t>
            </w:r>
          </w:p>
        </w:tc>
        <w:tc>
          <w:tcPr>
            <w:tcW w:w="517" w:type="dxa"/>
            <w:tcBorders>
              <w:top w:val="nil"/>
              <w:left w:val="nil"/>
              <w:bottom w:val="single" w:sz="4" w:space="0" w:color="9CA3AF"/>
              <w:right w:val="single" w:sz="4" w:space="0" w:color="9CA3AF"/>
            </w:tcBorders>
            <w:shd w:val="clear" w:color="F1F5F9" w:fill="ECFDF5"/>
            <w:hideMark/>
          </w:tcPr>
          <w:p w14:paraId="2A7A556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2.7.3</w:t>
            </w:r>
          </w:p>
        </w:tc>
        <w:tc>
          <w:tcPr>
            <w:tcW w:w="1007" w:type="dxa"/>
            <w:tcBorders>
              <w:top w:val="nil"/>
              <w:left w:val="nil"/>
              <w:bottom w:val="single" w:sz="4" w:space="0" w:color="9CA3AF"/>
              <w:right w:val="single" w:sz="4" w:space="0" w:color="9CA3AF"/>
            </w:tcBorders>
            <w:shd w:val="clear" w:color="F1F5F9" w:fill="ECFDF5"/>
            <w:hideMark/>
          </w:tcPr>
          <w:p w14:paraId="322B590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Ngritja e një sistemi analize në BKH për vlerësimin e kërcënimeve në lidhje me krimin e organizuar dhe korrupsionin.</w:t>
            </w:r>
          </w:p>
        </w:tc>
        <w:tc>
          <w:tcPr>
            <w:tcW w:w="524" w:type="dxa"/>
            <w:tcBorders>
              <w:top w:val="nil"/>
              <w:left w:val="nil"/>
              <w:bottom w:val="single" w:sz="4" w:space="0" w:color="9CA3AF"/>
              <w:right w:val="single" w:sz="4" w:space="0" w:color="9CA3AF"/>
            </w:tcBorders>
            <w:shd w:val="clear" w:color="auto" w:fill="auto"/>
            <w:hideMark/>
          </w:tcPr>
          <w:p w14:paraId="4402A6F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2.7.3</w:t>
            </w:r>
          </w:p>
        </w:tc>
        <w:tc>
          <w:tcPr>
            <w:tcW w:w="1307" w:type="dxa"/>
            <w:tcBorders>
              <w:top w:val="nil"/>
              <w:left w:val="nil"/>
              <w:bottom w:val="single" w:sz="4" w:space="0" w:color="9CA3AF"/>
              <w:right w:val="single" w:sz="4" w:space="0" w:color="9CA3AF"/>
            </w:tcBorders>
            <w:shd w:val="clear" w:color="auto" w:fill="auto"/>
            <w:hideMark/>
          </w:tcPr>
          <w:p w14:paraId="34CB907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i metodologjive analitike, protokolleve të mbledhjes së të dhënave dhe formateve të raportimit, për të vlerësuar kërcënimet e lidhura me krimin e organizuar dhe korrupsionin.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Prodhimi i produkteve analitike periodike, si vlerësime kërcënimesh, matrica risku dhe instruktazhe shënjestrimi, për të </w:t>
            </w:r>
            <w:r w:rsidRPr="002128A6">
              <w:rPr>
                <w:rFonts w:ascii="Garamond" w:eastAsia="Times New Roman" w:hAnsi="Garamond" w:cs="Times New Roman"/>
                <w:kern w:val="0"/>
                <w:sz w:val="8"/>
                <w:szCs w:val="8"/>
                <w14:ligatures w14:val="none"/>
              </w:rPr>
              <w:lastRenderedPageBreak/>
              <w:t>udhëhequr prioritizimin dhe alokimin e burimeve.</w:t>
            </w:r>
          </w:p>
        </w:tc>
        <w:tc>
          <w:tcPr>
            <w:tcW w:w="699" w:type="dxa"/>
            <w:tcBorders>
              <w:top w:val="nil"/>
              <w:left w:val="nil"/>
              <w:bottom w:val="single" w:sz="4" w:space="0" w:color="9CA3AF"/>
              <w:right w:val="single" w:sz="4" w:space="0" w:color="9CA3AF"/>
            </w:tcBorders>
            <w:shd w:val="clear" w:color="auto" w:fill="auto"/>
            <w:hideMark/>
          </w:tcPr>
          <w:p w14:paraId="00721D6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94101AB</w:t>
            </w:r>
          </w:p>
        </w:tc>
        <w:tc>
          <w:tcPr>
            <w:tcW w:w="914" w:type="dxa"/>
            <w:tcBorders>
              <w:top w:val="nil"/>
              <w:left w:val="nil"/>
              <w:bottom w:val="single" w:sz="4" w:space="0" w:color="9CA3AF"/>
              <w:right w:val="single" w:sz="4" w:space="0" w:color="9CA3AF"/>
            </w:tcBorders>
            <w:shd w:val="clear" w:color="auto" w:fill="auto"/>
            <w:hideMark/>
          </w:tcPr>
          <w:p w14:paraId="34DF52D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Byroja Kombëtare e Hetimit</w:t>
            </w:r>
          </w:p>
        </w:tc>
        <w:tc>
          <w:tcPr>
            <w:tcW w:w="966" w:type="dxa"/>
            <w:tcBorders>
              <w:top w:val="nil"/>
              <w:left w:val="nil"/>
              <w:bottom w:val="single" w:sz="4" w:space="0" w:color="9CA3AF"/>
              <w:right w:val="single" w:sz="4" w:space="0" w:color="9CA3AF"/>
            </w:tcBorders>
            <w:shd w:val="clear" w:color="auto" w:fill="auto"/>
            <w:hideMark/>
          </w:tcPr>
          <w:p w14:paraId="7679A1B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Struktura e Posaçme Kundër Korrupsionit dhe Krimit të Organizuar;</w:t>
            </w:r>
          </w:p>
        </w:tc>
        <w:tc>
          <w:tcPr>
            <w:tcW w:w="439" w:type="dxa"/>
            <w:tcBorders>
              <w:top w:val="nil"/>
              <w:left w:val="nil"/>
              <w:bottom w:val="single" w:sz="4" w:space="0" w:color="9CA3AF"/>
              <w:right w:val="single" w:sz="4" w:space="0" w:color="9CA3AF"/>
            </w:tcBorders>
            <w:shd w:val="clear" w:color="auto" w:fill="auto"/>
            <w:hideMark/>
          </w:tcPr>
          <w:p w14:paraId="333E349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473BF1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776F7C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A0D458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EB154E6"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E6F4C0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EC5A92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0FF6FE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118E83B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2.7.4</w:t>
            </w:r>
          </w:p>
        </w:tc>
        <w:tc>
          <w:tcPr>
            <w:tcW w:w="1007" w:type="dxa"/>
            <w:tcBorders>
              <w:top w:val="nil"/>
              <w:left w:val="nil"/>
              <w:bottom w:val="single" w:sz="4" w:space="0" w:color="9CA3AF"/>
              <w:right w:val="single" w:sz="4" w:space="0" w:color="9CA3AF"/>
            </w:tcBorders>
            <w:shd w:val="clear" w:color="F1F5F9" w:fill="ECFDF5"/>
            <w:hideMark/>
          </w:tcPr>
          <w:p w14:paraId="235ED53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regjimit të posaçëm në burgun e sigurisë së lartë, për subjektet me rrezik të theksuar kriminal, përfshirë kategorizimin e jashtëm dhe të brendshëm dhe vlerësimin progresiv të rrezikut të këtyre subjekteve, me qëllim reduktimin e ndikimit të krimit të organizuar brenda strukturave të burgimit dhe forcimin e sigurisë institucionale.</w:t>
            </w:r>
          </w:p>
        </w:tc>
        <w:tc>
          <w:tcPr>
            <w:tcW w:w="524" w:type="dxa"/>
            <w:tcBorders>
              <w:top w:val="nil"/>
              <w:left w:val="nil"/>
              <w:bottom w:val="single" w:sz="4" w:space="0" w:color="9CA3AF"/>
              <w:right w:val="single" w:sz="4" w:space="0" w:color="9CA3AF"/>
            </w:tcBorders>
            <w:shd w:val="clear" w:color="auto" w:fill="auto"/>
            <w:hideMark/>
          </w:tcPr>
          <w:p w14:paraId="0825CC5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2.7.4</w:t>
            </w:r>
          </w:p>
        </w:tc>
        <w:tc>
          <w:tcPr>
            <w:tcW w:w="1307" w:type="dxa"/>
            <w:tcBorders>
              <w:top w:val="nil"/>
              <w:left w:val="nil"/>
              <w:bottom w:val="single" w:sz="4" w:space="0" w:color="9CA3AF"/>
              <w:right w:val="single" w:sz="4" w:space="0" w:color="9CA3AF"/>
            </w:tcBorders>
            <w:shd w:val="clear" w:color="auto" w:fill="auto"/>
            <w:hideMark/>
          </w:tcPr>
          <w:p w14:paraId="2D1CCBA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Zbatimi i procedurave të klasifikimit të jashtëm dhe të brendshëm dhe i vlerësimeve progresive të rrezikut për të burgosurit me rrezik të lartë, për të reduktuar ndikimin e tyre brenda strukturave të vuajtjes së dënimit.</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masave operacionale të sigurisë dhe sistemeve të monitorimit, për të parandaluar komunikimin, koordinimin ose aktivitetin kriminal nga brenda burgjeve</w:t>
            </w:r>
          </w:p>
        </w:tc>
        <w:tc>
          <w:tcPr>
            <w:tcW w:w="699" w:type="dxa"/>
            <w:tcBorders>
              <w:top w:val="nil"/>
              <w:left w:val="nil"/>
              <w:bottom w:val="single" w:sz="4" w:space="0" w:color="9CA3AF"/>
              <w:right w:val="single" w:sz="4" w:space="0" w:color="9CA3AF"/>
            </w:tcBorders>
            <w:shd w:val="clear" w:color="auto" w:fill="auto"/>
            <w:hideMark/>
          </w:tcPr>
          <w:p w14:paraId="44BE437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91408AB</w:t>
            </w:r>
          </w:p>
        </w:tc>
        <w:tc>
          <w:tcPr>
            <w:tcW w:w="914" w:type="dxa"/>
            <w:tcBorders>
              <w:top w:val="nil"/>
              <w:left w:val="nil"/>
              <w:bottom w:val="single" w:sz="4" w:space="0" w:color="9CA3AF"/>
              <w:right w:val="single" w:sz="4" w:space="0" w:color="9CA3AF"/>
            </w:tcBorders>
            <w:shd w:val="clear" w:color="auto" w:fill="auto"/>
            <w:hideMark/>
          </w:tcPr>
          <w:p w14:paraId="522E74E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Drejtoria e Përgjithshme e Burgjeve/Institucionet e Ekzekutimit të Vendimeve Penale</w:t>
            </w:r>
          </w:p>
        </w:tc>
        <w:tc>
          <w:tcPr>
            <w:tcW w:w="966" w:type="dxa"/>
            <w:tcBorders>
              <w:top w:val="nil"/>
              <w:left w:val="nil"/>
              <w:bottom w:val="single" w:sz="4" w:space="0" w:color="9CA3AF"/>
              <w:right w:val="single" w:sz="4" w:space="0" w:color="9CA3AF"/>
            </w:tcBorders>
            <w:shd w:val="clear" w:color="auto" w:fill="auto"/>
            <w:hideMark/>
          </w:tcPr>
          <w:p w14:paraId="5B48CCB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w:t>
            </w:r>
          </w:p>
        </w:tc>
        <w:tc>
          <w:tcPr>
            <w:tcW w:w="439" w:type="dxa"/>
            <w:tcBorders>
              <w:top w:val="nil"/>
              <w:left w:val="nil"/>
              <w:bottom w:val="single" w:sz="4" w:space="0" w:color="9CA3AF"/>
              <w:right w:val="single" w:sz="4" w:space="0" w:color="9CA3AF"/>
            </w:tcBorders>
            <w:shd w:val="clear" w:color="auto" w:fill="auto"/>
            <w:hideMark/>
          </w:tcPr>
          <w:p w14:paraId="12E264C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241913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86BEFA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FD58DE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375F7D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412B2B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C5E713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3E2B26C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187C40B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2.7.5</w:t>
            </w:r>
          </w:p>
        </w:tc>
        <w:tc>
          <w:tcPr>
            <w:tcW w:w="1007" w:type="dxa"/>
            <w:tcBorders>
              <w:top w:val="nil"/>
              <w:left w:val="nil"/>
              <w:bottom w:val="single" w:sz="4" w:space="0" w:color="9CA3AF"/>
              <w:right w:val="single" w:sz="4" w:space="0" w:color="9CA3AF"/>
            </w:tcBorders>
            <w:shd w:val="clear" w:color="F1F5F9" w:fill="ECFDF5"/>
            <w:hideMark/>
          </w:tcPr>
          <w:p w14:paraId="71CAA54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numrit të hetimeve proaktive dhe ndjekjes së vazhdueshme, duke vlerësuar dhe mbledhur informacion mbi rastet e korrupsionit, abuzimit dhe veprave penale brenda sistemit të vuajtjes së dënimit, përfshirë përmes mbledhjes së inteligjencës, shënjestrimit të bazuar në rrezik dhe referimeve në kohë tek organet përgjegjëse hetimore dhe të prokurorisë.</w:t>
            </w:r>
          </w:p>
        </w:tc>
        <w:tc>
          <w:tcPr>
            <w:tcW w:w="524" w:type="dxa"/>
            <w:tcBorders>
              <w:top w:val="nil"/>
              <w:left w:val="nil"/>
              <w:bottom w:val="single" w:sz="4" w:space="0" w:color="9CA3AF"/>
              <w:right w:val="single" w:sz="4" w:space="0" w:color="9CA3AF"/>
            </w:tcBorders>
            <w:shd w:val="clear" w:color="auto" w:fill="auto"/>
            <w:hideMark/>
          </w:tcPr>
          <w:p w14:paraId="0634AD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2.7.5</w:t>
            </w:r>
          </w:p>
        </w:tc>
        <w:tc>
          <w:tcPr>
            <w:tcW w:w="1307" w:type="dxa"/>
            <w:tcBorders>
              <w:top w:val="nil"/>
              <w:left w:val="nil"/>
              <w:bottom w:val="single" w:sz="4" w:space="0" w:color="9CA3AF"/>
              <w:right w:val="single" w:sz="4" w:space="0" w:color="9CA3AF"/>
            </w:tcBorders>
            <w:shd w:val="clear" w:color="auto" w:fill="auto"/>
            <w:hideMark/>
          </w:tcPr>
          <w:p w14:paraId="2DFD67A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Shënjestrimi bazuar në mbledhjen e inteligjencës dhe në rrezik, me qëllim identifikimin e korrupsionit, abuzimit dhe aktivitetit kriminal brenda burgjeve.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Referim në kohë i rasteve të identifikuara tek organet përgjegjëse hetimore dhe të prokurorisë, si dhe monitorimi i vazhdueshëm i ecurisë së çështjeve.</w:t>
            </w:r>
          </w:p>
        </w:tc>
        <w:tc>
          <w:tcPr>
            <w:tcW w:w="699" w:type="dxa"/>
            <w:tcBorders>
              <w:top w:val="nil"/>
              <w:left w:val="nil"/>
              <w:bottom w:val="single" w:sz="4" w:space="0" w:color="9CA3AF"/>
              <w:right w:val="single" w:sz="4" w:space="0" w:color="9CA3AF"/>
            </w:tcBorders>
            <w:shd w:val="clear" w:color="auto" w:fill="auto"/>
            <w:hideMark/>
          </w:tcPr>
          <w:p w14:paraId="6D7EFA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91408AB</w:t>
            </w:r>
          </w:p>
        </w:tc>
        <w:tc>
          <w:tcPr>
            <w:tcW w:w="914" w:type="dxa"/>
            <w:tcBorders>
              <w:top w:val="nil"/>
              <w:left w:val="nil"/>
              <w:bottom w:val="single" w:sz="4" w:space="0" w:color="9CA3AF"/>
              <w:right w:val="single" w:sz="4" w:space="0" w:color="9CA3AF"/>
            </w:tcBorders>
            <w:shd w:val="clear" w:color="auto" w:fill="auto"/>
            <w:hideMark/>
          </w:tcPr>
          <w:p w14:paraId="3B4FFE71" w14:textId="3882E56A"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Drejtësisë; </w:t>
            </w:r>
            <w:r w:rsidR="002128A6" w:rsidRPr="002128A6">
              <w:rPr>
                <w:rFonts w:ascii="Garamond" w:eastAsia="Times New Roman" w:hAnsi="Garamond" w:cs="Times New Roman"/>
                <w:kern w:val="0"/>
                <w:sz w:val="8"/>
                <w:szCs w:val="8"/>
                <w14:ligatures w14:val="none"/>
              </w:rPr>
              <w:t>Agjencia</w:t>
            </w:r>
            <w:r w:rsidRPr="002128A6">
              <w:rPr>
                <w:rFonts w:ascii="Garamond" w:eastAsia="Times New Roman" w:hAnsi="Garamond" w:cs="Times New Roman"/>
                <w:kern w:val="0"/>
                <w:sz w:val="8"/>
                <w:szCs w:val="8"/>
                <w14:ligatures w14:val="none"/>
              </w:rPr>
              <w:t xml:space="preserve"> e Mbikëqyrjes në Sistemin e Ekzekutimeve të Vendimeve Penale </w:t>
            </w:r>
          </w:p>
        </w:tc>
        <w:tc>
          <w:tcPr>
            <w:tcW w:w="966" w:type="dxa"/>
            <w:tcBorders>
              <w:top w:val="nil"/>
              <w:left w:val="nil"/>
              <w:bottom w:val="single" w:sz="4" w:space="0" w:color="9CA3AF"/>
              <w:right w:val="single" w:sz="4" w:space="0" w:color="9CA3AF"/>
            </w:tcBorders>
            <w:shd w:val="clear" w:color="auto" w:fill="auto"/>
            <w:hideMark/>
          </w:tcPr>
          <w:p w14:paraId="06E0FF2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Posaçme kundër Korrupsionit dhe Krimit të Organizuar; Policia e Shtetit; Prokuroria e Përgjithshme; Byroja Kombëtare e Hetimit; </w:t>
            </w:r>
          </w:p>
        </w:tc>
        <w:tc>
          <w:tcPr>
            <w:tcW w:w="439" w:type="dxa"/>
            <w:tcBorders>
              <w:top w:val="nil"/>
              <w:left w:val="nil"/>
              <w:bottom w:val="single" w:sz="4" w:space="0" w:color="9CA3AF"/>
              <w:right w:val="single" w:sz="4" w:space="0" w:color="9CA3AF"/>
            </w:tcBorders>
            <w:shd w:val="clear" w:color="auto" w:fill="auto"/>
            <w:hideMark/>
          </w:tcPr>
          <w:p w14:paraId="00A96DA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EE0B4D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D86DB7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99E92E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5E9398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FB0CF3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D0B277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6FF68F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60DC7D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2.7.6</w:t>
            </w:r>
          </w:p>
        </w:tc>
        <w:tc>
          <w:tcPr>
            <w:tcW w:w="1007" w:type="dxa"/>
            <w:tcBorders>
              <w:top w:val="nil"/>
              <w:left w:val="nil"/>
              <w:bottom w:val="single" w:sz="4" w:space="0" w:color="9CA3AF"/>
              <w:right w:val="single" w:sz="4" w:space="0" w:color="9CA3AF"/>
            </w:tcBorders>
            <w:shd w:val="clear" w:color="F1F5F9" w:fill="ECFDF5"/>
            <w:hideMark/>
          </w:tcPr>
          <w:p w14:paraId="05D16701" w14:textId="6F3D666C"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Parandalimi dhe goditja</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e krimeve në burgjet e vendit, në bashkëpunim me SPAK-un, prokuroritë e rretheve gjyqësore, si dhe agjencitë ligjzbatuese, përfshirë përmes veprimeve të koordinuara operacionale, shkëmbimit të strukturuar të informacionit dhe planifikimit të përbashkët për hetime dhe ndërhyrje.</w:t>
            </w:r>
          </w:p>
        </w:tc>
        <w:tc>
          <w:tcPr>
            <w:tcW w:w="524" w:type="dxa"/>
            <w:tcBorders>
              <w:top w:val="nil"/>
              <w:left w:val="nil"/>
              <w:bottom w:val="single" w:sz="4" w:space="0" w:color="9CA3AF"/>
              <w:right w:val="single" w:sz="4" w:space="0" w:color="9CA3AF"/>
            </w:tcBorders>
            <w:shd w:val="clear" w:color="auto" w:fill="auto"/>
            <w:hideMark/>
          </w:tcPr>
          <w:p w14:paraId="4D69379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2.7.6</w:t>
            </w:r>
          </w:p>
        </w:tc>
        <w:tc>
          <w:tcPr>
            <w:tcW w:w="1307" w:type="dxa"/>
            <w:tcBorders>
              <w:top w:val="nil"/>
              <w:left w:val="nil"/>
              <w:bottom w:val="single" w:sz="4" w:space="0" w:color="9CA3AF"/>
              <w:right w:val="single" w:sz="4" w:space="0" w:color="9CA3AF"/>
            </w:tcBorders>
            <w:shd w:val="clear" w:color="auto" w:fill="auto"/>
            <w:hideMark/>
          </w:tcPr>
          <w:p w14:paraId="5885F4A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Miratimi i mekanizmave të strukturuar për shkëmbimin e informacionit midis SPAK-ut, prokurorëve të rrethit dhe agjencive ligjzbatuese, në zbulimin dhe trajtimin e aktivitetit kriminal në burgje.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veprimeve operacionale të koordinuara dhe të sesioneve të përbashkëta të planifikimit për hetimin, ndërprerjen dhe ndjekjen penale të rrjeteve kriminale që veprojnë brenda strukturave të vuajtjes së dënimit.</w:t>
            </w:r>
          </w:p>
        </w:tc>
        <w:tc>
          <w:tcPr>
            <w:tcW w:w="699" w:type="dxa"/>
            <w:tcBorders>
              <w:top w:val="nil"/>
              <w:left w:val="nil"/>
              <w:bottom w:val="single" w:sz="4" w:space="0" w:color="9CA3AF"/>
              <w:right w:val="single" w:sz="4" w:space="0" w:color="9CA3AF"/>
            </w:tcBorders>
            <w:shd w:val="clear" w:color="auto" w:fill="auto"/>
            <w:hideMark/>
          </w:tcPr>
          <w:p w14:paraId="26081E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91408AB</w:t>
            </w:r>
          </w:p>
        </w:tc>
        <w:tc>
          <w:tcPr>
            <w:tcW w:w="914" w:type="dxa"/>
            <w:tcBorders>
              <w:top w:val="nil"/>
              <w:left w:val="nil"/>
              <w:bottom w:val="single" w:sz="4" w:space="0" w:color="9CA3AF"/>
              <w:right w:val="single" w:sz="4" w:space="0" w:color="9CA3AF"/>
            </w:tcBorders>
            <w:shd w:val="clear" w:color="auto" w:fill="auto"/>
            <w:hideMark/>
          </w:tcPr>
          <w:p w14:paraId="207517E9" w14:textId="161837B2"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Drejtësisë; </w:t>
            </w:r>
            <w:r w:rsidR="002128A6" w:rsidRPr="002128A6">
              <w:rPr>
                <w:rFonts w:ascii="Garamond" w:eastAsia="Times New Roman" w:hAnsi="Garamond" w:cs="Times New Roman"/>
                <w:kern w:val="0"/>
                <w:sz w:val="8"/>
                <w:szCs w:val="8"/>
                <w14:ligatures w14:val="none"/>
              </w:rPr>
              <w:t>Agjencia</w:t>
            </w:r>
            <w:r w:rsidRPr="002128A6">
              <w:rPr>
                <w:rFonts w:ascii="Garamond" w:eastAsia="Times New Roman" w:hAnsi="Garamond" w:cs="Times New Roman"/>
                <w:kern w:val="0"/>
                <w:sz w:val="8"/>
                <w:szCs w:val="8"/>
                <w14:ligatures w14:val="none"/>
              </w:rPr>
              <w:t xml:space="preserve"> e Mbikëqyrjes në Sistemin e Ekzekutimit të Vendimeve Penale </w:t>
            </w:r>
          </w:p>
        </w:tc>
        <w:tc>
          <w:tcPr>
            <w:tcW w:w="966" w:type="dxa"/>
            <w:tcBorders>
              <w:top w:val="nil"/>
              <w:left w:val="nil"/>
              <w:bottom w:val="single" w:sz="4" w:space="0" w:color="9CA3AF"/>
              <w:right w:val="single" w:sz="4" w:space="0" w:color="9CA3AF"/>
            </w:tcBorders>
            <w:shd w:val="clear" w:color="auto" w:fill="auto"/>
            <w:hideMark/>
          </w:tcPr>
          <w:p w14:paraId="47231AE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Posaçme kundër Korrupsionit dhe Krimit të Organizuar; Policia e Shtetit; Prokuroria e Përgjithshme, Byroja Kombëtare e Hetimit; </w:t>
            </w:r>
          </w:p>
        </w:tc>
        <w:tc>
          <w:tcPr>
            <w:tcW w:w="439" w:type="dxa"/>
            <w:tcBorders>
              <w:top w:val="nil"/>
              <w:left w:val="nil"/>
              <w:bottom w:val="single" w:sz="4" w:space="0" w:color="9CA3AF"/>
              <w:right w:val="single" w:sz="4" w:space="0" w:color="9CA3AF"/>
            </w:tcBorders>
            <w:shd w:val="clear" w:color="auto" w:fill="auto"/>
            <w:hideMark/>
          </w:tcPr>
          <w:p w14:paraId="28CC519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16395E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47A9CA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ED8956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A933304"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F5011E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DCCD24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75AB6FD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4CED7B1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2.7.7</w:t>
            </w:r>
          </w:p>
        </w:tc>
        <w:tc>
          <w:tcPr>
            <w:tcW w:w="1007" w:type="dxa"/>
            <w:tcBorders>
              <w:top w:val="nil"/>
              <w:left w:val="nil"/>
              <w:bottom w:val="single" w:sz="4" w:space="0" w:color="9CA3AF"/>
              <w:right w:val="single" w:sz="4" w:space="0" w:color="9CA3AF"/>
            </w:tcBorders>
            <w:shd w:val="clear" w:color="F1F5F9" w:fill="ECFDF5"/>
            <w:hideMark/>
          </w:tcPr>
          <w:p w14:paraId="4D981D5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përdorimit të metodave të posaçme të hetimit, me qëllim zbulimin dhe dokumentimin e aktiviteteve kriminale, përfshirë përgjimin, infiltrimin, mbikëqyrjen fizike, dhe rritjen e performancës profesionale të oficerëve që zbatojnë këto metoda përmes trajnimit të specializuar, mbikëqyrjes dhe sigurimit të cilësisë.</w:t>
            </w:r>
          </w:p>
        </w:tc>
        <w:tc>
          <w:tcPr>
            <w:tcW w:w="524" w:type="dxa"/>
            <w:tcBorders>
              <w:top w:val="nil"/>
              <w:left w:val="nil"/>
              <w:bottom w:val="single" w:sz="4" w:space="0" w:color="9CA3AF"/>
              <w:right w:val="single" w:sz="4" w:space="0" w:color="9CA3AF"/>
            </w:tcBorders>
            <w:shd w:val="clear" w:color="auto" w:fill="auto"/>
            <w:hideMark/>
          </w:tcPr>
          <w:p w14:paraId="5FAB43D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2.7.7</w:t>
            </w:r>
          </w:p>
        </w:tc>
        <w:tc>
          <w:tcPr>
            <w:tcW w:w="1307" w:type="dxa"/>
            <w:tcBorders>
              <w:top w:val="nil"/>
              <w:left w:val="nil"/>
              <w:bottom w:val="single" w:sz="4" w:space="0" w:color="9CA3AF"/>
              <w:right w:val="single" w:sz="4" w:space="0" w:color="9CA3AF"/>
            </w:tcBorders>
            <w:shd w:val="clear" w:color="auto" w:fill="auto"/>
            <w:hideMark/>
          </w:tcPr>
          <w:p w14:paraId="48574F4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Zgjerimi i përdorimit të ligjshëm të metodave të posaçme të hetimit, si përgjimi, infiltrimi dhe mbikëqyrja fizike, me qëllim zbulimin dhe dokumentimin e aktiviteteve të krimit të organizuar.</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trajnimit të specializuar, mbikëqyrjes dhe mekanizmave të sigurimit të cilësisë, për të rritur performancën profesionale të oficerëve që zbatojnë këto metoda.</w:t>
            </w:r>
          </w:p>
        </w:tc>
        <w:tc>
          <w:tcPr>
            <w:tcW w:w="699" w:type="dxa"/>
            <w:tcBorders>
              <w:top w:val="nil"/>
              <w:left w:val="nil"/>
              <w:bottom w:val="single" w:sz="4" w:space="0" w:color="9CA3AF"/>
              <w:right w:val="single" w:sz="4" w:space="0" w:color="9CA3AF"/>
            </w:tcBorders>
            <w:shd w:val="clear" w:color="auto" w:fill="auto"/>
            <w:hideMark/>
          </w:tcPr>
          <w:p w14:paraId="588910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 91604AB</w:t>
            </w:r>
          </w:p>
        </w:tc>
        <w:tc>
          <w:tcPr>
            <w:tcW w:w="914" w:type="dxa"/>
            <w:tcBorders>
              <w:top w:val="nil"/>
              <w:left w:val="nil"/>
              <w:bottom w:val="single" w:sz="4" w:space="0" w:color="9CA3AF"/>
              <w:right w:val="single" w:sz="4" w:space="0" w:color="9CA3AF"/>
            </w:tcBorders>
            <w:shd w:val="clear" w:color="auto" w:fill="auto"/>
            <w:hideMark/>
          </w:tcPr>
          <w:p w14:paraId="1D3920C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33AB67A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Byroja Kombëtare e Hetimit</w:t>
            </w:r>
          </w:p>
        </w:tc>
        <w:tc>
          <w:tcPr>
            <w:tcW w:w="439" w:type="dxa"/>
            <w:tcBorders>
              <w:top w:val="nil"/>
              <w:left w:val="nil"/>
              <w:bottom w:val="single" w:sz="4" w:space="0" w:color="9CA3AF"/>
              <w:right w:val="single" w:sz="4" w:space="0" w:color="9CA3AF"/>
            </w:tcBorders>
            <w:shd w:val="clear" w:color="auto" w:fill="auto"/>
            <w:hideMark/>
          </w:tcPr>
          <w:p w14:paraId="51B3768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CD83B7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E6D42A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0A3E4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F179F65"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C18FA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5412CA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005BD92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5EA704C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2.7.8</w:t>
            </w:r>
          </w:p>
        </w:tc>
        <w:tc>
          <w:tcPr>
            <w:tcW w:w="1007" w:type="dxa"/>
            <w:tcBorders>
              <w:top w:val="nil"/>
              <w:left w:val="nil"/>
              <w:bottom w:val="single" w:sz="4" w:space="0" w:color="9CA3AF"/>
              <w:right w:val="single" w:sz="4" w:space="0" w:color="9CA3AF"/>
            </w:tcBorders>
            <w:shd w:val="clear" w:color="F1F5F9" w:fill="ECFDF5"/>
            <w:hideMark/>
          </w:tcPr>
          <w:p w14:paraId="4870704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të hetimeve kundër krimit të organizuar, me fokus tek udhëheqësit dhe financuesit, duke kryer hetime të avancuara financiare me qëllimin e identifikimit dhe sekuestrimit të aseteve që rrjedhin nga krimi, përfshirë përmes hetimeve paralele financiare dhe mbështetjes së zgjeruar analitike.</w:t>
            </w:r>
          </w:p>
        </w:tc>
        <w:tc>
          <w:tcPr>
            <w:tcW w:w="524" w:type="dxa"/>
            <w:tcBorders>
              <w:top w:val="nil"/>
              <w:left w:val="nil"/>
              <w:bottom w:val="single" w:sz="4" w:space="0" w:color="9CA3AF"/>
              <w:right w:val="single" w:sz="4" w:space="0" w:color="9CA3AF"/>
            </w:tcBorders>
            <w:shd w:val="clear" w:color="auto" w:fill="auto"/>
            <w:hideMark/>
          </w:tcPr>
          <w:p w14:paraId="1C8F944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2.7.8</w:t>
            </w:r>
          </w:p>
        </w:tc>
        <w:tc>
          <w:tcPr>
            <w:tcW w:w="1307" w:type="dxa"/>
            <w:tcBorders>
              <w:top w:val="nil"/>
              <w:left w:val="nil"/>
              <w:bottom w:val="single" w:sz="4" w:space="0" w:color="9CA3AF"/>
              <w:right w:val="single" w:sz="4" w:space="0" w:color="9CA3AF"/>
            </w:tcBorders>
            <w:shd w:val="clear" w:color="auto" w:fill="auto"/>
            <w:hideMark/>
          </w:tcPr>
          <w:p w14:paraId="4B375A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hetimeve financiare të avancuara paralelisht me hetimet penale, për identifikimin, gjurmimin dhe sekuestrimin e aseteve që rrjedhin nga krimi i organizuar.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mbështetjes analitike dhe bashkëpunimit ndërinstitucional për shënjestrimin e individëve me vlerë të lartë, financuesve dhe lehtësuesve brenda rrjeteve kriminale.</w:t>
            </w:r>
          </w:p>
        </w:tc>
        <w:tc>
          <w:tcPr>
            <w:tcW w:w="699" w:type="dxa"/>
            <w:tcBorders>
              <w:top w:val="nil"/>
              <w:left w:val="nil"/>
              <w:bottom w:val="single" w:sz="4" w:space="0" w:color="9CA3AF"/>
              <w:right w:val="single" w:sz="4" w:space="0" w:color="9CA3AF"/>
            </w:tcBorders>
            <w:shd w:val="clear" w:color="auto" w:fill="auto"/>
            <w:hideMark/>
          </w:tcPr>
          <w:p w14:paraId="258E44E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91604AB; 91604AC</w:t>
            </w:r>
          </w:p>
        </w:tc>
        <w:tc>
          <w:tcPr>
            <w:tcW w:w="914" w:type="dxa"/>
            <w:tcBorders>
              <w:top w:val="nil"/>
              <w:left w:val="nil"/>
              <w:bottom w:val="single" w:sz="4" w:space="0" w:color="9CA3AF"/>
              <w:right w:val="single" w:sz="4" w:space="0" w:color="9CA3AF"/>
            </w:tcBorders>
            <w:shd w:val="clear" w:color="auto" w:fill="auto"/>
            <w:hideMark/>
          </w:tcPr>
          <w:p w14:paraId="5DF560B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298BA1A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Posaçme kundër Korrupsionit dhe Krimit të Organizuar; Byroja Kombëtare e Hetimit; Shërbimi Informativ i Shtetit;</w:t>
            </w:r>
          </w:p>
        </w:tc>
        <w:tc>
          <w:tcPr>
            <w:tcW w:w="439" w:type="dxa"/>
            <w:tcBorders>
              <w:top w:val="nil"/>
              <w:left w:val="nil"/>
              <w:bottom w:val="single" w:sz="4" w:space="0" w:color="9CA3AF"/>
              <w:right w:val="single" w:sz="4" w:space="0" w:color="9CA3AF"/>
            </w:tcBorders>
            <w:shd w:val="clear" w:color="auto" w:fill="auto"/>
            <w:hideMark/>
          </w:tcPr>
          <w:p w14:paraId="6CC42E7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D38A0E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081344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7BE6AE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88DD4DB"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84AB51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513080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1628D7D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37EDAD1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2.7.9</w:t>
            </w:r>
          </w:p>
        </w:tc>
        <w:tc>
          <w:tcPr>
            <w:tcW w:w="1007" w:type="dxa"/>
            <w:tcBorders>
              <w:top w:val="nil"/>
              <w:left w:val="nil"/>
              <w:bottom w:val="single" w:sz="4" w:space="0" w:color="9CA3AF"/>
              <w:right w:val="single" w:sz="4" w:space="0" w:color="9CA3AF"/>
            </w:tcBorders>
            <w:shd w:val="clear" w:color="F1F5F9" w:fill="ECFDF5"/>
            <w:hideMark/>
          </w:tcPr>
          <w:p w14:paraId="3415747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efektivitetit të bashkëpunimit me partnerët për të zbuluar krimin e organizuar, përmes takimeve periodike, analizave dhe trajnimeve të përbashkëta, shkëmbimit të strukturuar të informacionit, dhe lidhjes e zbatimit të marrëveshjeve të bashkëpunimit.</w:t>
            </w:r>
          </w:p>
        </w:tc>
        <w:tc>
          <w:tcPr>
            <w:tcW w:w="524" w:type="dxa"/>
            <w:tcBorders>
              <w:top w:val="nil"/>
              <w:left w:val="nil"/>
              <w:bottom w:val="single" w:sz="4" w:space="0" w:color="9CA3AF"/>
              <w:right w:val="single" w:sz="4" w:space="0" w:color="9CA3AF"/>
            </w:tcBorders>
            <w:shd w:val="clear" w:color="auto" w:fill="auto"/>
            <w:hideMark/>
          </w:tcPr>
          <w:p w14:paraId="3620D1E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2.7.9</w:t>
            </w:r>
          </w:p>
        </w:tc>
        <w:tc>
          <w:tcPr>
            <w:tcW w:w="1307" w:type="dxa"/>
            <w:tcBorders>
              <w:top w:val="nil"/>
              <w:left w:val="nil"/>
              <w:bottom w:val="single" w:sz="4" w:space="0" w:color="9CA3AF"/>
              <w:right w:val="single" w:sz="4" w:space="0" w:color="9CA3AF"/>
            </w:tcBorders>
            <w:shd w:val="clear" w:color="auto" w:fill="auto"/>
            <w:hideMark/>
          </w:tcPr>
          <w:p w14:paraId="2421E70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Zhvillimi i takimeve koordinuese periodike, analizave të përbashkëta dhe trajnimeve të përbashkëta me partnerët kombëtarë dhe ndërkombëtarë, për zbulimin dhe ndërprerjen e aktivitetit të krimit të organizuar.</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mekanizmave të strukturuar të shkëmbimit të informacionit dhe zbatimi i marrëveshjeve të bashkëpunimit, për të mbështetur hetimet e përbashkëta dhe veprimet operacionale.</w:t>
            </w:r>
          </w:p>
        </w:tc>
        <w:tc>
          <w:tcPr>
            <w:tcW w:w="699" w:type="dxa"/>
            <w:tcBorders>
              <w:top w:val="nil"/>
              <w:left w:val="nil"/>
              <w:bottom w:val="single" w:sz="4" w:space="0" w:color="9CA3AF"/>
              <w:right w:val="single" w:sz="4" w:space="0" w:color="9CA3AF"/>
            </w:tcBorders>
            <w:shd w:val="clear" w:color="auto" w:fill="auto"/>
            <w:hideMark/>
          </w:tcPr>
          <w:p w14:paraId="43A9F74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 91604AB</w:t>
            </w:r>
          </w:p>
        </w:tc>
        <w:tc>
          <w:tcPr>
            <w:tcW w:w="914" w:type="dxa"/>
            <w:tcBorders>
              <w:top w:val="nil"/>
              <w:left w:val="nil"/>
              <w:bottom w:val="single" w:sz="4" w:space="0" w:color="9CA3AF"/>
              <w:right w:val="single" w:sz="4" w:space="0" w:color="9CA3AF"/>
            </w:tcBorders>
            <w:shd w:val="clear" w:color="auto" w:fill="auto"/>
            <w:hideMark/>
          </w:tcPr>
          <w:p w14:paraId="6A7F330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2CD6940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Posaçme kundër Korrupsionit dhe Krimit të Organizuar; Byroja Kombëtare e Hetimit; </w:t>
            </w:r>
          </w:p>
        </w:tc>
        <w:tc>
          <w:tcPr>
            <w:tcW w:w="439" w:type="dxa"/>
            <w:tcBorders>
              <w:top w:val="nil"/>
              <w:left w:val="nil"/>
              <w:bottom w:val="single" w:sz="4" w:space="0" w:color="9CA3AF"/>
              <w:right w:val="single" w:sz="4" w:space="0" w:color="9CA3AF"/>
            </w:tcBorders>
            <w:shd w:val="clear" w:color="auto" w:fill="auto"/>
            <w:hideMark/>
          </w:tcPr>
          <w:p w14:paraId="3EF89DC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2C932E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BB2CBC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540F89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25B1320"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42BB64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BFD21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29079FE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248E2B4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2.7.10</w:t>
            </w:r>
          </w:p>
        </w:tc>
        <w:tc>
          <w:tcPr>
            <w:tcW w:w="1007" w:type="dxa"/>
            <w:tcBorders>
              <w:top w:val="nil"/>
              <w:left w:val="nil"/>
              <w:bottom w:val="single" w:sz="4" w:space="0" w:color="9CA3AF"/>
              <w:right w:val="single" w:sz="4" w:space="0" w:color="9CA3AF"/>
            </w:tcBorders>
            <w:shd w:val="clear" w:color="F1F5F9" w:fill="ECFDF5"/>
            <w:hideMark/>
          </w:tcPr>
          <w:p w14:paraId="7D1DF0E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Hartimi i raportit “Vlerësimi i kërcënimeve të krimit të organizuar dhe krimit të rëndë”, përmes të cilit kërcënimet që paraqet krimi i organizuar dhe krimi i rëndë do të identifikohen, analizohen dhe vlerësohen, me qëllim përcaktimin e prioriteteve për një luftë më efektive kundër rimit, edhe përmes planifikimit strategjik dhe operacional të bazuar në të dhëna.</w:t>
            </w:r>
          </w:p>
        </w:tc>
        <w:tc>
          <w:tcPr>
            <w:tcW w:w="524" w:type="dxa"/>
            <w:tcBorders>
              <w:top w:val="nil"/>
              <w:left w:val="nil"/>
              <w:bottom w:val="single" w:sz="4" w:space="0" w:color="9CA3AF"/>
              <w:right w:val="single" w:sz="4" w:space="0" w:color="9CA3AF"/>
            </w:tcBorders>
            <w:shd w:val="clear" w:color="auto" w:fill="auto"/>
            <w:hideMark/>
          </w:tcPr>
          <w:p w14:paraId="00B049D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2.7.10</w:t>
            </w:r>
          </w:p>
        </w:tc>
        <w:tc>
          <w:tcPr>
            <w:tcW w:w="1307" w:type="dxa"/>
            <w:tcBorders>
              <w:top w:val="nil"/>
              <w:left w:val="nil"/>
              <w:bottom w:val="single" w:sz="4" w:space="0" w:color="9CA3AF"/>
              <w:right w:val="single" w:sz="4" w:space="0" w:color="9CA3AF"/>
            </w:tcBorders>
            <w:shd w:val="clear" w:color="auto" w:fill="auto"/>
            <w:hideMark/>
          </w:tcPr>
          <w:p w14:paraId="060D179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Mbledhja dhe analizimi i të dhënave nga autoritetet ligjzbatuese, inteligjenca dhe organet rregullatorë, me qëllim identifikimin dhe vlerësimin e kërcënimeve që rrjedhin nga krimi i organizuar dhe i rëndë.</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Përgatitja e një raporti gjithëpërfshirës të kërcënimeve, për të udhëhequr planifikimin strategjik dhe operacional të bazuar në të dhëna.</w:t>
            </w:r>
          </w:p>
        </w:tc>
        <w:tc>
          <w:tcPr>
            <w:tcW w:w="699" w:type="dxa"/>
            <w:tcBorders>
              <w:top w:val="nil"/>
              <w:left w:val="nil"/>
              <w:bottom w:val="single" w:sz="4" w:space="0" w:color="9CA3AF"/>
              <w:right w:val="single" w:sz="4" w:space="0" w:color="9CA3AF"/>
            </w:tcBorders>
            <w:shd w:val="clear" w:color="auto" w:fill="auto"/>
            <w:hideMark/>
          </w:tcPr>
          <w:p w14:paraId="3F4DEF7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91604AB; 91604AC;</w:t>
            </w:r>
          </w:p>
        </w:tc>
        <w:tc>
          <w:tcPr>
            <w:tcW w:w="914" w:type="dxa"/>
            <w:tcBorders>
              <w:top w:val="nil"/>
              <w:left w:val="nil"/>
              <w:bottom w:val="single" w:sz="4" w:space="0" w:color="9CA3AF"/>
              <w:right w:val="single" w:sz="4" w:space="0" w:color="9CA3AF"/>
            </w:tcBorders>
            <w:shd w:val="clear" w:color="auto" w:fill="auto"/>
            <w:hideMark/>
          </w:tcPr>
          <w:p w14:paraId="2BE798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6EC8B3C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24A6B68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AB5716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DCB2DE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6AD53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041D5B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AF968F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4D3C00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11E0B83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7507C9F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2.7.11</w:t>
            </w:r>
          </w:p>
        </w:tc>
        <w:tc>
          <w:tcPr>
            <w:tcW w:w="1007" w:type="dxa"/>
            <w:tcBorders>
              <w:top w:val="nil"/>
              <w:left w:val="nil"/>
              <w:bottom w:val="single" w:sz="4" w:space="0" w:color="9CA3AF"/>
              <w:right w:val="single" w:sz="4" w:space="0" w:color="9CA3AF"/>
            </w:tcBorders>
            <w:shd w:val="clear" w:color="F1F5F9" w:fill="ECFDF5"/>
            <w:hideMark/>
          </w:tcPr>
          <w:p w14:paraId="46DC7E4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Kryerja e analizave dhe vlerësimeve periodike të rrezikut të grupeve kriminale që veprojnë në Shqipëri, duke i renditur grupet aktive sipas nivelit të rrezikut, me qëllim prioritizimin dhe shënjestrimin e masave operacionale për ndërprerjen, hetimin dhe ndjekjen penale.</w:t>
            </w:r>
          </w:p>
        </w:tc>
        <w:tc>
          <w:tcPr>
            <w:tcW w:w="524" w:type="dxa"/>
            <w:tcBorders>
              <w:top w:val="nil"/>
              <w:left w:val="nil"/>
              <w:bottom w:val="single" w:sz="4" w:space="0" w:color="9CA3AF"/>
              <w:right w:val="single" w:sz="4" w:space="0" w:color="9CA3AF"/>
            </w:tcBorders>
            <w:shd w:val="clear" w:color="auto" w:fill="auto"/>
            <w:hideMark/>
          </w:tcPr>
          <w:p w14:paraId="13E5000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2.7.11</w:t>
            </w:r>
          </w:p>
        </w:tc>
        <w:tc>
          <w:tcPr>
            <w:tcW w:w="1307" w:type="dxa"/>
            <w:tcBorders>
              <w:top w:val="nil"/>
              <w:left w:val="nil"/>
              <w:bottom w:val="single" w:sz="4" w:space="0" w:color="9CA3AF"/>
              <w:right w:val="single" w:sz="4" w:space="0" w:color="9CA3AF"/>
            </w:tcBorders>
            <w:shd w:val="clear" w:color="auto" w:fill="auto"/>
            <w:hideMark/>
          </w:tcPr>
          <w:p w14:paraId="533FA42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Hartimi dhe zbatimi i metodologjisë për renditjen e grupeve kriminale aktive bazuar në rrezik, nivel kërcënimi dhe ndikim operacional.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Përdorimi i vlerësimeve të rrezikut për të prioritizuar veprimet operacionale, hetimet dhe përpjekjet e ndërprerjes kundër grupeve me rrezik të lartë.</w:t>
            </w:r>
          </w:p>
        </w:tc>
        <w:tc>
          <w:tcPr>
            <w:tcW w:w="699" w:type="dxa"/>
            <w:tcBorders>
              <w:top w:val="nil"/>
              <w:left w:val="nil"/>
              <w:bottom w:val="single" w:sz="4" w:space="0" w:color="9CA3AF"/>
              <w:right w:val="single" w:sz="4" w:space="0" w:color="9CA3AF"/>
            </w:tcBorders>
            <w:shd w:val="clear" w:color="auto" w:fill="auto"/>
            <w:hideMark/>
          </w:tcPr>
          <w:p w14:paraId="4B8A27B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91604AB; 91604AC;</w:t>
            </w:r>
          </w:p>
        </w:tc>
        <w:tc>
          <w:tcPr>
            <w:tcW w:w="914" w:type="dxa"/>
            <w:tcBorders>
              <w:top w:val="nil"/>
              <w:left w:val="nil"/>
              <w:bottom w:val="single" w:sz="4" w:space="0" w:color="9CA3AF"/>
              <w:right w:val="single" w:sz="4" w:space="0" w:color="9CA3AF"/>
            </w:tcBorders>
            <w:shd w:val="clear" w:color="auto" w:fill="auto"/>
            <w:hideMark/>
          </w:tcPr>
          <w:p w14:paraId="0E2186D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373FDD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2812CC6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743737B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5626F0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C4B4FD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67941A1"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8B0068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73F71B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69F9CCE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2F363D2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2.7.12</w:t>
            </w:r>
          </w:p>
        </w:tc>
        <w:tc>
          <w:tcPr>
            <w:tcW w:w="1007" w:type="dxa"/>
            <w:tcBorders>
              <w:top w:val="nil"/>
              <w:left w:val="nil"/>
              <w:bottom w:val="single" w:sz="4" w:space="0" w:color="9CA3AF"/>
              <w:right w:val="single" w:sz="4" w:space="0" w:color="9CA3AF"/>
            </w:tcBorders>
            <w:shd w:val="clear" w:color="F1F5F9" w:fill="ECFDF5"/>
            <w:hideMark/>
          </w:tcPr>
          <w:p w14:paraId="4ED460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Rinovimi i pajisjes Router-VPN të instaluar në serverat e INTERPOL NCB Tirana, që mundëson enkriptim të komunikimeve në sistemin e INTERPOL-it, për të garantuar shkëmbim të sigurt të informacionit dhe për të ruajtur konfidencialitetin dhe integritetin e të dhënave që transmetohen.</w:t>
            </w:r>
          </w:p>
        </w:tc>
        <w:tc>
          <w:tcPr>
            <w:tcW w:w="524" w:type="dxa"/>
            <w:tcBorders>
              <w:top w:val="nil"/>
              <w:left w:val="nil"/>
              <w:bottom w:val="single" w:sz="4" w:space="0" w:color="9CA3AF"/>
              <w:right w:val="single" w:sz="4" w:space="0" w:color="9CA3AF"/>
            </w:tcBorders>
            <w:shd w:val="clear" w:color="auto" w:fill="auto"/>
            <w:hideMark/>
          </w:tcPr>
          <w:p w14:paraId="448CA09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2.7.12</w:t>
            </w:r>
          </w:p>
        </w:tc>
        <w:tc>
          <w:tcPr>
            <w:tcW w:w="1307" w:type="dxa"/>
            <w:tcBorders>
              <w:top w:val="nil"/>
              <w:left w:val="nil"/>
              <w:bottom w:val="single" w:sz="4" w:space="0" w:color="9CA3AF"/>
              <w:right w:val="single" w:sz="4" w:space="0" w:color="9CA3AF"/>
            </w:tcBorders>
            <w:shd w:val="clear" w:color="auto" w:fill="auto"/>
            <w:hideMark/>
          </w:tcPr>
          <w:p w14:paraId="61F983F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Prokurimi dhe instalimi i pajisjes së re Router VPN për të garantuar komunikim të sigurt dhe të enkriptuar brenda sistemit të INTERPOL-it.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testimit dhe konfigurimit, si edhe trajnimi i personelit për të garantuar konfidencialitetin, integritetin dhe shkëmbimin e pandërprerë të informacionit</w:t>
            </w:r>
          </w:p>
        </w:tc>
        <w:tc>
          <w:tcPr>
            <w:tcW w:w="699" w:type="dxa"/>
            <w:tcBorders>
              <w:top w:val="nil"/>
              <w:left w:val="nil"/>
              <w:bottom w:val="single" w:sz="4" w:space="0" w:color="9CA3AF"/>
              <w:right w:val="single" w:sz="4" w:space="0" w:color="9CA3AF"/>
            </w:tcBorders>
            <w:shd w:val="clear" w:color="auto" w:fill="auto"/>
            <w:hideMark/>
          </w:tcPr>
          <w:p w14:paraId="3C49778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Nuk parashikohet në PBA-në për vitin 2027 mbi limitin</w:t>
            </w:r>
          </w:p>
        </w:tc>
        <w:tc>
          <w:tcPr>
            <w:tcW w:w="914" w:type="dxa"/>
            <w:tcBorders>
              <w:top w:val="nil"/>
              <w:left w:val="nil"/>
              <w:bottom w:val="single" w:sz="4" w:space="0" w:color="9CA3AF"/>
              <w:right w:val="single" w:sz="4" w:space="0" w:color="9CA3AF"/>
            </w:tcBorders>
            <w:shd w:val="clear" w:color="auto" w:fill="auto"/>
            <w:hideMark/>
          </w:tcPr>
          <w:p w14:paraId="697B17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324B63A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Punëve të Brendshme, INTERPOL; </w:t>
            </w:r>
          </w:p>
        </w:tc>
        <w:tc>
          <w:tcPr>
            <w:tcW w:w="439" w:type="dxa"/>
            <w:tcBorders>
              <w:top w:val="nil"/>
              <w:left w:val="nil"/>
              <w:bottom w:val="single" w:sz="4" w:space="0" w:color="9CA3AF"/>
              <w:right w:val="single" w:sz="4" w:space="0" w:color="9CA3AF"/>
            </w:tcBorders>
            <w:shd w:val="clear" w:color="auto" w:fill="auto"/>
            <w:hideMark/>
          </w:tcPr>
          <w:p w14:paraId="113A4F3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4FDB32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2027</w:t>
            </w:r>
          </w:p>
        </w:tc>
        <w:tc>
          <w:tcPr>
            <w:tcW w:w="649" w:type="dxa"/>
            <w:tcBorders>
              <w:top w:val="nil"/>
              <w:left w:val="nil"/>
              <w:bottom w:val="single" w:sz="4" w:space="0" w:color="9CA3AF"/>
              <w:right w:val="single" w:sz="4" w:space="0" w:color="9CA3AF"/>
            </w:tcBorders>
            <w:shd w:val="clear" w:color="auto" w:fill="auto"/>
            <w:hideMark/>
          </w:tcPr>
          <w:p w14:paraId="13CE54D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6D99204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Sekretari i Përgjithshëm i INTERPOL-it</w:t>
            </w:r>
          </w:p>
        </w:tc>
      </w:tr>
      <w:tr w:rsidR="00F54824" w:rsidRPr="002128A6" w14:paraId="38772559"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4D7898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BC45AF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26E345F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Përmirësimi i matshëm në hetimet dhe ndjekjet penale </w:t>
            </w:r>
            <w:r w:rsidRPr="002128A6">
              <w:rPr>
                <w:rFonts w:ascii="Garamond" w:eastAsia="Times New Roman" w:hAnsi="Garamond" w:cs="Times New Roman"/>
                <w:kern w:val="0"/>
                <w:sz w:val="8"/>
                <w:szCs w:val="8"/>
                <w14:ligatures w14:val="none"/>
              </w:rPr>
              <w:lastRenderedPageBreak/>
              <w:t>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77FF2AE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2.7.13</w:t>
            </w:r>
          </w:p>
        </w:tc>
        <w:tc>
          <w:tcPr>
            <w:tcW w:w="1007" w:type="dxa"/>
            <w:tcBorders>
              <w:top w:val="nil"/>
              <w:left w:val="nil"/>
              <w:bottom w:val="single" w:sz="4" w:space="0" w:color="9CA3AF"/>
              <w:right w:val="single" w:sz="4" w:space="0" w:color="9CA3AF"/>
            </w:tcBorders>
            <w:shd w:val="clear" w:color="F1F5F9" w:fill="ECFDF5"/>
            <w:hideMark/>
          </w:tcPr>
          <w:p w14:paraId="131EDA6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kërcënimeve ndaj jetës dhe shëndetit të individëve (përfshirë </w:t>
            </w:r>
            <w:r w:rsidRPr="002128A6">
              <w:rPr>
                <w:rFonts w:ascii="Garamond" w:eastAsia="Times New Roman" w:hAnsi="Garamond" w:cs="Times New Roman"/>
                <w:kern w:val="0"/>
                <w:sz w:val="8"/>
                <w:szCs w:val="8"/>
                <w14:ligatures w14:val="none"/>
              </w:rPr>
              <w:lastRenderedPageBreak/>
              <w:t>vrasjet, lëndimet e rënda), edhe përmes masave parandaluese të shënjestruara, planifikimit operacional të bazuar në rrezik dhe veprimeve të koordinuara, për shkurajimin, zbulimin dhe ndërprerjen e aktivitetit kriminal të dhunshëm.</w:t>
            </w:r>
          </w:p>
        </w:tc>
        <w:tc>
          <w:tcPr>
            <w:tcW w:w="524" w:type="dxa"/>
            <w:tcBorders>
              <w:top w:val="nil"/>
              <w:left w:val="nil"/>
              <w:bottom w:val="single" w:sz="4" w:space="0" w:color="9CA3AF"/>
              <w:right w:val="single" w:sz="4" w:space="0" w:color="9CA3AF"/>
            </w:tcBorders>
            <w:shd w:val="clear" w:color="auto" w:fill="auto"/>
            <w:hideMark/>
          </w:tcPr>
          <w:p w14:paraId="21ACA71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2.7.13</w:t>
            </w:r>
          </w:p>
        </w:tc>
        <w:tc>
          <w:tcPr>
            <w:tcW w:w="1307" w:type="dxa"/>
            <w:tcBorders>
              <w:top w:val="nil"/>
              <w:left w:val="nil"/>
              <w:bottom w:val="single" w:sz="4" w:space="0" w:color="9CA3AF"/>
              <w:right w:val="single" w:sz="4" w:space="0" w:color="9CA3AF"/>
            </w:tcBorders>
            <w:shd w:val="clear" w:color="auto" w:fill="auto"/>
            <w:hideMark/>
          </w:tcPr>
          <w:p w14:paraId="7791D2E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Kryerja e planifikimit operacional të bazuar në rrezik dhe në masa parandalimi të shënjestruar, me </w:t>
            </w:r>
            <w:r w:rsidRPr="002128A6">
              <w:rPr>
                <w:rFonts w:ascii="Garamond" w:eastAsia="Times New Roman" w:hAnsi="Garamond" w:cs="Times New Roman"/>
                <w:kern w:val="0"/>
                <w:sz w:val="8"/>
                <w:szCs w:val="8"/>
                <w14:ligatures w14:val="none"/>
              </w:rPr>
              <w:lastRenderedPageBreak/>
              <w:t>qëllim shkurajimin dhe ndërprerjen e aktivitetit kriminal të dhunshëm, përfshirë vrasjet dhe lëndimet e rënda.</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Koordinimi i veprimeve midis strukturave policore për të identifikuar individët me rrezik të lartë, për të parandaluar përshkallëzimin dhe për t’iu përgjigjur me shpejtësi kërcënimeve që shfaqen rishtas. </w:t>
            </w:r>
          </w:p>
        </w:tc>
        <w:tc>
          <w:tcPr>
            <w:tcW w:w="699" w:type="dxa"/>
            <w:tcBorders>
              <w:top w:val="nil"/>
              <w:left w:val="nil"/>
              <w:bottom w:val="single" w:sz="4" w:space="0" w:color="9CA3AF"/>
              <w:right w:val="single" w:sz="4" w:space="0" w:color="9CA3AF"/>
            </w:tcBorders>
            <w:shd w:val="clear" w:color="auto" w:fill="auto"/>
            <w:hideMark/>
          </w:tcPr>
          <w:p w14:paraId="3054A35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91604AA</w:t>
            </w:r>
          </w:p>
        </w:tc>
        <w:tc>
          <w:tcPr>
            <w:tcW w:w="914" w:type="dxa"/>
            <w:tcBorders>
              <w:top w:val="nil"/>
              <w:left w:val="nil"/>
              <w:bottom w:val="single" w:sz="4" w:space="0" w:color="9CA3AF"/>
              <w:right w:val="single" w:sz="4" w:space="0" w:color="9CA3AF"/>
            </w:tcBorders>
            <w:shd w:val="clear" w:color="auto" w:fill="auto"/>
            <w:hideMark/>
          </w:tcPr>
          <w:p w14:paraId="3A0AF5B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5181D87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Përgjithshme; Struktura e Posaçme Kundër </w:t>
            </w:r>
            <w:r w:rsidRPr="002128A6">
              <w:rPr>
                <w:rFonts w:ascii="Garamond" w:eastAsia="Times New Roman" w:hAnsi="Garamond" w:cs="Times New Roman"/>
                <w:kern w:val="0"/>
                <w:sz w:val="8"/>
                <w:szCs w:val="8"/>
                <w14:ligatures w14:val="none"/>
              </w:rPr>
              <w:lastRenderedPageBreak/>
              <w:t>Korrupsionit dhe Krimit të Organizuar</w:t>
            </w:r>
          </w:p>
        </w:tc>
        <w:tc>
          <w:tcPr>
            <w:tcW w:w="439" w:type="dxa"/>
            <w:tcBorders>
              <w:top w:val="nil"/>
              <w:left w:val="nil"/>
              <w:bottom w:val="single" w:sz="4" w:space="0" w:color="9CA3AF"/>
              <w:right w:val="single" w:sz="4" w:space="0" w:color="9CA3AF"/>
            </w:tcBorders>
            <w:shd w:val="clear" w:color="auto" w:fill="auto"/>
            <w:hideMark/>
          </w:tcPr>
          <w:p w14:paraId="7D59CBF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2026</w:t>
            </w:r>
          </w:p>
        </w:tc>
        <w:tc>
          <w:tcPr>
            <w:tcW w:w="596" w:type="dxa"/>
            <w:tcBorders>
              <w:top w:val="nil"/>
              <w:left w:val="nil"/>
              <w:bottom w:val="single" w:sz="4" w:space="0" w:color="9CA3AF"/>
              <w:right w:val="single" w:sz="4" w:space="0" w:color="9CA3AF"/>
            </w:tcBorders>
            <w:shd w:val="clear" w:color="auto" w:fill="auto"/>
            <w:hideMark/>
          </w:tcPr>
          <w:p w14:paraId="78F24C7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26C891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8D4D8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7A0A05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4DE0ABB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F29346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2ACCE70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11C6EE0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2.7.14</w:t>
            </w:r>
          </w:p>
        </w:tc>
        <w:tc>
          <w:tcPr>
            <w:tcW w:w="1007" w:type="dxa"/>
            <w:tcBorders>
              <w:top w:val="nil"/>
              <w:left w:val="nil"/>
              <w:bottom w:val="single" w:sz="4" w:space="0" w:color="9CA3AF"/>
              <w:right w:val="single" w:sz="4" w:space="0" w:color="9CA3AF"/>
            </w:tcBorders>
            <w:shd w:val="clear" w:color="F1F5F9" w:fill="ECFDF5"/>
            <w:hideMark/>
          </w:tcPr>
          <w:p w14:paraId="17A736A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hetimeve proaktive për parandalimin, gjurmimin, zbulimin dhe arrestimin e individëve dhe grupeve kriminale të përfshira në krimet e rënda ndaj jetës dhe shëndetit, përmes forcimit të mbledhjes së të dhënave, zbatimit të metodave të posaçme të hetimit, ku lejohet me ligj, si dhe prioritizimit të shkelësve dhe grupeve me rrezik të lartë.</w:t>
            </w:r>
          </w:p>
        </w:tc>
        <w:tc>
          <w:tcPr>
            <w:tcW w:w="524" w:type="dxa"/>
            <w:tcBorders>
              <w:top w:val="nil"/>
              <w:left w:val="nil"/>
              <w:bottom w:val="single" w:sz="4" w:space="0" w:color="9CA3AF"/>
              <w:right w:val="single" w:sz="4" w:space="0" w:color="9CA3AF"/>
            </w:tcBorders>
            <w:shd w:val="clear" w:color="auto" w:fill="auto"/>
            <w:hideMark/>
          </w:tcPr>
          <w:p w14:paraId="04E8548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2.7.14</w:t>
            </w:r>
          </w:p>
        </w:tc>
        <w:tc>
          <w:tcPr>
            <w:tcW w:w="1307" w:type="dxa"/>
            <w:tcBorders>
              <w:top w:val="nil"/>
              <w:left w:val="nil"/>
              <w:bottom w:val="single" w:sz="4" w:space="0" w:color="9CA3AF"/>
              <w:right w:val="single" w:sz="4" w:space="0" w:color="9CA3AF"/>
            </w:tcBorders>
            <w:shd w:val="clear" w:color="auto" w:fill="auto"/>
            <w:hideMark/>
          </w:tcPr>
          <w:p w14:paraId="60005B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mbledhjes së inteligjencës dhe zbatimi i metodave të posaçme të hetimit, për zbulimin dhe gjurmimin e individëve dhe grupeve të përfshira në krime të rënda dhe të dhunshme.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Prioritizimi i hetimeve që shënjestrojnë shkelësit me rrezik të lartë dhe grupet e organizuara, përgjegjëse për vepra të dhunshme të përsëritura ose me ndikim të lartë.</w:t>
            </w:r>
          </w:p>
        </w:tc>
        <w:tc>
          <w:tcPr>
            <w:tcW w:w="699" w:type="dxa"/>
            <w:tcBorders>
              <w:top w:val="nil"/>
              <w:left w:val="nil"/>
              <w:bottom w:val="single" w:sz="4" w:space="0" w:color="9CA3AF"/>
              <w:right w:val="single" w:sz="4" w:space="0" w:color="9CA3AF"/>
            </w:tcBorders>
            <w:shd w:val="clear" w:color="auto" w:fill="auto"/>
            <w:hideMark/>
          </w:tcPr>
          <w:p w14:paraId="08BC382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nil"/>
              <w:bottom w:val="single" w:sz="4" w:space="0" w:color="9CA3AF"/>
              <w:right w:val="single" w:sz="4" w:space="0" w:color="9CA3AF"/>
            </w:tcBorders>
            <w:shd w:val="clear" w:color="auto" w:fill="auto"/>
            <w:hideMark/>
          </w:tcPr>
          <w:p w14:paraId="37C3D29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6E72C63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 Prokuroria e Posaçme kundër Korrupsionit dhe Krimit të Organizuar; Byroja Kombëtare e Hetimit</w:t>
            </w:r>
          </w:p>
        </w:tc>
        <w:tc>
          <w:tcPr>
            <w:tcW w:w="439" w:type="dxa"/>
            <w:tcBorders>
              <w:top w:val="nil"/>
              <w:left w:val="nil"/>
              <w:bottom w:val="single" w:sz="4" w:space="0" w:color="9CA3AF"/>
              <w:right w:val="single" w:sz="4" w:space="0" w:color="9CA3AF"/>
            </w:tcBorders>
            <w:shd w:val="clear" w:color="auto" w:fill="auto"/>
            <w:hideMark/>
          </w:tcPr>
          <w:p w14:paraId="442A2FC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176AC9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60C826D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988292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8CE4A25"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8338F7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1D13465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w:t>
            </w:r>
          </w:p>
        </w:tc>
        <w:tc>
          <w:tcPr>
            <w:tcW w:w="867" w:type="dxa"/>
            <w:tcBorders>
              <w:top w:val="nil"/>
              <w:left w:val="nil"/>
              <w:bottom w:val="single" w:sz="4" w:space="0" w:color="9CA3AF"/>
              <w:right w:val="single" w:sz="4" w:space="0" w:color="9CA3AF"/>
            </w:tcBorders>
            <w:shd w:val="clear" w:color="F1F5F9" w:fill="ECFDF5"/>
            <w:hideMark/>
          </w:tcPr>
          <w:p w14:paraId="077EFC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517" w:type="dxa"/>
            <w:tcBorders>
              <w:top w:val="nil"/>
              <w:left w:val="nil"/>
              <w:bottom w:val="single" w:sz="4" w:space="0" w:color="9CA3AF"/>
              <w:right w:val="single" w:sz="4" w:space="0" w:color="9CA3AF"/>
            </w:tcBorders>
            <w:shd w:val="clear" w:color="F1F5F9" w:fill="ECFDF5"/>
            <w:hideMark/>
          </w:tcPr>
          <w:p w14:paraId="2DA9CCD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2.7.15</w:t>
            </w:r>
          </w:p>
        </w:tc>
        <w:tc>
          <w:tcPr>
            <w:tcW w:w="1007" w:type="dxa"/>
            <w:tcBorders>
              <w:top w:val="nil"/>
              <w:left w:val="nil"/>
              <w:bottom w:val="single" w:sz="4" w:space="0" w:color="9CA3AF"/>
              <w:right w:val="single" w:sz="4" w:space="0" w:color="9CA3AF"/>
            </w:tcBorders>
            <w:shd w:val="clear" w:color="F1F5F9" w:fill="ECFDF5"/>
            <w:hideMark/>
          </w:tcPr>
          <w:p w14:paraId="6623FDC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Blerja e pajisjeve për aplikimin e identifikimit biometrik të personit LTA, duke siguruar specifikimet teknike, instalimin e sigurt, trajnimin e personelit dhe integrimin me bazat përkatëse të të dhënave dhe rrjedhat operacionale të punës për të mbështetur identifikimin e saktë dhe veprimet ligjzbatuese.</w:t>
            </w:r>
          </w:p>
        </w:tc>
        <w:tc>
          <w:tcPr>
            <w:tcW w:w="524" w:type="dxa"/>
            <w:tcBorders>
              <w:top w:val="nil"/>
              <w:left w:val="nil"/>
              <w:bottom w:val="single" w:sz="4" w:space="0" w:color="9CA3AF"/>
              <w:right w:val="single" w:sz="4" w:space="0" w:color="9CA3AF"/>
            </w:tcBorders>
            <w:shd w:val="clear" w:color="auto" w:fill="auto"/>
            <w:hideMark/>
          </w:tcPr>
          <w:p w14:paraId="0DCB21B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2.7.15</w:t>
            </w:r>
          </w:p>
        </w:tc>
        <w:tc>
          <w:tcPr>
            <w:tcW w:w="1307" w:type="dxa"/>
            <w:tcBorders>
              <w:top w:val="nil"/>
              <w:left w:val="nil"/>
              <w:bottom w:val="single" w:sz="4" w:space="0" w:color="9CA3AF"/>
              <w:right w:val="single" w:sz="4" w:space="0" w:color="9CA3AF"/>
            </w:tcBorders>
            <w:shd w:val="clear" w:color="auto" w:fill="auto"/>
            <w:hideMark/>
          </w:tcPr>
          <w:p w14:paraId="44DA522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Prokurimi i pajisjeve të identifikimit biometrik me specifikime teknike të përshtatshme, si dhe instalimi i sigurt dhe integrimi me bazat përkatëse të të dhënave.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Trajnimi i personelit operacional dhe integrimi i flukseve biometrike të punës në procedurat hetimore dhe ekzekutuese për të mbështetur identifikimin e saktë.</w:t>
            </w:r>
          </w:p>
        </w:tc>
        <w:tc>
          <w:tcPr>
            <w:tcW w:w="699" w:type="dxa"/>
            <w:tcBorders>
              <w:top w:val="nil"/>
              <w:left w:val="nil"/>
              <w:bottom w:val="single" w:sz="4" w:space="0" w:color="9CA3AF"/>
              <w:right w:val="single" w:sz="4" w:space="0" w:color="9CA3AF"/>
            </w:tcBorders>
            <w:shd w:val="clear" w:color="auto" w:fill="auto"/>
            <w:hideMark/>
          </w:tcPr>
          <w:p w14:paraId="068FBEF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M160883</w:t>
            </w:r>
          </w:p>
        </w:tc>
        <w:tc>
          <w:tcPr>
            <w:tcW w:w="914" w:type="dxa"/>
            <w:tcBorders>
              <w:top w:val="nil"/>
              <w:left w:val="nil"/>
              <w:bottom w:val="single" w:sz="4" w:space="0" w:color="9CA3AF"/>
              <w:right w:val="single" w:sz="4" w:space="0" w:color="9CA3AF"/>
            </w:tcBorders>
            <w:shd w:val="clear" w:color="auto" w:fill="auto"/>
            <w:hideMark/>
          </w:tcPr>
          <w:p w14:paraId="539D3D0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Policia e Shtetit </w:t>
            </w:r>
          </w:p>
        </w:tc>
        <w:tc>
          <w:tcPr>
            <w:tcW w:w="966" w:type="dxa"/>
            <w:tcBorders>
              <w:top w:val="nil"/>
              <w:left w:val="nil"/>
              <w:bottom w:val="single" w:sz="4" w:space="0" w:color="9CA3AF"/>
              <w:right w:val="single" w:sz="4" w:space="0" w:color="9CA3AF"/>
            </w:tcBorders>
            <w:shd w:val="clear" w:color="auto" w:fill="auto"/>
            <w:hideMark/>
          </w:tcPr>
          <w:p w14:paraId="523A293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1C4B819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596" w:type="dxa"/>
            <w:tcBorders>
              <w:top w:val="nil"/>
              <w:left w:val="nil"/>
              <w:bottom w:val="single" w:sz="4" w:space="0" w:color="9CA3AF"/>
              <w:right w:val="single" w:sz="4" w:space="0" w:color="9CA3AF"/>
            </w:tcBorders>
            <w:shd w:val="clear" w:color="auto" w:fill="auto"/>
            <w:hideMark/>
          </w:tcPr>
          <w:p w14:paraId="17B64AB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75CA99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50,000,000</w:t>
            </w:r>
          </w:p>
        </w:tc>
        <w:tc>
          <w:tcPr>
            <w:tcW w:w="1352" w:type="dxa"/>
            <w:tcBorders>
              <w:top w:val="nil"/>
              <w:left w:val="nil"/>
              <w:bottom w:val="single" w:sz="4" w:space="0" w:color="9CA3AF"/>
              <w:right w:val="single" w:sz="4" w:space="0" w:color="9CA3AF"/>
            </w:tcBorders>
            <w:shd w:val="clear" w:color="auto" w:fill="auto"/>
            <w:hideMark/>
          </w:tcPr>
          <w:p w14:paraId="48E3DE2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IPA 2018</w:t>
            </w:r>
          </w:p>
        </w:tc>
      </w:tr>
      <w:tr w:rsidR="00F54824" w:rsidRPr="002128A6" w14:paraId="1D375325"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4CFF4E53"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2.7</w:t>
            </w:r>
          </w:p>
        </w:tc>
        <w:tc>
          <w:tcPr>
            <w:tcW w:w="649" w:type="dxa"/>
            <w:tcBorders>
              <w:top w:val="nil"/>
              <w:left w:val="nil"/>
              <w:bottom w:val="nil"/>
              <w:right w:val="nil"/>
            </w:tcBorders>
            <w:shd w:val="clear" w:color="FDEADA" w:fill="FEF3C7"/>
            <w:noWrap/>
            <w:vAlign w:val="bottom"/>
            <w:hideMark/>
          </w:tcPr>
          <w:p w14:paraId="796C9AAB"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50,000,000</w:t>
            </w:r>
          </w:p>
        </w:tc>
        <w:tc>
          <w:tcPr>
            <w:tcW w:w="1352" w:type="dxa"/>
            <w:tcBorders>
              <w:top w:val="nil"/>
              <w:left w:val="nil"/>
              <w:bottom w:val="nil"/>
              <w:right w:val="nil"/>
            </w:tcBorders>
            <w:shd w:val="clear" w:color="auto" w:fill="auto"/>
            <w:noWrap/>
            <w:vAlign w:val="bottom"/>
            <w:hideMark/>
          </w:tcPr>
          <w:p w14:paraId="56768E20"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5CCCCDC1"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6E7D6D08"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 xml:space="preserve">OS 2.8 — 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r>
      <w:tr w:rsidR="00F54824" w:rsidRPr="002128A6" w14:paraId="582D84B1"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37FE5D1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3445745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w:t>
            </w:r>
          </w:p>
        </w:tc>
        <w:tc>
          <w:tcPr>
            <w:tcW w:w="867" w:type="dxa"/>
            <w:tcBorders>
              <w:top w:val="single" w:sz="4" w:space="0" w:color="9CA3AF"/>
              <w:left w:val="nil"/>
              <w:bottom w:val="single" w:sz="4" w:space="0" w:color="9CA3AF"/>
              <w:right w:val="single" w:sz="4" w:space="0" w:color="9CA3AF"/>
            </w:tcBorders>
            <w:shd w:val="clear" w:color="F1F5F9" w:fill="ECFDF5"/>
            <w:hideMark/>
          </w:tcPr>
          <w:p w14:paraId="678C667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517" w:type="dxa"/>
            <w:tcBorders>
              <w:top w:val="single" w:sz="4" w:space="0" w:color="9CA3AF"/>
              <w:left w:val="nil"/>
              <w:bottom w:val="single" w:sz="4" w:space="0" w:color="9CA3AF"/>
              <w:right w:val="single" w:sz="4" w:space="0" w:color="9CA3AF"/>
            </w:tcBorders>
            <w:shd w:val="clear" w:color="F1F5F9" w:fill="ECFDF5"/>
            <w:hideMark/>
          </w:tcPr>
          <w:p w14:paraId="104507E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434C123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aktivitetit hetimor parandalues dhe proaktiv kundër krimeve mjedisore, me qëllim përmirësimin e mekanizmave mbrojtës dhe identifikimin e hershëm të veprave penale mjedisore, përfshirë përmes shënjestrimit të bazuar në rrezik, patrullimeve dhe inspektimeve të udhëhequra nga inteligjenca, si dhe nisjes në kohë të hetimeve proaktive.</w:t>
            </w:r>
          </w:p>
        </w:tc>
        <w:tc>
          <w:tcPr>
            <w:tcW w:w="524" w:type="dxa"/>
            <w:tcBorders>
              <w:top w:val="single" w:sz="4" w:space="0" w:color="9CA3AF"/>
              <w:left w:val="nil"/>
              <w:bottom w:val="single" w:sz="4" w:space="0" w:color="9CA3AF"/>
              <w:right w:val="single" w:sz="4" w:space="0" w:color="9CA3AF"/>
            </w:tcBorders>
            <w:shd w:val="clear" w:color="auto" w:fill="auto"/>
            <w:hideMark/>
          </w:tcPr>
          <w:p w14:paraId="58647D4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2.8.1</w:t>
            </w:r>
          </w:p>
        </w:tc>
        <w:tc>
          <w:tcPr>
            <w:tcW w:w="1307" w:type="dxa"/>
            <w:tcBorders>
              <w:top w:val="single" w:sz="4" w:space="0" w:color="9CA3AF"/>
              <w:left w:val="nil"/>
              <w:bottom w:val="single" w:sz="4" w:space="0" w:color="9CA3AF"/>
              <w:right w:val="single" w:sz="4" w:space="0" w:color="9CA3AF"/>
            </w:tcBorders>
            <w:shd w:val="clear" w:color="auto" w:fill="auto"/>
            <w:hideMark/>
          </w:tcPr>
          <w:p w14:paraId="22272C2B" w14:textId="6A37011E"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Kryerja e patrullimeve të shënjestruara, të bazuara në rrezik dhe të udhëhequra nga inteligjenca, në zonat me rrezik të lartë për prerjen e paligjshme, trafikimin e mbetjeve, krimin ndaj kafshëve të egra dhe nxjerrjen e paautorizuar të burimeve natyrore, duke siguruar identifikim të hershëm të veprave.</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Nisja e hetimeve proaktive bazuar në tregues të rrezikut mjedisor, imazhe satelitore, monitorim me dron</w:t>
            </w:r>
            <w:r w:rsidR="008602A2">
              <w:rPr>
                <w:rFonts w:ascii="Garamond" w:eastAsia="Times New Roman" w:hAnsi="Garamond" w:cs="Times New Roman"/>
                <w:kern w:val="0"/>
                <w:sz w:val="8"/>
                <w:szCs w:val="8"/>
                <w14:ligatures w14:val="none"/>
              </w:rPr>
              <w:t>e</w:t>
            </w:r>
            <w:r w:rsidRPr="002128A6">
              <w:rPr>
                <w:rFonts w:ascii="Garamond" w:eastAsia="Times New Roman" w:hAnsi="Garamond" w:cs="Times New Roman"/>
                <w:kern w:val="0"/>
                <w:sz w:val="8"/>
                <w:szCs w:val="8"/>
                <w14:ligatures w14:val="none"/>
              </w:rPr>
              <w:t xml:space="preserve"> dhe raportim komunitar, duke mundësuar ndërhyrje në kohë dhe zhvillim të çështjes.</w:t>
            </w:r>
          </w:p>
        </w:tc>
        <w:tc>
          <w:tcPr>
            <w:tcW w:w="699" w:type="dxa"/>
            <w:tcBorders>
              <w:top w:val="single" w:sz="4" w:space="0" w:color="9CA3AF"/>
              <w:left w:val="nil"/>
              <w:bottom w:val="single" w:sz="4" w:space="0" w:color="9CA3AF"/>
              <w:right w:val="single" w:sz="4" w:space="0" w:color="9CA3AF"/>
            </w:tcBorders>
            <w:shd w:val="clear" w:color="auto" w:fill="auto"/>
            <w:hideMark/>
          </w:tcPr>
          <w:p w14:paraId="53D62E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single" w:sz="4" w:space="0" w:color="auto"/>
              <w:left w:val="single" w:sz="4" w:space="0" w:color="auto"/>
              <w:bottom w:val="single" w:sz="4" w:space="0" w:color="auto"/>
              <w:right w:val="single" w:sz="4" w:space="0" w:color="auto"/>
            </w:tcBorders>
            <w:shd w:val="clear" w:color="000000" w:fill="FFFFFF"/>
            <w:hideMark/>
          </w:tcPr>
          <w:p w14:paraId="5AC3169A" w14:textId="126D150F"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Inspektorati Kombëtar i Mbrojtjes së Territorit</w:t>
            </w:r>
          </w:p>
        </w:tc>
        <w:tc>
          <w:tcPr>
            <w:tcW w:w="966" w:type="dxa"/>
            <w:tcBorders>
              <w:top w:val="single" w:sz="4" w:space="0" w:color="9CA3AF"/>
              <w:left w:val="single" w:sz="4" w:space="0" w:color="9CA3AF"/>
              <w:bottom w:val="single" w:sz="4" w:space="0" w:color="9CA3AF"/>
              <w:right w:val="single" w:sz="4" w:space="0" w:color="9CA3AF"/>
            </w:tcBorders>
            <w:shd w:val="clear" w:color="auto" w:fill="auto"/>
            <w:hideMark/>
          </w:tcPr>
          <w:p w14:paraId="094708EF" w14:textId="56C875ED"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w:t>
            </w:r>
            <w:r w:rsidR="002128A6" w:rsidRPr="002128A6">
              <w:rPr>
                <w:rFonts w:ascii="Garamond" w:eastAsia="Times New Roman" w:hAnsi="Garamond" w:cs="Times New Roman"/>
                <w:kern w:val="0"/>
                <w:sz w:val="8"/>
                <w:szCs w:val="8"/>
                <w14:ligatures w14:val="none"/>
              </w:rPr>
              <w:t>Mjedisit</w:t>
            </w:r>
            <w:r w:rsidRPr="002128A6">
              <w:rPr>
                <w:rFonts w:ascii="Garamond" w:eastAsia="Times New Roman" w:hAnsi="Garamond" w:cs="Times New Roman"/>
                <w:kern w:val="0"/>
                <w:sz w:val="8"/>
                <w:szCs w:val="8"/>
                <w14:ligatures w14:val="none"/>
              </w:rPr>
              <w:t>; Byroja Kombëtare e Hetimit;</w:t>
            </w:r>
          </w:p>
        </w:tc>
        <w:tc>
          <w:tcPr>
            <w:tcW w:w="439" w:type="dxa"/>
            <w:tcBorders>
              <w:top w:val="single" w:sz="4" w:space="0" w:color="9CA3AF"/>
              <w:left w:val="nil"/>
              <w:bottom w:val="single" w:sz="4" w:space="0" w:color="9CA3AF"/>
              <w:right w:val="single" w:sz="4" w:space="0" w:color="9CA3AF"/>
            </w:tcBorders>
            <w:shd w:val="clear" w:color="auto" w:fill="auto"/>
            <w:hideMark/>
          </w:tcPr>
          <w:p w14:paraId="052E7D6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638CFA2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3265BD6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041FEF5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2051074"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5485AF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3D64EF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w:t>
            </w:r>
          </w:p>
        </w:tc>
        <w:tc>
          <w:tcPr>
            <w:tcW w:w="867" w:type="dxa"/>
            <w:tcBorders>
              <w:top w:val="nil"/>
              <w:left w:val="nil"/>
              <w:bottom w:val="single" w:sz="4" w:space="0" w:color="9CA3AF"/>
              <w:right w:val="single" w:sz="4" w:space="0" w:color="9CA3AF"/>
            </w:tcBorders>
            <w:shd w:val="clear" w:color="F1F5F9" w:fill="ECFDF5"/>
            <w:hideMark/>
          </w:tcPr>
          <w:p w14:paraId="6FA0D53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517" w:type="dxa"/>
            <w:tcBorders>
              <w:top w:val="nil"/>
              <w:left w:val="nil"/>
              <w:bottom w:val="single" w:sz="4" w:space="0" w:color="9CA3AF"/>
              <w:right w:val="single" w:sz="4" w:space="0" w:color="9CA3AF"/>
            </w:tcBorders>
            <w:shd w:val="clear" w:color="F1F5F9" w:fill="ECFDF5"/>
            <w:hideMark/>
          </w:tcPr>
          <w:p w14:paraId="081F82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2.8.2</w:t>
            </w:r>
          </w:p>
        </w:tc>
        <w:tc>
          <w:tcPr>
            <w:tcW w:w="1007" w:type="dxa"/>
            <w:tcBorders>
              <w:top w:val="nil"/>
              <w:left w:val="nil"/>
              <w:bottom w:val="single" w:sz="4" w:space="0" w:color="9CA3AF"/>
              <w:right w:val="single" w:sz="4" w:space="0" w:color="9CA3AF"/>
            </w:tcBorders>
            <w:shd w:val="clear" w:color="F1F5F9" w:fill="ECFDF5"/>
            <w:hideMark/>
          </w:tcPr>
          <w:p w14:paraId="3BE80AB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shkëmbimit të informacionit si mjet strategjik për të përmirësuar cilësinë dhe efektivitetin e hetimeve të veprave penale që lidhen me krimet mjedisore, në bashkëpunim me prokuroritë e juridiksionit të përgjithshëm, përfshirë përmes koordinimit të strukturuar të çështjeve, referimeve në kohë dhe ndarjes së pistave hetimore, nevojave provuese dhe produkteve analitike.</w:t>
            </w:r>
          </w:p>
        </w:tc>
        <w:tc>
          <w:tcPr>
            <w:tcW w:w="524" w:type="dxa"/>
            <w:tcBorders>
              <w:top w:val="nil"/>
              <w:left w:val="nil"/>
              <w:bottom w:val="single" w:sz="4" w:space="0" w:color="9CA3AF"/>
              <w:right w:val="single" w:sz="4" w:space="0" w:color="9CA3AF"/>
            </w:tcBorders>
            <w:shd w:val="clear" w:color="auto" w:fill="auto"/>
            <w:hideMark/>
          </w:tcPr>
          <w:p w14:paraId="4FF0F2B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2.8.2</w:t>
            </w:r>
          </w:p>
        </w:tc>
        <w:tc>
          <w:tcPr>
            <w:tcW w:w="1307" w:type="dxa"/>
            <w:tcBorders>
              <w:top w:val="nil"/>
              <w:left w:val="nil"/>
              <w:bottom w:val="single" w:sz="4" w:space="0" w:color="9CA3AF"/>
              <w:right w:val="single" w:sz="4" w:space="0" w:color="9CA3AF"/>
            </w:tcBorders>
            <w:shd w:val="clear" w:color="auto" w:fill="auto"/>
            <w:hideMark/>
          </w:tcPr>
          <w:p w14:paraId="699B37B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Krijimi i mekanizmave të strukturuar të koordinimit të çështjes me prokurorët, përfshirë takime të rregullta, rishikim të përbashkët të pistave hetimore dhe referime në kohë të veprave të dyshuara mjedisore.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Shpërndarja e produkteve analitike, nevojave provuese dhe konstatimeve hetimore për të përmirësuar cilësinë e çështjes dhe për të siguruar kualifikim dhe ndjekje konsistente të krimeve mjedisore..</w:t>
            </w:r>
          </w:p>
        </w:tc>
        <w:tc>
          <w:tcPr>
            <w:tcW w:w="699" w:type="dxa"/>
            <w:tcBorders>
              <w:top w:val="nil"/>
              <w:left w:val="nil"/>
              <w:bottom w:val="single" w:sz="4" w:space="0" w:color="9CA3AF"/>
              <w:right w:val="single" w:sz="4" w:space="0" w:color="9CA3AF"/>
            </w:tcBorders>
            <w:shd w:val="clear" w:color="auto" w:fill="auto"/>
            <w:hideMark/>
          </w:tcPr>
          <w:p w14:paraId="02B4F89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auto"/>
              <w:bottom w:val="single" w:sz="4" w:space="0" w:color="auto"/>
              <w:right w:val="single" w:sz="4" w:space="0" w:color="auto"/>
            </w:tcBorders>
            <w:shd w:val="clear" w:color="000000" w:fill="FFFFFF"/>
            <w:hideMark/>
          </w:tcPr>
          <w:p w14:paraId="73B096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single" w:sz="4" w:space="0" w:color="9CA3AF"/>
              <w:bottom w:val="single" w:sz="4" w:space="0" w:color="9CA3AF"/>
              <w:right w:val="single" w:sz="4" w:space="0" w:color="9CA3AF"/>
            </w:tcBorders>
            <w:shd w:val="clear" w:color="auto" w:fill="auto"/>
            <w:hideMark/>
          </w:tcPr>
          <w:p w14:paraId="5878BC6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Prokuroria e Përgjithshme; Byroja Kombëtare e Hetimit;</w:t>
            </w:r>
          </w:p>
        </w:tc>
        <w:tc>
          <w:tcPr>
            <w:tcW w:w="439" w:type="dxa"/>
            <w:tcBorders>
              <w:top w:val="nil"/>
              <w:left w:val="nil"/>
              <w:bottom w:val="single" w:sz="4" w:space="0" w:color="9CA3AF"/>
              <w:right w:val="single" w:sz="4" w:space="0" w:color="9CA3AF"/>
            </w:tcBorders>
            <w:shd w:val="clear" w:color="auto" w:fill="auto"/>
            <w:hideMark/>
          </w:tcPr>
          <w:p w14:paraId="2AE1746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63B158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3B5461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C4EB1B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7A76CE8"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6754EA7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FB487A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w:t>
            </w:r>
          </w:p>
        </w:tc>
        <w:tc>
          <w:tcPr>
            <w:tcW w:w="867" w:type="dxa"/>
            <w:tcBorders>
              <w:top w:val="nil"/>
              <w:left w:val="nil"/>
              <w:bottom w:val="single" w:sz="4" w:space="0" w:color="9CA3AF"/>
              <w:right w:val="single" w:sz="4" w:space="0" w:color="9CA3AF"/>
            </w:tcBorders>
            <w:shd w:val="clear" w:color="F1F5F9" w:fill="ECFDF5"/>
            <w:hideMark/>
          </w:tcPr>
          <w:p w14:paraId="0BC55ED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517" w:type="dxa"/>
            <w:tcBorders>
              <w:top w:val="nil"/>
              <w:left w:val="nil"/>
              <w:bottom w:val="single" w:sz="4" w:space="0" w:color="9CA3AF"/>
              <w:right w:val="single" w:sz="4" w:space="0" w:color="9CA3AF"/>
            </w:tcBorders>
            <w:shd w:val="clear" w:color="F1F5F9" w:fill="ECFDF5"/>
            <w:hideMark/>
          </w:tcPr>
          <w:p w14:paraId="2DD384D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2.8.3</w:t>
            </w:r>
          </w:p>
        </w:tc>
        <w:tc>
          <w:tcPr>
            <w:tcW w:w="1007" w:type="dxa"/>
            <w:tcBorders>
              <w:top w:val="nil"/>
              <w:left w:val="nil"/>
              <w:bottom w:val="single" w:sz="4" w:space="0" w:color="9CA3AF"/>
              <w:right w:val="single" w:sz="4" w:space="0" w:color="9CA3AF"/>
            </w:tcBorders>
            <w:shd w:val="clear" w:color="F1F5F9" w:fill="ECFDF5"/>
            <w:hideMark/>
          </w:tcPr>
          <w:p w14:paraId="269D05AD" w14:textId="0C5D843B"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ndërkombëtar në shkëmbimin e informacionit mbi krimin mjedisor, përmes kanaleve të sigurta të komunikimit, me qëllim sigurinë mjedisore globale dhe kombëtare, duke promovuar bashkëpunimin ndërkufitar dhe hetimet e përbashkëta, si dhe duke përdorur mjetet dhe mekanizmat përkatës sipas UNTOC (Konventës së OKB-së kundër Krimit të Organizuar Transnacional) për të luftuar prerjen e paligjshme, trafikimin e mbetjeve, dhe trafikimin 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kafshëve të egra. </w:t>
            </w:r>
          </w:p>
        </w:tc>
        <w:tc>
          <w:tcPr>
            <w:tcW w:w="524" w:type="dxa"/>
            <w:tcBorders>
              <w:top w:val="nil"/>
              <w:left w:val="nil"/>
              <w:bottom w:val="single" w:sz="4" w:space="0" w:color="9CA3AF"/>
              <w:right w:val="single" w:sz="4" w:space="0" w:color="9CA3AF"/>
            </w:tcBorders>
            <w:shd w:val="clear" w:color="auto" w:fill="auto"/>
            <w:hideMark/>
          </w:tcPr>
          <w:p w14:paraId="70EF8D3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2.8.3</w:t>
            </w:r>
          </w:p>
        </w:tc>
        <w:tc>
          <w:tcPr>
            <w:tcW w:w="1307" w:type="dxa"/>
            <w:tcBorders>
              <w:top w:val="nil"/>
              <w:left w:val="nil"/>
              <w:bottom w:val="single" w:sz="4" w:space="0" w:color="9CA3AF"/>
              <w:right w:val="single" w:sz="4" w:space="0" w:color="9CA3AF"/>
            </w:tcBorders>
            <w:shd w:val="clear" w:color="auto" w:fill="auto"/>
            <w:hideMark/>
          </w:tcPr>
          <w:p w14:paraId="31089EB7" w14:textId="2BB40452"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Përdorimi i kanaleve të sigurta të komunikimit dhe mekanizmave të UNTOC-ut për shkëmbimin e informacionit me autoritetet e huaja mbi prerjen e paligjshme, trafikimin e mbetjeve, kontrabandën e kafshëve të egra dhe veprat mjedisore ndërkufitare.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Pjesëmarrja në hetime të përbashkëta, operacione ndërkufitare dhe task</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forca ndërkombëtare për të goditur rrjetet transnacionale të krimit mjedisor.</w:t>
            </w:r>
          </w:p>
        </w:tc>
        <w:tc>
          <w:tcPr>
            <w:tcW w:w="699" w:type="dxa"/>
            <w:tcBorders>
              <w:top w:val="nil"/>
              <w:left w:val="nil"/>
              <w:bottom w:val="single" w:sz="4" w:space="0" w:color="9CA3AF"/>
              <w:right w:val="single" w:sz="4" w:space="0" w:color="9CA3AF"/>
            </w:tcBorders>
            <w:shd w:val="clear" w:color="auto" w:fill="auto"/>
            <w:hideMark/>
          </w:tcPr>
          <w:p w14:paraId="32BDAD8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91604AA</w:t>
            </w:r>
          </w:p>
        </w:tc>
        <w:tc>
          <w:tcPr>
            <w:tcW w:w="914" w:type="dxa"/>
            <w:tcBorders>
              <w:top w:val="nil"/>
              <w:left w:val="single" w:sz="4" w:space="0" w:color="auto"/>
              <w:bottom w:val="single" w:sz="4" w:space="0" w:color="auto"/>
              <w:right w:val="single" w:sz="4" w:space="0" w:color="auto"/>
            </w:tcBorders>
            <w:shd w:val="clear" w:color="000000" w:fill="FFFFFF"/>
            <w:hideMark/>
          </w:tcPr>
          <w:p w14:paraId="31B6956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single" w:sz="4" w:space="0" w:color="9CA3AF"/>
              <w:bottom w:val="single" w:sz="4" w:space="0" w:color="9CA3AF"/>
              <w:right w:val="single" w:sz="4" w:space="0" w:color="9CA3AF"/>
            </w:tcBorders>
            <w:shd w:val="clear" w:color="auto" w:fill="auto"/>
            <w:hideMark/>
          </w:tcPr>
          <w:p w14:paraId="448E01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16DCAC7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2AD0718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19A0E36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C417EB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40D733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D09B0C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7CEF0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w:t>
            </w:r>
          </w:p>
        </w:tc>
        <w:tc>
          <w:tcPr>
            <w:tcW w:w="867" w:type="dxa"/>
            <w:tcBorders>
              <w:top w:val="nil"/>
              <w:left w:val="nil"/>
              <w:bottom w:val="single" w:sz="4" w:space="0" w:color="9CA3AF"/>
              <w:right w:val="single" w:sz="4" w:space="0" w:color="9CA3AF"/>
            </w:tcBorders>
            <w:shd w:val="clear" w:color="F1F5F9" w:fill="ECFDF5"/>
            <w:hideMark/>
          </w:tcPr>
          <w:p w14:paraId="18E65E9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517" w:type="dxa"/>
            <w:tcBorders>
              <w:top w:val="nil"/>
              <w:left w:val="nil"/>
              <w:bottom w:val="single" w:sz="4" w:space="0" w:color="9CA3AF"/>
              <w:right w:val="single" w:sz="4" w:space="0" w:color="9CA3AF"/>
            </w:tcBorders>
            <w:shd w:val="clear" w:color="F1F5F9" w:fill="ECFDF5"/>
            <w:hideMark/>
          </w:tcPr>
          <w:p w14:paraId="58C6C64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2.8.4</w:t>
            </w:r>
          </w:p>
        </w:tc>
        <w:tc>
          <w:tcPr>
            <w:tcW w:w="1007" w:type="dxa"/>
            <w:tcBorders>
              <w:top w:val="nil"/>
              <w:left w:val="nil"/>
              <w:bottom w:val="single" w:sz="4" w:space="0" w:color="9CA3AF"/>
              <w:right w:val="single" w:sz="4" w:space="0" w:color="9CA3AF"/>
            </w:tcBorders>
            <w:shd w:val="clear" w:color="F1F5F9" w:fill="ECFDF5"/>
            <w:hideMark/>
          </w:tcPr>
          <w:p w14:paraId="5CB1775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Ofrimi i trajnimit të përbashkët për oficerët e agjencive ligjzbatuese mbi identifikimin, zbulimin dhe referimin (kualifikimin) e krimeve mjedisore, përfshirë trajnimin mbi tipologjitë e krimit mjedisor, kërkesat e mbledhjes së provave dhe procedurat e koordinimit me inspektorët dhe prokurorët.</w:t>
            </w:r>
          </w:p>
        </w:tc>
        <w:tc>
          <w:tcPr>
            <w:tcW w:w="524" w:type="dxa"/>
            <w:tcBorders>
              <w:top w:val="nil"/>
              <w:left w:val="nil"/>
              <w:bottom w:val="single" w:sz="4" w:space="0" w:color="9CA3AF"/>
              <w:right w:val="single" w:sz="4" w:space="0" w:color="9CA3AF"/>
            </w:tcBorders>
            <w:shd w:val="clear" w:color="auto" w:fill="auto"/>
            <w:hideMark/>
          </w:tcPr>
          <w:p w14:paraId="1F3B635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2.8.4</w:t>
            </w:r>
          </w:p>
        </w:tc>
        <w:tc>
          <w:tcPr>
            <w:tcW w:w="1307" w:type="dxa"/>
            <w:tcBorders>
              <w:top w:val="nil"/>
              <w:left w:val="nil"/>
              <w:bottom w:val="single" w:sz="4" w:space="0" w:color="9CA3AF"/>
              <w:right w:val="single" w:sz="4" w:space="0" w:color="9CA3AF"/>
            </w:tcBorders>
            <w:shd w:val="clear" w:color="auto" w:fill="auto"/>
            <w:hideMark/>
          </w:tcPr>
          <w:p w14:paraId="445F300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Ofrimi i trajnimit të specializuar mbi tipologjitë e krimit mjedisor, kërkesat e mbledhjes së provave dhe procedurat e koordinimit me inspektorët mjedisorë dhe prokurorët.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Kryerja e ushtrimeve të përbashkëta praktike që simulojnë dokumentimin e vendit të krimit, marrjen e mostrave dhe proceset e referimit, me qëllim forcimin e bashkëpunimit ndërinstitucional.</w:t>
            </w:r>
          </w:p>
        </w:tc>
        <w:tc>
          <w:tcPr>
            <w:tcW w:w="699" w:type="dxa"/>
            <w:tcBorders>
              <w:top w:val="nil"/>
              <w:left w:val="nil"/>
              <w:bottom w:val="single" w:sz="4" w:space="0" w:color="9CA3AF"/>
              <w:right w:val="single" w:sz="4" w:space="0" w:color="9CA3AF"/>
            </w:tcBorders>
            <w:shd w:val="clear" w:color="auto" w:fill="auto"/>
            <w:hideMark/>
          </w:tcPr>
          <w:p w14:paraId="12C1C56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single" w:sz="4" w:space="0" w:color="auto"/>
              <w:bottom w:val="single" w:sz="4" w:space="0" w:color="auto"/>
              <w:right w:val="single" w:sz="4" w:space="0" w:color="auto"/>
            </w:tcBorders>
            <w:shd w:val="clear" w:color="000000" w:fill="FFFFFF"/>
            <w:hideMark/>
          </w:tcPr>
          <w:p w14:paraId="2EBE9985" w14:textId="52773F5B"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Inspektorati Kombëtar i Mbrojtjes së Territorit</w:t>
            </w:r>
          </w:p>
        </w:tc>
        <w:tc>
          <w:tcPr>
            <w:tcW w:w="966" w:type="dxa"/>
            <w:tcBorders>
              <w:top w:val="nil"/>
              <w:left w:val="single" w:sz="4" w:space="0" w:color="9CA3AF"/>
              <w:bottom w:val="single" w:sz="4" w:space="0" w:color="9CA3AF"/>
              <w:right w:val="single" w:sz="4" w:space="0" w:color="9CA3AF"/>
            </w:tcBorders>
            <w:shd w:val="clear" w:color="auto" w:fill="auto"/>
            <w:hideMark/>
          </w:tcPr>
          <w:p w14:paraId="61145762" w14:textId="13DDBF2C"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Prokuroria e Përgjithshme; Byroja Kombëtare e Hetimit; Ministria e </w:t>
            </w:r>
            <w:r w:rsidR="002128A6" w:rsidRPr="002128A6">
              <w:rPr>
                <w:rFonts w:ascii="Garamond" w:eastAsia="Times New Roman" w:hAnsi="Garamond" w:cs="Times New Roman"/>
                <w:kern w:val="0"/>
                <w:sz w:val="8"/>
                <w:szCs w:val="8"/>
                <w14:ligatures w14:val="none"/>
              </w:rPr>
              <w:t>Mjedisit</w:t>
            </w:r>
            <w:r w:rsidRPr="002128A6">
              <w:rPr>
                <w:rFonts w:ascii="Garamond" w:eastAsia="Times New Roman" w:hAnsi="Garamond" w:cs="Times New Roman"/>
                <w:kern w:val="0"/>
                <w:sz w:val="8"/>
                <w:szCs w:val="8"/>
                <w14:ligatures w14:val="none"/>
              </w:rPr>
              <w:t>;</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Inspektorati i Përgjithshëm; Policia e Shtetit </w:t>
            </w:r>
          </w:p>
        </w:tc>
        <w:tc>
          <w:tcPr>
            <w:tcW w:w="439" w:type="dxa"/>
            <w:tcBorders>
              <w:top w:val="nil"/>
              <w:left w:val="nil"/>
              <w:bottom w:val="single" w:sz="4" w:space="0" w:color="9CA3AF"/>
              <w:right w:val="single" w:sz="4" w:space="0" w:color="9CA3AF"/>
            </w:tcBorders>
            <w:shd w:val="clear" w:color="auto" w:fill="auto"/>
            <w:hideMark/>
          </w:tcPr>
          <w:p w14:paraId="6469432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5425FB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E5E2DC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0E0EACF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3909788"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30AD54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1A4269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w:t>
            </w:r>
          </w:p>
        </w:tc>
        <w:tc>
          <w:tcPr>
            <w:tcW w:w="867" w:type="dxa"/>
            <w:tcBorders>
              <w:top w:val="nil"/>
              <w:left w:val="nil"/>
              <w:bottom w:val="single" w:sz="4" w:space="0" w:color="9CA3AF"/>
              <w:right w:val="single" w:sz="4" w:space="0" w:color="9CA3AF"/>
            </w:tcBorders>
            <w:shd w:val="clear" w:color="F1F5F9" w:fill="ECFDF5"/>
            <w:hideMark/>
          </w:tcPr>
          <w:p w14:paraId="1169FC3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517" w:type="dxa"/>
            <w:tcBorders>
              <w:top w:val="nil"/>
              <w:left w:val="nil"/>
              <w:bottom w:val="single" w:sz="4" w:space="0" w:color="9CA3AF"/>
              <w:right w:val="single" w:sz="4" w:space="0" w:color="9CA3AF"/>
            </w:tcBorders>
            <w:shd w:val="clear" w:color="F1F5F9" w:fill="ECFDF5"/>
            <w:hideMark/>
          </w:tcPr>
          <w:p w14:paraId="29FDF07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2.8.5</w:t>
            </w:r>
          </w:p>
        </w:tc>
        <w:tc>
          <w:tcPr>
            <w:tcW w:w="1007" w:type="dxa"/>
            <w:tcBorders>
              <w:top w:val="nil"/>
              <w:left w:val="nil"/>
              <w:bottom w:val="single" w:sz="4" w:space="0" w:color="9CA3AF"/>
              <w:right w:val="single" w:sz="4" w:space="0" w:color="9CA3AF"/>
            </w:tcBorders>
            <w:shd w:val="clear" w:color="F1F5F9" w:fill="ECFDF5"/>
            <w:hideMark/>
          </w:tcPr>
          <w:p w14:paraId="0DFF282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Krijimi dhe operacionalizimi i njësive të specializuara për identifikimin dhe hetimin e krimeve mjedisore, duke përcaktuar mandatet, profilet e personelit, mekanizmat e koordinimit me inspektoratet mjedisore dhe prokurorët, dhe përdorimin e mjeteve dhe metodologjive të specializuara për zbulimin dhe zhvillimin e çështjes.</w:t>
            </w:r>
          </w:p>
        </w:tc>
        <w:tc>
          <w:tcPr>
            <w:tcW w:w="524" w:type="dxa"/>
            <w:tcBorders>
              <w:top w:val="nil"/>
              <w:left w:val="nil"/>
              <w:bottom w:val="single" w:sz="4" w:space="0" w:color="9CA3AF"/>
              <w:right w:val="single" w:sz="4" w:space="0" w:color="9CA3AF"/>
            </w:tcBorders>
            <w:shd w:val="clear" w:color="auto" w:fill="auto"/>
            <w:hideMark/>
          </w:tcPr>
          <w:p w14:paraId="10B4990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2.8.5</w:t>
            </w:r>
          </w:p>
        </w:tc>
        <w:tc>
          <w:tcPr>
            <w:tcW w:w="1307" w:type="dxa"/>
            <w:tcBorders>
              <w:top w:val="nil"/>
              <w:left w:val="nil"/>
              <w:bottom w:val="single" w:sz="4" w:space="0" w:color="9CA3AF"/>
              <w:right w:val="single" w:sz="4" w:space="0" w:color="9CA3AF"/>
            </w:tcBorders>
            <w:shd w:val="clear" w:color="auto" w:fill="auto"/>
            <w:hideMark/>
          </w:tcPr>
          <w:p w14:paraId="7B607C58" w14:textId="216E935D"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Ngritja e njësive të specializuara me mandate të përcaktuara, profile personeli dhe procedura operacionale për zbulimin dhe hetimin e krimeve mjedisore.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Pajisja e njësive me mjete të specializuara, si GPS, kite për marrje mostrash, dron</w:t>
            </w:r>
            <w:r w:rsidR="002128A6">
              <w:rPr>
                <w:rFonts w:ascii="Garamond" w:eastAsia="Times New Roman" w:hAnsi="Garamond" w:cs="Times New Roman"/>
                <w:kern w:val="0"/>
                <w:sz w:val="8"/>
                <w:szCs w:val="8"/>
                <w14:ligatures w14:val="none"/>
              </w:rPr>
              <w:t>e</w:t>
            </w:r>
            <w:r w:rsidRPr="002128A6">
              <w:rPr>
                <w:rFonts w:ascii="Garamond" w:eastAsia="Times New Roman" w:hAnsi="Garamond" w:cs="Times New Roman"/>
                <w:kern w:val="0"/>
                <w:sz w:val="8"/>
                <w:szCs w:val="8"/>
                <w14:ligatures w14:val="none"/>
              </w:rPr>
              <w:t xml:space="preserve"> dhe mjete të hartëzimit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 si dhe koordinimi i strukturuar me inspektoratet mjedisore dhe prokurorët.</w:t>
            </w:r>
          </w:p>
        </w:tc>
        <w:tc>
          <w:tcPr>
            <w:tcW w:w="699" w:type="dxa"/>
            <w:tcBorders>
              <w:top w:val="nil"/>
              <w:left w:val="nil"/>
              <w:bottom w:val="single" w:sz="4" w:space="0" w:color="9CA3AF"/>
              <w:right w:val="single" w:sz="4" w:space="0" w:color="9CA3AF"/>
            </w:tcBorders>
            <w:shd w:val="clear" w:color="auto" w:fill="auto"/>
            <w:hideMark/>
          </w:tcPr>
          <w:p w14:paraId="3F8F44C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single" w:sz="4" w:space="0" w:color="auto"/>
              <w:bottom w:val="single" w:sz="4" w:space="0" w:color="auto"/>
              <w:right w:val="single" w:sz="4" w:space="0" w:color="auto"/>
            </w:tcBorders>
            <w:shd w:val="clear" w:color="000000" w:fill="FFFFFF"/>
            <w:hideMark/>
          </w:tcPr>
          <w:p w14:paraId="764D56E2" w14:textId="2D28C2EB"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Inspektorati Kombëtar i Mbrojtjes së Territorit</w:t>
            </w:r>
          </w:p>
        </w:tc>
        <w:tc>
          <w:tcPr>
            <w:tcW w:w="966" w:type="dxa"/>
            <w:tcBorders>
              <w:top w:val="nil"/>
              <w:left w:val="single" w:sz="4" w:space="0" w:color="9CA3AF"/>
              <w:bottom w:val="single" w:sz="4" w:space="0" w:color="9CA3AF"/>
              <w:right w:val="single" w:sz="4" w:space="0" w:color="9CA3AF"/>
            </w:tcBorders>
            <w:shd w:val="clear" w:color="auto" w:fill="auto"/>
            <w:hideMark/>
          </w:tcPr>
          <w:p w14:paraId="100B13D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Mjedisit; Inspektorati i Përgjithshëm</w:t>
            </w:r>
          </w:p>
        </w:tc>
        <w:tc>
          <w:tcPr>
            <w:tcW w:w="439" w:type="dxa"/>
            <w:tcBorders>
              <w:top w:val="nil"/>
              <w:left w:val="nil"/>
              <w:bottom w:val="single" w:sz="4" w:space="0" w:color="9CA3AF"/>
              <w:right w:val="single" w:sz="4" w:space="0" w:color="9CA3AF"/>
            </w:tcBorders>
            <w:shd w:val="clear" w:color="auto" w:fill="auto"/>
            <w:hideMark/>
          </w:tcPr>
          <w:p w14:paraId="1404DCC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19965E37"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8A925F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C235C1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B72EA2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D11E03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QP II</w:t>
            </w:r>
          </w:p>
        </w:tc>
        <w:tc>
          <w:tcPr>
            <w:tcW w:w="330" w:type="dxa"/>
            <w:tcBorders>
              <w:top w:val="nil"/>
              <w:left w:val="nil"/>
              <w:bottom w:val="single" w:sz="4" w:space="0" w:color="9CA3AF"/>
              <w:right w:val="single" w:sz="4" w:space="0" w:color="9CA3AF"/>
            </w:tcBorders>
            <w:shd w:val="clear" w:color="F1F5F9" w:fill="ECFDF5"/>
            <w:hideMark/>
          </w:tcPr>
          <w:p w14:paraId="11D3BDC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w:t>
            </w:r>
          </w:p>
        </w:tc>
        <w:tc>
          <w:tcPr>
            <w:tcW w:w="867" w:type="dxa"/>
            <w:tcBorders>
              <w:top w:val="nil"/>
              <w:left w:val="nil"/>
              <w:bottom w:val="single" w:sz="4" w:space="0" w:color="9CA3AF"/>
              <w:right w:val="single" w:sz="4" w:space="0" w:color="9CA3AF"/>
            </w:tcBorders>
            <w:shd w:val="clear" w:color="F1F5F9" w:fill="ECFDF5"/>
            <w:hideMark/>
          </w:tcPr>
          <w:p w14:paraId="03254C2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517" w:type="dxa"/>
            <w:tcBorders>
              <w:top w:val="nil"/>
              <w:left w:val="nil"/>
              <w:bottom w:val="single" w:sz="4" w:space="0" w:color="9CA3AF"/>
              <w:right w:val="single" w:sz="4" w:space="0" w:color="9CA3AF"/>
            </w:tcBorders>
            <w:shd w:val="clear" w:color="F1F5F9" w:fill="ECFDF5"/>
            <w:hideMark/>
          </w:tcPr>
          <w:p w14:paraId="48E800A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2.8.6</w:t>
            </w:r>
          </w:p>
        </w:tc>
        <w:tc>
          <w:tcPr>
            <w:tcW w:w="1007" w:type="dxa"/>
            <w:tcBorders>
              <w:top w:val="nil"/>
              <w:left w:val="nil"/>
              <w:bottom w:val="single" w:sz="4" w:space="0" w:color="9CA3AF"/>
              <w:right w:val="single" w:sz="4" w:space="0" w:color="9CA3AF"/>
            </w:tcBorders>
            <w:shd w:val="clear" w:color="F1F5F9" w:fill="ECFDF5"/>
            <w:hideMark/>
          </w:tcPr>
          <w:p w14:paraId="076D401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Integrimi i kurrikulave të krimit mjedisor në Akademinë e Sigurisë, si dhe hartimi i moduleve të specializuara të trajnimit ndërinstitucional për hetuesit financiarë, prokurorët dhe inspektorët mjedisorë, përfshirë module për korrupsionin e gjelbër, të ardhurat mjedisore nga krimi, si dhe flukset e paligjshme financiare që rrjedhin nga krimet mjedisore, me qëllim forcimin e parandalimit, zbulimit dhe ndërtimit efektiv të çështjes.</w:t>
            </w:r>
          </w:p>
        </w:tc>
        <w:tc>
          <w:tcPr>
            <w:tcW w:w="524" w:type="dxa"/>
            <w:tcBorders>
              <w:top w:val="nil"/>
              <w:left w:val="nil"/>
              <w:bottom w:val="single" w:sz="4" w:space="0" w:color="9CA3AF"/>
              <w:right w:val="single" w:sz="4" w:space="0" w:color="9CA3AF"/>
            </w:tcBorders>
            <w:shd w:val="clear" w:color="auto" w:fill="auto"/>
            <w:hideMark/>
          </w:tcPr>
          <w:p w14:paraId="054078C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2.8.6</w:t>
            </w:r>
          </w:p>
        </w:tc>
        <w:tc>
          <w:tcPr>
            <w:tcW w:w="1307" w:type="dxa"/>
            <w:tcBorders>
              <w:top w:val="nil"/>
              <w:left w:val="nil"/>
              <w:bottom w:val="single" w:sz="4" w:space="0" w:color="9CA3AF"/>
              <w:right w:val="single" w:sz="4" w:space="0" w:color="9CA3AF"/>
            </w:tcBorders>
            <w:shd w:val="clear" w:color="auto" w:fill="auto"/>
            <w:hideMark/>
          </w:tcPr>
          <w:p w14:paraId="1566AD5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Futja e moduleve të krimit mjedisor në programet e Akademisë së Sigurisë, përfshirë korrupsionin e gjelbër, të ardhurat mjedisore nga krimi dhe flukset e paligjshme financiare të lidhura me veprat mjedisore.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Përgatitja e moduleve të trajnimit ndërinstitucional për hetuesit financiarë, prokurorët dhe inspektorët mjedisorë, me qëllim forcimin e kapaciteteve të parandalimit, zbulimit dhe ndërtimit të çështjes.</w:t>
            </w:r>
          </w:p>
        </w:tc>
        <w:tc>
          <w:tcPr>
            <w:tcW w:w="699" w:type="dxa"/>
            <w:tcBorders>
              <w:top w:val="nil"/>
              <w:left w:val="nil"/>
              <w:bottom w:val="single" w:sz="4" w:space="0" w:color="9CA3AF"/>
              <w:right w:val="single" w:sz="4" w:space="0" w:color="9CA3AF"/>
            </w:tcBorders>
            <w:shd w:val="clear" w:color="auto" w:fill="auto"/>
            <w:hideMark/>
          </w:tcPr>
          <w:p w14:paraId="1F14687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single" w:sz="4" w:space="0" w:color="auto"/>
              <w:bottom w:val="single" w:sz="4" w:space="0" w:color="auto"/>
              <w:right w:val="single" w:sz="4" w:space="0" w:color="auto"/>
            </w:tcBorders>
            <w:shd w:val="clear" w:color="000000" w:fill="FFFFFF"/>
            <w:hideMark/>
          </w:tcPr>
          <w:p w14:paraId="6CF7E40F" w14:textId="640159B1"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Akademia e Sigurisë</w:t>
            </w:r>
          </w:p>
        </w:tc>
        <w:tc>
          <w:tcPr>
            <w:tcW w:w="966" w:type="dxa"/>
            <w:tcBorders>
              <w:top w:val="nil"/>
              <w:left w:val="single" w:sz="4" w:space="0" w:color="9CA3AF"/>
              <w:bottom w:val="single" w:sz="4" w:space="0" w:color="9CA3AF"/>
              <w:right w:val="single" w:sz="4" w:space="0" w:color="9CA3AF"/>
            </w:tcBorders>
            <w:shd w:val="clear" w:color="auto" w:fill="auto"/>
            <w:hideMark/>
          </w:tcPr>
          <w:p w14:paraId="7CF4FCF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5D98C68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904F13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DA6084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45990C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6CC14DC"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28E0C2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3E73EA5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w:t>
            </w:r>
          </w:p>
        </w:tc>
        <w:tc>
          <w:tcPr>
            <w:tcW w:w="867" w:type="dxa"/>
            <w:tcBorders>
              <w:top w:val="nil"/>
              <w:left w:val="nil"/>
              <w:bottom w:val="single" w:sz="4" w:space="0" w:color="9CA3AF"/>
              <w:right w:val="single" w:sz="4" w:space="0" w:color="9CA3AF"/>
            </w:tcBorders>
            <w:shd w:val="clear" w:color="F1F5F9" w:fill="ECFDF5"/>
            <w:hideMark/>
          </w:tcPr>
          <w:p w14:paraId="7FF0CBD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517" w:type="dxa"/>
            <w:tcBorders>
              <w:top w:val="nil"/>
              <w:left w:val="nil"/>
              <w:bottom w:val="single" w:sz="4" w:space="0" w:color="9CA3AF"/>
              <w:right w:val="single" w:sz="4" w:space="0" w:color="9CA3AF"/>
            </w:tcBorders>
            <w:shd w:val="clear" w:color="F1F5F9" w:fill="ECFDF5"/>
            <w:hideMark/>
          </w:tcPr>
          <w:p w14:paraId="53C9BE1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2.8.7</w:t>
            </w:r>
          </w:p>
        </w:tc>
        <w:tc>
          <w:tcPr>
            <w:tcW w:w="1007" w:type="dxa"/>
            <w:tcBorders>
              <w:top w:val="nil"/>
              <w:left w:val="nil"/>
              <w:bottom w:val="single" w:sz="4" w:space="0" w:color="9CA3AF"/>
              <w:right w:val="single" w:sz="4" w:space="0" w:color="9CA3AF"/>
            </w:tcBorders>
            <w:shd w:val="clear" w:color="F1F5F9" w:fill="ECFDF5"/>
            <w:hideMark/>
          </w:tcPr>
          <w:p w14:paraId="7D8E6C4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Përfshirja e kurrikulave të krimit mjedisor në Shkollën e Magjistraturës për trajnimin fillestar dhe të vazhdueshëm të magjistratëve, përfshirë modulet mbi kualifikimin e veprave, standardet provuese, të ardhurat e krimit mjedisor dhe përdorimin e ekspertizës së specializuar dhe koordinimit ndërinstitucional në procedimet e krimit mjedisor.</w:t>
            </w:r>
          </w:p>
        </w:tc>
        <w:tc>
          <w:tcPr>
            <w:tcW w:w="524" w:type="dxa"/>
            <w:tcBorders>
              <w:top w:val="nil"/>
              <w:left w:val="nil"/>
              <w:bottom w:val="single" w:sz="4" w:space="0" w:color="9CA3AF"/>
              <w:right w:val="single" w:sz="4" w:space="0" w:color="9CA3AF"/>
            </w:tcBorders>
            <w:shd w:val="clear" w:color="auto" w:fill="auto"/>
            <w:hideMark/>
          </w:tcPr>
          <w:p w14:paraId="5BDC6CD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2.8.7</w:t>
            </w:r>
          </w:p>
        </w:tc>
        <w:tc>
          <w:tcPr>
            <w:tcW w:w="1307" w:type="dxa"/>
            <w:tcBorders>
              <w:top w:val="nil"/>
              <w:left w:val="nil"/>
              <w:bottom w:val="single" w:sz="4" w:space="0" w:color="9CA3AF"/>
              <w:right w:val="single" w:sz="4" w:space="0" w:color="9CA3AF"/>
            </w:tcBorders>
            <w:shd w:val="clear" w:color="auto" w:fill="auto"/>
            <w:hideMark/>
          </w:tcPr>
          <w:p w14:paraId="3247F23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Përgatitja e moduleve të specializuara të trajnimi për magjistratët mbi kualifikimin e veprave mjedisore, standardet provuese dhe përdorimin e dëshmisë së ekspertit në çështjet e krimit mjedisor.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Ofrimi i trajnimit të vazhdueshëm mbi të ardhurat e krimit mjedisor, koordinimin ndërinstitucional dhe ndjekjen gjyqësore të çështjeve komplekse të krimit mjedisor.</w:t>
            </w:r>
          </w:p>
        </w:tc>
        <w:tc>
          <w:tcPr>
            <w:tcW w:w="699" w:type="dxa"/>
            <w:tcBorders>
              <w:top w:val="nil"/>
              <w:left w:val="nil"/>
              <w:bottom w:val="single" w:sz="4" w:space="0" w:color="9CA3AF"/>
              <w:right w:val="single" w:sz="4" w:space="0" w:color="9CA3AF"/>
            </w:tcBorders>
            <w:shd w:val="clear" w:color="auto" w:fill="auto"/>
            <w:hideMark/>
          </w:tcPr>
          <w:p w14:paraId="0D24ACE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1055001</w:t>
            </w:r>
          </w:p>
        </w:tc>
        <w:tc>
          <w:tcPr>
            <w:tcW w:w="914" w:type="dxa"/>
            <w:tcBorders>
              <w:top w:val="nil"/>
              <w:left w:val="single" w:sz="4" w:space="0" w:color="auto"/>
              <w:bottom w:val="single" w:sz="4" w:space="0" w:color="auto"/>
              <w:right w:val="single" w:sz="4" w:space="0" w:color="auto"/>
            </w:tcBorders>
            <w:shd w:val="clear" w:color="000000" w:fill="FFFFFF"/>
            <w:hideMark/>
          </w:tcPr>
          <w:p w14:paraId="53091FB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Shkolla e Magjistraturës</w:t>
            </w:r>
          </w:p>
        </w:tc>
        <w:tc>
          <w:tcPr>
            <w:tcW w:w="966" w:type="dxa"/>
            <w:tcBorders>
              <w:top w:val="nil"/>
              <w:left w:val="single" w:sz="4" w:space="0" w:color="9CA3AF"/>
              <w:bottom w:val="single" w:sz="4" w:space="0" w:color="9CA3AF"/>
              <w:right w:val="single" w:sz="4" w:space="0" w:color="9CA3AF"/>
            </w:tcBorders>
            <w:shd w:val="clear" w:color="auto" w:fill="auto"/>
            <w:hideMark/>
          </w:tcPr>
          <w:p w14:paraId="2012592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7AF2939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715F08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FBA87F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1FF361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3D3DC34"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6E490E57"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2.8</w:t>
            </w:r>
          </w:p>
        </w:tc>
        <w:tc>
          <w:tcPr>
            <w:tcW w:w="649" w:type="dxa"/>
            <w:tcBorders>
              <w:top w:val="nil"/>
              <w:left w:val="nil"/>
              <w:bottom w:val="nil"/>
              <w:right w:val="nil"/>
            </w:tcBorders>
            <w:shd w:val="clear" w:color="FDEADA" w:fill="FEF3C7"/>
            <w:noWrap/>
            <w:vAlign w:val="bottom"/>
            <w:hideMark/>
          </w:tcPr>
          <w:p w14:paraId="03B81852"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4889A6E1"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744ABEFF"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51B3A842"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2.9 — Rritja e efektivitetit të ndjekjes ndërkombëtare të personave të kërkuar, e demonstruar përmes normave më të larta të arrestimit dhe ekzekutimit në kohë të procedurave të ekstradimit.</w:t>
            </w:r>
          </w:p>
        </w:tc>
      </w:tr>
      <w:tr w:rsidR="00F54824" w:rsidRPr="002128A6" w14:paraId="737065C0"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728E205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517C86F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w:t>
            </w:r>
          </w:p>
        </w:tc>
        <w:tc>
          <w:tcPr>
            <w:tcW w:w="867" w:type="dxa"/>
            <w:tcBorders>
              <w:top w:val="single" w:sz="4" w:space="0" w:color="9CA3AF"/>
              <w:left w:val="nil"/>
              <w:bottom w:val="single" w:sz="4" w:space="0" w:color="9CA3AF"/>
              <w:right w:val="single" w:sz="4" w:space="0" w:color="9CA3AF"/>
            </w:tcBorders>
            <w:shd w:val="clear" w:color="F1F5F9" w:fill="ECFDF5"/>
            <w:hideMark/>
          </w:tcPr>
          <w:p w14:paraId="3153BE2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efektivitetit të ndjekjes ndërkombëtare të personave të kërkuar, e demonstruar përmes normave më të larta të arrestimit dhe ekzekutimit në kohë të procedurave të ekstradimit</w:t>
            </w:r>
          </w:p>
        </w:tc>
        <w:tc>
          <w:tcPr>
            <w:tcW w:w="517" w:type="dxa"/>
            <w:tcBorders>
              <w:top w:val="single" w:sz="4" w:space="0" w:color="9CA3AF"/>
              <w:left w:val="nil"/>
              <w:bottom w:val="single" w:sz="4" w:space="0" w:color="9CA3AF"/>
              <w:right w:val="single" w:sz="4" w:space="0" w:color="9CA3AF"/>
            </w:tcBorders>
            <w:shd w:val="clear" w:color="F1F5F9" w:fill="ECFDF5"/>
            <w:hideMark/>
          </w:tcPr>
          <w:p w14:paraId="74B3A08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2A21851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përpjekjeve kombëtare dhe ndërkombëtare për lokalizimin, kapjen dhe vënien përpara drejtësisë të personave në kërkim kombëtar dhe ndërkombëtar, përfshirë përmes shënjestrimit të udhëhequr nga inteligjenca, veprimeve operacionale të koordinuara dhe ekzekutimit në kohë të vendimeve gjyqësore dhe kërkesave ndërkombëtare (përfshirë procedurat e arrestimit dhe ekstradimit/dorëzimit), me qëllim rritjen e normave të arrestimit dhe reduktimin e pandëshkueshmërisë.</w:t>
            </w:r>
          </w:p>
        </w:tc>
        <w:tc>
          <w:tcPr>
            <w:tcW w:w="524" w:type="dxa"/>
            <w:tcBorders>
              <w:top w:val="single" w:sz="4" w:space="0" w:color="9CA3AF"/>
              <w:left w:val="nil"/>
              <w:bottom w:val="single" w:sz="4" w:space="0" w:color="9CA3AF"/>
              <w:right w:val="single" w:sz="4" w:space="0" w:color="9CA3AF"/>
            </w:tcBorders>
            <w:shd w:val="clear" w:color="auto" w:fill="auto"/>
            <w:hideMark/>
          </w:tcPr>
          <w:p w14:paraId="62FC03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2.9.1</w:t>
            </w:r>
          </w:p>
        </w:tc>
        <w:tc>
          <w:tcPr>
            <w:tcW w:w="1307" w:type="dxa"/>
            <w:tcBorders>
              <w:top w:val="single" w:sz="4" w:space="0" w:color="9CA3AF"/>
              <w:left w:val="nil"/>
              <w:bottom w:val="single" w:sz="4" w:space="0" w:color="9CA3AF"/>
              <w:right w:val="single" w:sz="4" w:space="0" w:color="9CA3AF"/>
            </w:tcBorders>
            <w:shd w:val="clear" w:color="auto" w:fill="auto"/>
            <w:hideMark/>
          </w:tcPr>
          <w:p w14:paraId="791568B1" w14:textId="2A1827C9"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Kryerja e shënjestrimit të udhëhequr nga inteligjenca të individëve në kërkim kombëtar dhe ndërkombëtar, duke përdorur mjete analitike, tregues rreziku dhe inteligjencë operacionale për të prioritizuar të kërkuarit me rrezik të lartë.</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veprimeve operacionale të koordinuara me agjencitë ligjzbatuese kombëtare dhe të huaja, për ekzekutimin e urdhrave të arrestit kapjen në kohë dhe mbështetjen e procedurave të ekstradimit ose dorëzimit.</w:t>
            </w:r>
          </w:p>
        </w:tc>
        <w:tc>
          <w:tcPr>
            <w:tcW w:w="699" w:type="dxa"/>
            <w:tcBorders>
              <w:top w:val="single" w:sz="4" w:space="0" w:color="9CA3AF"/>
              <w:left w:val="nil"/>
              <w:bottom w:val="single" w:sz="4" w:space="0" w:color="9CA3AF"/>
              <w:right w:val="single" w:sz="4" w:space="0" w:color="9CA3AF"/>
            </w:tcBorders>
            <w:shd w:val="clear" w:color="auto" w:fill="auto"/>
            <w:hideMark/>
          </w:tcPr>
          <w:p w14:paraId="455E423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91604AD</w:t>
            </w:r>
          </w:p>
        </w:tc>
        <w:tc>
          <w:tcPr>
            <w:tcW w:w="914" w:type="dxa"/>
            <w:tcBorders>
              <w:top w:val="single" w:sz="4" w:space="0" w:color="9CA3AF"/>
              <w:left w:val="nil"/>
              <w:bottom w:val="single" w:sz="4" w:space="0" w:color="9CA3AF"/>
              <w:right w:val="single" w:sz="4" w:space="0" w:color="9CA3AF"/>
            </w:tcBorders>
            <w:shd w:val="clear" w:color="auto" w:fill="auto"/>
            <w:hideMark/>
          </w:tcPr>
          <w:p w14:paraId="4C1F11D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single" w:sz="4" w:space="0" w:color="9CA3AF"/>
              <w:left w:val="nil"/>
              <w:bottom w:val="single" w:sz="4" w:space="0" w:color="9CA3AF"/>
              <w:right w:val="single" w:sz="4" w:space="0" w:color="9CA3AF"/>
            </w:tcBorders>
            <w:shd w:val="clear" w:color="auto" w:fill="auto"/>
            <w:hideMark/>
          </w:tcPr>
          <w:p w14:paraId="5EFB76F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Drejtësisë</w:t>
            </w:r>
          </w:p>
        </w:tc>
        <w:tc>
          <w:tcPr>
            <w:tcW w:w="439" w:type="dxa"/>
            <w:tcBorders>
              <w:top w:val="single" w:sz="4" w:space="0" w:color="9CA3AF"/>
              <w:left w:val="nil"/>
              <w:bottom w:val="single" w:sz="4" w:space="0" w:color="9CA3AF"/>
              <w:right w:val="single" w:sz="4" w:space="0" w:color="9CA3AF"/>
            </w:tcBorders>
            <w:shd w:val="clear" w:color="auto" w:fill="auto"/>
            <w:hideMark/>
          </w:tcPr>
          <w:p w14:paraId="700F94C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20CAA4B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191D5925"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15F1AC6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2B5CCEEB"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9FC71A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24A0297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w:t>
            </w:r>
          </w:p>
        </w:tc>
        <w:tc>
          <w:tcPr>
            <w:tcW w:w="867" w:type="dxa"/>
            <w:tcBorders>
              <w:top w:val="nil"/>
              <w:left w:val="nil"/>
              <w:bottom w:val="single" w:sz="4" w:space="0" w:color="9CA3AF"/>
              <w:right w:val="single" w:sz="4" w:space="0" w:color="9CA3AF"/>
            </w:tcBorders>
            <w:shd w:val="clear" w:color="F1F5F9" w:fill="ECFDF5"/>
            <w:hideMark/>
          </w:tcPr>
          <w:p w14:paraId="2F64B83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efektivitetit të ndjekjes ndërkombëtare të personave të kërkuar, e demonstruar përmes normave më të larta të arrestimit dhe ekzekutimit në kohë të procedurave të ekstradimit</w:t>
            </w:r>
          </w:p>
        </w:tc>
        <w:tc>
          <w:tcPr>
            <w:tcW w:w="517" w:type="dxa"/>
            <w:tcBorders>
              <w:top w:val="nil"/>
              <w:left w:val="nil"/>
              <w:bottom w:val="single" w:sz="4" w:space="0" w:color="9CA3AF"/>
              <w:right w:val="single" w:sz="4" w:space="0" w:color="9CA3AF"/>
            </w:tcBorders>
            <w:shd w:val="clear" w:color="F1F5F9" w:fill="ECFDF5"/>
            <w:hideMark/>
          </w:tcPr>
          <w:p w14:paraId="45FBEFF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2.9.2</w:t>
            </w:r>
          </w:p>
        </w:tc>
        <w:tc>
          <w:tcPr>
            <w:tcW w:w="1007" w:type="dxa"/>
            <w:tcBorders>
              <w:top w:val="nil"/>
              <w:left w:val="nil"/>
              <w:bottom w:val="single" w:sz="4" w:space="0" w:color="9CA3AF"/>
              <w:right w:val="single" w:sz="4" w:space="0" w:color="9CA3AF"/>
            </w:tcBorders>
            <w:shd w:val="clear" w:color="F1F5F9" w:fill="ECFDF5"/>
            <w:hideMark/>
          </w:tcPr>
          <w:p w14:paraId="6D31DCB3" w14:textId="4EBD7580"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shkëmbimit të të dhënave me Shtetet Anëtare të ENFAST, </w:t>
            </w:r>
            <w:r w:rsidR="00956886" w:rsidRPr="002128A6">
              <w:rPr>
                <w:rFonts w:ascii="Garamond" w:eastAsia="Times New Roman" w:hAnsi="Garamond" w:cs="Times New Roman"/>
                <w:kern w:val="0"/>
                <w:sz w:val="8"/>
                <w:szCs w:val="8"/>
                <w14:ligatures w14:val="none"/>
              </w:rPr>
              <w:t xml:space="preserve">Europol </w:t>
            </w:r>
            <w:r w:rsidRPr="002128A6">
              <w:rPr>
                <w:rFonts w:ascii="Garamond" w:eastAsia="Times New Roman" w:hAnsi="Garamond" w:cs="Times New Roman"/>
                <w:kern w:val="0"/>
                <w:sz w:val="8"/>
                <w:szCs w:val="8"/>
                <w14:ligatures w14:val="none"/>
              </w:rPr>
              <w:t>dhe INTERPOL, përfshirë përmes kanaleve të sigurta të komunikimit, procedurave të standardizuara të kërkesave dhe përgjigjeve, ndarjes në kohë të sinjalizimeve dhe pistave hetimore dhe ndjekjes sistematike të informacionit të marrë, me qëllim përshpejtimin e identifikimit, lokalizimit dhe arrestimit të personave të kërkuar.</w:t>
            </w:r>
          </w:p>
        </w:tc>
        <w:tc>
          <w:tcPr>
            <w:tcW w:w="524" w:type="dxa"/>
            <w:tcBorders>
              <w:top w:val="nil"/>
              <w:left w:val="nil"/>
              <w:bottom w:val="single" w:sz="4" w:space="0" w:color="9CA3AF"/>
              <w:right w:val="single" w:sz="4" w:space="0" w:color="9CA3AF"/>
            </w:tcBorders>
            <w:shd w:val="clear" w:color="auto" w:fill="auto"/>
            <w:hideMark/>
          </w:tcPr>
          <w:p w14:paraId="2CECB68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2.9.2</w:t>
            </w:r>
          </w:p>
        </w:tc>
        <w:tc>
          <w:tcPr>
            <w:tcW w:w="1307" w:type="dxa"/>
            <w:tcBorders>
              <w:top w:val="nil"/>
              <w:left w:val="nil"/>
              <w:bottom w:val="single" w:sz="4" w:space="0" w:color="9CA3AF"/>
              <w:right w:val="single" w:sz="4" w:space="0" w:color="9CA3AF"/>
            </w:tcBorders>
            <w:shd w:val="clear" w:color="auto" w:fill="auto"/>
            <w:hideMark/>
          </w:tcPr>
          <w:p w14:paraId="10239B2F" w14:textId="564CFBB2"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kanaleve të sigurta të komunikimit dhe shkëmbimit të informacionit me ENFAST, </w:t>
            </w:r>
            <w:r w:rsidR="00956886" w:rsidRPr="002128A6">
              <w:rPr>
                <w:rFonts w:ascii="Garamond" w:eastAsia="Times New Roman" w:hAnsi="Garamond" w:cs="Times New Roman"/>
                <w:kern w:val="0"/>
                <w:sz w:val="8"/>
                <w:szCs w:val="8"/>
                <w14:ligatures w14:val="none"/>
              </w:rPr>
              <w:t xml:space="preserve">Europol </w:t>
            </w:r>
            <w:r w:rsidRPr="002128A6">
              <w:rPr>
                <w:rFonts w:ascii="Garamond" w:eastAsia="Times New Roman" w:hAnsi="Garamond" w:cs="Times New Roman"/>
                <w:kern w:val="0"/>
                <w:sz w:val="8"/>
                <w:szCs w:val="8"/>
                <w14:ligatures w14:val="none"/>
              </w:rPr>
              <w:t xml:space="preserve">dhe </w:t>
            </w:r>
            <w:r w:rsidR="00A634DB" w:rsidRPr="002128A6">
              <w:rPr>
                <w:rFonts w:ascii="Garamond" w:eastAsia="Times New Roman" w:hAnsi="Garamond" w:cs="Times New Roman"/>
                <w:kern w:val="0"/>
                <w:sz w:val="8"/>
                <w:szCs w:val="8"/>
                <w14:ligatures w14:val="none"/>
              </w:rPr>
              <w:t>INTERPOL</w:t>
            </w:r>
            <w:r w:rsidRPr="002128A6">
              <w:rPr>
                <w:rFonts w:ascii="Garamond" w:eastAsia="Times New Roman" w:hAnsi="Garamond" w:cs="Times New Roman"/>
                <w:kern w:val="0"/>
                <w:sz w:val="8"/>
                <w:szCs w:val="8"/>
                <w14:ligatures w14:val="none"/>
              </w:rPr>
              <w:t xml:space="preserve">, duke siguruar transmetim në kohë të sinjalizimeve, Njoftimeve të Kuqe dhe pistave hetimore.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Zbatimi i procedurave standarde për kërkesat dhe përgjigjet, si dhe ndjekja sistematike e informacionit të marrë për të përshpejtuar identifikimin, lokalizimin dhe arrestimin e personave të kërkuar</w:t>
            </w:r>
          </w:p>
        </w:tc>
        <w:tc>
          <w:tcPr>
            <w:tcW w:w="699" w:type="dxa"/>
            <w:tcBorders>
              <w:top w:val="nil"/>
              <w:left w:val="nil"/>
              <w:bottom w:val="single" w:sz="4" w:space="0" w:color="9CA3AF"/>
              <w:right w:val="single" w:sz="4" w:space="0" w:color="9CA3AF"/>
            </w:tcBorders>
            <w:shd w:val="clear" w:color="auto" w:fill="auto"/>
            <w:hideMark/>
          </w:tcPr>
          <w:p w14:paraId="410525C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91604AB</w:t>
            </w:r>
          </w:p>
        </w:tc>
        <w:tc>
          <w:tcPr>
            <w:tcW w:w="914" w:type="dxa"/>
            <w:tcBorders>
              <w:top w:val="nil"/>
              <w:left w:val="nil"/>
              <w:bottom w:val="single" w:sz="4" w:space="0" w:color="9CA3AF"/>
              <w:right w:val="single" w:sz="4" w:space="0" w:color="9CA3AF"/>
            </w:tcBorders>
            <w:shd w:val="clear" w:color="auto" w:fill="auto"/>
            <w:hideMark/>
          </w:tcPr>
          <w:p w14:paraId="7D86221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1DD7E444" w14:textId="35EE8734" w:rsidR="00C42826" w:rsidRPr="002128A6" w:rsidRDefault="0095688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Europol</w:t>
            </w:r>
            <w:r w:rsidR="00C42826" w:rsidRPr="002128A6">
              <w:rPr>
                <w:rFonts w:ascii="Garamond" w:eastAsia="Times New Roman" w:hAnsi="Garamond" w:cs="Times New Roman"/>
                <w:kern w:val="0"/>
                <w:sz w:val="8"/>
                <w:szCs w:val="8"/>
                <w14:ligatures w14:val="none"/>
              </w:rPr>
              <w:t xml:space="preserve">; </w:t>
            </w:r>
            <w:r w:rsidR="00A634DB" w:rsidRPr="002128A6">
              <w:rPr>
                <w:rFonts w:ascii="Garamond" w:eastAsia="Times New Roman" w:hAnsi="Garamond" w:cs="Times New Roman"/>
                <w:kern w:val="0"/>
                <w:sz w:val="8"/>
                <w:szCs w:val="8"/>
                <w14:ligatures w14:val="none"/>
              </w:rPr>
              <w:t>INTERPOL</w:t>
            </w:r>
          </w:p>
        </w:tc>
        <w:tc>
          <w:tcPr>
            <w:tcW w:w="439" w:type="dxa"/>
            <w:tcBorders>
              <w:top w:val="nil"/>
              <w:left w:val="nil"/>
              <w:bottom w:val="single" w:sz="4" w:space="0" w:color="9CA3AF"/>
              <w:right w:val="single" w:sz="4" w:space="0" w:color="9CA3AF"/>
            </w:tcBorders>
            <w:shd w:val="clear" w:color="auto" w:fill="auto"/>
            <w:hideMark/>
          </w:tcPr>
          <w:p w14:paraId="7E5CD8D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AF7D5F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20D9777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51C91CA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6FE3E6F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27AD3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5D0556D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w:t>
            </w:r>
          </w:p>
        </w:tc>
        <w:tc>
          <w:tcPr>
            <w:tcW w:w="867" w:type="dxa"/>
            <w:tcBorders>
              <w:top w:val="nil"/>
              <w:left w:val="nil"/>
              <w:bottom w:val="single" w:sz="4" w:space="0" w:color="9CA3AF"/>
              <w:right w:val="single" w:sz="4" w:space="0" w:color="9CA3AF"/>
            </w:tcBorders>
            <w:shd w:val="clear" w:color="F1F5F9" w:fill="ECFDF5"/>
            <w:hideMark/>
          </w:tcPr>
          <w:p w14:paraId="30E0837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efektivitetit të ndjekjes ndërkombëtare të personave të kërkuar, e demonstruar përmes normave më të larta të arrestimit dhe ekzekutimit në kohë të procedurave të ekstradimit</w:t>
            </w:r>
          </w:p>
        </w:tc>
        <w:tc>
          <w:tcPr>
            <w:tcW w:w="517" w:type="dxa"/>
            <w:tcBorders>
              <w:top w:val="nil"/>
              <w:left w:val="nil"/>
              <w:bottom w:val="single" w:sz="4" w:space="0" w:color="9CA3AF"/>
              <w:right w:val="single" w:sz="4" w:space="0" w:color="9CA3AF"/>
            </w:tcBorders>
            <w:shd w:val="clear" w:color="F1F5F9" w:fill="ECFDF5"/>
            <w:hideMark/>
          </w:tcPr>
          <w:p w14:paraId="30204984"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2.9.3</w:t>
            </w:r>
          </w:p>
        </w:tc>
        <w:tc>
          <w:tcPr>
            <w:tcW w:w="1007" w:type="dxa"/>
            <w:tcBorders>
              <w:top w:val="nil"/>
              <w:left w:val="nil"/>
              <w:bottom w:val="single" w:sz="4" w:space="0" w:color="9CA3AF"/>
              <w:right w:val="single" w:sz="4" w:space="0" w:color="9CA3AF"/>
            </w:tcBorders>
            <w:shd w:val="clear" w:color="F1F5F9" w:fill="ECFDF5"/>
            <w:hideMark/>
          </w:tcPr>
          <w:p w14:paraId="61B12C4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numrit të shtetasve shqiptarë në kërkim ndërkombëtar që lokalizohen dhe arrestohen, përfshirë përmes koordinimit të zgjeruar ndërkombëtar, ndjekjes proaktive të çështjeve me autoritetet partnere, verifikimit dhe përditësimit të të dhënave të personave të kërkuar dhe mbështetjes së procedurave të ekstradimit, me qëllim sigurimin e zbatimit në kohë të urdhrave ndërkombëtarë të arrestit dhe vendimeve gjyqësore.</w:t>
            </w:r>
          </w:p>
        </w:tc>
        <w:tc>
          <w:tcPr>
            <w:tcW w:w="524" w:type="dxa"/>
            <w:tcBorders>
              <w:top w:val="nil"/>
              <w:left w:val="nil"/>
              <w:bottom w:val="single" w:sz="4" w:space="0" w:color="9CA3AF"/>
              <w:right w:val="single" w:sz="4" w:space="0" w:color="9CA3AF"/>
            </w:tcBorders>
            <w:shd w:val="clear" w:color="auto" w:fill="auto"/>
            <w:hideMark/>
          </w:tcPr>
          <w:p w14:paraId="64FBE1F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2.9.3</w:t>
            </w:r>
          </w:p>
        </w:tc>
        <w:tc>
          <w:tcPr>
            <w:tcW w:w="1307" w:type="dxa"/>
            <w:tcBorders>
              <w:top w:val="nil"/>
              <w:left w:val="nil"/>
              <w:bottom w:val="single" w:sz="4" w:space="0" w:color="9CA3AF"/>
              <w:right w:val="single" w:sz="4" w:space="0" w:color="9CA3AF"/>
            </w:tcBorders>
            <w:shd w:val="clear" w:color="auto" w:fill="auto"/>
            <w:hideMark/>
          </w:tcPr>
          <w:p w14:paraId="2E1913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Ndjekja proaktive e çështjeve me autoritetet partnere për verifikimin, përditësimin dhe mbajtjen e të dhënave të sakta të shtetasve shqiptarë të shpallur në kërkim ndërkombëtar.</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Mbështetja e procedurave të ekstradimit, duke ofruar në kohë dokumentacionin e kërkuar, sqarimet ligjore dhe asistencën operacione për autoritetet e huaja, për të garantuar ekzekutim të shpejtë të urdhrave ndërkombëtarë të arrestit.</w:t>
            </w:r>
          </w:p>
        </w:tc>
        <w:tc>
          <w:tcPr>
            <w:tcW w:w="699" w:type="dxa"/>
            <w:tcBorders>
              <w:top w:val="nil"/>
              <w:left w:val="nil"/>
              <w:bottom w:val="single" w:sz="4" w:space="0" w:color="9CA3AF"/>
              <w:right w:val="single" w:sz="4" w:space="0" w:color="9CA3AF"/>
            </w:tcBorders>
            <w:shd w:val="clear" w:color="auto" w:fill="auto"/>
            <w:hideMark/>
          </w:tcPr>
          <w:p w14:paraId="1305745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91604AB</w:t>
            </w:r>
          </w:p>
        </w:tc>
        <w:tc>
          <w:tcPr>
            <w:tcW w:w="914" w:type="dxa"/>
            <w:tcBorders>
              <w:top w:val="nil"/>
              <w:left w:val="nil"/>
              <w:bottom w:val="single" w:sz="4" w:space="0" w:color="9CA3AF"/>
              <w:right w:val="single" w:sz="4" w:space="0" w:color="9CA3AF"/>
            </w:tcBorders>
            <w:shd w:val="clear" w:color="auto" w:fill="auto"/>
            <w:hideMark/>
          </w:tcPr>
          <w:p w14:paraId="534E115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74FD071B" w14:textId="2DB6E1D0" w:rsidR="00C42826" w:rsidRPr="002128A6" w:rsidRDefault="0095688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Europol; </w:t>
            </w:r>
            <w:r w:rsidR="00A634DB" w:rsidRPr="002128A6">
              <w:rPr>
                <w:rFonts w:ascii="Garamond" w:eastAsia="Times New Roman" w:hAnsi="Garamond" w:cs="Times New Roman"/>
                <w:kern w:val="0"/>
                <w:sz w:val="8"/>
                <w:szCs w:val="8"/>
                <w14:ligatures w14:val="none"/>
              </w:rPr>
              <w:t>INTERPOL</w:t>
            </w:r>
          </w:p>
        </w:tc>
        <w:tc>
          <w:tcPr>
            <w:tcW w:w="439" w:type="dxa"/>
            <w:tcBorders>
              <w:top w:val="nil"/>
              <w:left w:val="nil"/>
              <w:bottom w:val="single" w:sz="4" w:space="0" w:color="9CA3AF"/>
              <w:right w:val="single" w:sz="4" w:space="0" w:color="9CA3AF"/>
            </w:tcBorders>
            <w:shd w:val="clear" w:color="auto" w:fill="auto"/>
            <w:hideMark/>
          </w:tcPr>
          <w:p w14:paraId="2A068D5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5869509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5B45B913"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CD9F04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118870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51FEE9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w:t>
            </w:r>
          </w:p>
        </w:tc>
        <w:tc>
          <w:tcPr>
            <w:tcW w:w="330" w:type="dxa"/>
            <w:tcBorders>
              <w:top w:val="nil"/>
              <w:left w:val="nil"/>
              <w:bottom w:val="single" w:sz="4" w:space="0" w:color="9CA3AF"/>
              <w:right w:val="single" w:sz="4" w:space="0" w:color="9CA3AF"/>
            </w:tcBorders>
            <w:shd w:val="clear" w:color="F1F5F9" w:fill="ECFDF5"/>
            <w:hideMark/>
          </w:tcPr>
          <w:p w14:paraId="0510E98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w:t>
            </w:r>
          </w:p>
        </w:tc>
        <w:tc>
          <w:tcPr>
            <w:tcW w:w="867" w:type="dxa"/>
            <w:tcBorders>
              <w:top w:val="nil"/>
              <w:left w:val="nil"/>
              <w:bottom w:val="single" w:sz="4" w:space="0" w:color="9CA3AF"/>
              <w:right w:val="single" w:sz="4" w:space="0" w:color="9CA3AF"/>
            </w:tcBorders>
            <w:shd w:val="clear" w:color="F1F5F9" w:fill="ECFDF5"/>
            <w:hideMark/>
          </w:tcPr>
          <w:p w14:paraId="74DABAC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efektivitetit të ndjekjes ndërkombëtare të personave të kërkuar, e demonstruar përmes normave më të larta të arrestimit dhe ekzekutimit në kohë të procedurave të ekstradimit</w:t>
            </w:r>
          </w:p>
        </w:tc>
        <w:tc>
          <w:tcPr>
            <w:tcW w:w="517" w:type="dxa"/>
            <w:tcBorders>
              <w:top w:val="nil"/>
              <w:left w:val="nil"/>
              <w:bottom w:val="single" w:sz="4" w:space="0" w:color="9CA3AF"/>
              <w:right w:val="single" w:sz="4" w:space="0" w:color="9CA3AF"/>
            </w:tcBorders>
            <w:shd w:val="clear" w:color="F1F5F9" w:fill="ECFDF5"/>
            <w:hideMark/>
          </w:tcPr>
          <w:p w14:paraId="063B3D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2.9.4</w:t>
            </w:r>
          </w:p>
        </w:tc>
        <w:tc>
          <w:tcPr>
            <w:tcW w:w="1007" w:type="dxa"/>
            <w:tcBorders>
              <w:top w:val="nil"/>
              <w:left w:val="nil"/>
              <w:bottom w:val="single" w:sz="4" w:space="0" w:color="9CA3AF"/>
              <w:right w:val="single" w:sz="4" w:space="0" w:color="9CA3AF"/>
            </w:tcBorders>
            <w:shd w:val="clear" w:color="F1F5F9" w:fill="ECFDF5"/>
            <w:hideMark/>
          </w:tcPr>
          <w:p w14:paraId="29A4EBB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Publikimi dhe përditësimi periodik i identitetit të personave në kërkim ndërkombëtar, duke mbajtur të dhëna të sakta, me qëllim mbështetjen e identifikimit, lokalizimit dhe kapjes së shpejtë.</w:t>
            </w:r>
          </w:p>
        </w:tc>
        <w:tc>
          <w:tcPr>
            <w:tcW w:w="524" w:type="dxa"/>
            <w:tcBorders>
              <w:top w:val="nil"/>
              <w:left w:val="nil"/>
              <w:bottom w:val="single" w:sz="4" w:space="0" w:color="9CA3AF"/>
              <w:right w:val="single" w:sz="4" w:space="0" w:color="9CA3AF"/>
            </w:tcBorders>
            <w:shd w:val="clear" w:color="auto" w:fill="auto"/>
            <w:hideMark/>
          </w:tcPr>
          <w:p w14:paraId="36F28A7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2.9.4</w:t>
            </w:r>
          </w:p>
        </w:tc>
        <w:tc>
          <w:tcPr>
            <w:tcW w:w="1307" w:type="dxa"/>
            <w:tcBorders>
              <w:top w:val="nil"/>
              <w:left w:val="nil"/>
              <w:bottom w:val="single" w:sz="4" w:space="0" w:color="9CA3AF"/>
              <w:right w:val="single" w:sz="4" w:space="0" w:color="9CA3AF"/>
            </w:tcBorders>
            <w:shd w:val="clear" w:color="auto" w:fill="auto"/>
            <w:hideMark/>
          </w:tcPr>
          <w:p w14:paraId="11B6D4A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Mbajtja dhe përditësimi periodik i të dhënave të identitetit, fotografive dhe identifikuesve të individëve më të rrezikshëm në kërkim ndërkombëtar, për të mbështetur njohjen dhe lokalizimin e shpejtë.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Publikimi dhe shpërndarja e sigurt e informacionit mbi personin e kërkuar te partnerët përkatës kombëtarë dhe ndërkombëtarë, në përputhje me kërkesat ligjore të mbrojtjes së të dhënave.</w:t>
            </w:r>
          </w:p>
        </w:tc>
        <w:tc>
          <w:tcPr>
            <w:tcW w:w="699" w:type="dxa"/>
            <w:tcBorders>
              <w:top w:val="nil"/>
              <w:left w:val="nil"/>
              <w:bottom w:val="single" w:sz="4" w:space="0" w:color="9CA3AF"/>
              <w:right w:val="single" w:sz="4" w:space="0" w:color="9CA3AF"/>
            </w:tcBorders>
            <w:shd w:val="clear" w:color="auto" w:fill="auto"/>
            <w:hideMark/>
          </w:tcPr>
          <w:p w14:paraId="2E096B0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91604AD</w:t>
            </w:r>
          </w:p>
        </w:tc>
        <w:tc>
          <w:tcPr>
            <w:tcW w:w="914" w:type="dxa"/>
            <w:tcBorders>
              <w:top w:val="nil"/>
              <w:left w:val="nil"/>
              <w:bottom w:val="single" w:sz="4" w:space="0" w:color="9CA3AF"/>
              <w:right w:val="single" w:sz="4" w:space="0" w:color="9CA3AF"/>
            </w:tcBorders>
            <w:shd w:val="clear" w:color="auto" w:fill="auto"/>
            <w:hideMark/>
          </w:tcPr>
          <w:p w14:paraId="3A5AD8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4A3A6AA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Shërbimi Informativ i Shtetit</w:t>
            </w:r>
          </w:p>
        </w:tc>
        <w:tc>
          <w:tcPr>
            <w:tcW w:w="439" w:type="dxa"/>
            <w:tcBorders>
              <w:top w:val="nil"/>
              <w:left w:val="nil"/>
              <w:bottom w:val="single" w:sz="4" w:space="0" w:color="9CA3AF"/>
              <w:right w:val="single" w:sz="4" w:space="0" w:color="9CA3AF"/>
            </w:tcBorders>
            <w:shd w:val="clear" w:color="auto" w:fill="auto"/>
            <w:hideMark/>
          </w:tcPr>
          <w:p w14:paraId="3E1B9E1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48D462E"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ACA1A6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36644E3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5674CA4"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65017148"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2.9</w:t>
            </w:r>
          </w:p>
        </w:tc>
        <w:tc>
          <w:tcPr>
            <w:tcW w:w="649" w:type="dxa"/>
            <w:tcBorders>
              <w:top w:val="nil"/>
              <w:left w:val="nil"/>
              <w:bottom w:val="nil"/>
              <w:right w:val="nil"/>
            </w:tcBorders>
            <w:shd w:val="clear" w:color="FDEADA" w:fill="FEF3C7"/>
            <w:noWrap/>
            <w:vAlign w:val="bottom"/>
            <w:hideMark/>
          </w:tcPr>
          <w:p w14:paraId="0363D185"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2769802F"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44FB8607" w14:textId="77777777" w:rsidTr="00C42826">
        <w:trPr>
          <w:trHeight w:val="20"/>
        </w:trPr>
        <w:tc>
          <w:tcPr>
            <w:tcW w:w="10916" w:type="dxa"/>
            <w:gridSpan w:val="14"/>
            <w:tcBorders>
              <w:top w:val="nil"/>
              <w:left w:val="nil"/>
              <w:bottom w:val="nil"/>
              <w:right w:val="nil"/>
            </w:tcBorders>
            <w:shd w:val="clear" w:color="4472C4" w:fill="2563EB"/>
            <w:noWrap/>
            <w:vAlign w:val="center"/>
            <w:hideMark/>
          </w:tcPr>
          <w:p w14:paraId="36F3E095"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QËLLIMI POLITIK III — BASHKËPUNIMI KOMBËTAR DHE NDËRKOMBËTAR</w:t>
            </w:r>
          </w:p>
        </w:tc>
      </w:tr>
      <w:tr w:rsidR="00F54824" w:rsidRPr="002128A6" w14:paraId="5207442E"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0051827A"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3.1 — Forcimi i bashkëpunimit policor ndërkombëtar përmes rritjes së shkëmbimit të informacionit, operacioneve të përbashkëta, dhe ndërprerjes ndërkufitare të krimit të organizuar</w:t>
            </w:r>
          </w:p>
        </w:tc>
      </w:tr>
      <w:tr w:rsidR="00F54824" w:rsidRPr="002128A6" w14:paraId="489BB129"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7BCF8BF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6438DF7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w:t>
            </w:r>
          </w:p>
        </w:tc>
        <w:tc>
          <w:tcPr>
            <w:tcW w:w="867" w:type="dxa"/>
            <w:tcBorders>
              <w:top w:val="single" w:sz="4" w:space="0" w:color="9CA3AF"/>
              <w:left w:val="nil"/>
              <w:bottom w:val="single" w:sz="4" w:space="0" w:color="9CA3AF"/>
              <w:right w:val="single" w:sz="4" w:space="0" w:color="9CA3AF"/>
            </w:tcBorders>
            <w:shd w:val="clear" w:color="F1F5F9" w:fill="ECFDF5"/>
            <w:hideMark/>
          </w:tcPr>
          <w:p w14:paraId="74E0B6C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policor ndërkombëtar përmes rritjes së shkëmbimit të informacionit, operacioneve të përbashkëta, dhe ndërprerjes ndërkufitare të krimit të organizuar.</w:t>
            </w:r>
          </w:p>
        </w:tc>
        <w:tc>
          <w:tcPr>
            <w:tcW w:w="517" w:type="dxa"/>
            <w:tcBorders>
              <w:top w:val="single" w:sz="4" w:space="0" w:color="9CA3AF"/>
              <w:left w:val="nil"/>
              <w:bottom w:val="single" w:sz="4" w:space="0" w:color="9CA3AF"/>
              <w:right w:val="single" w:sz="4" w:space="0" w:color="9CA3AF"/>
            </w:tcBorders>
            <w:shd w:val="clear" w:color="F1F5F9" w:fill="ECFDF5"/>
            <w:hideMark/>
          </w:tcPr>
          <w:p w14:paraId="6BD01FF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2A6751B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shkëmbimit të informacionit me agjencitë ligjzbatuese të rajonit dhe më gjerë, përmes kanaleve tradicionale të bashkëpunimit, si dhe duke integruar Drejtorinë e Rikuperimit të Aseteve (DRA) në shkëmbimin operacional të informacionit, me qëllim forcimin e luftës kundër krimit të organizuar dhe përmirësimin e identifikimit, gjurmimit, ngrirjes dhe sekuestrimit të aseteve që rrjedhin nga krimi.</w:t>
            </w:r>
          </w:p>
        </w:tc>
        <w:tc>
          <w:tcPr>
            <w:tcW w:w="524" w:type="dxa"/>
            <w:tcBorders>
              <w:top w:val="single" w:sz="4" w:space="0" w:color="9CA3AF"/>
              <w:left w:val="nil"/>
              <w:bottom w:val="single" w:sz="4" w:space="0" w:color="9CA3AF"/>
              <w:right w:val="single" w:sz="4" w:space="0" w:color="9CA3AF"/>
            </w:tcBorders>
            <w:shd w:val="clear" w:color="auto" w:fill="auto"/>
            <w:hideMark/>
          </w:tcPr>
          <w:p w14:paraId="58B6FDF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3.1.1</w:t>
            </w:r>
          </w:p>
        </w:tc>
        <w:tc>
          <w:tcPr>
            <w:tcW w:w="1307" w:type="dxa"/>
            <w:tcBorders>
              <w:top w:val="single" w:sz="4" w:space="0" w:color="9CA3AF"/>
              <w:left w:val="nil"/>
              <w:bottom w:val="single" w:sz="4" w:space="0" w:color="9CA3AF"/>
              <w:right w:val="single" w:sz="4" w:space="0" w:color="9CA3AF"/>
            </w:tcBorders>
            <w:shd w:val="clear" w:color="auto" w:fill="auto"/>
            <w:hideMark/>
          </w:tcPr>
          <w:p w14:paraId="7F3921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Krijimi i flukseve të strukturuara të shkëmbimit të informacionit me partnerët rajonalë dhe ndërkombëtarë, duke siguruar transmetim në kohë të inteligjencës, sinjalizimeve operacionale dhe informacionit të gjurmimit të aseteve përmes kanaleve të sigurta.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Integrimi i Zyrës së Rikuperimit të Aseteve (ZRA) në proceset operacionale të shkëmbimit të informacionit, duke mundësuar identifikimin, gjurmimin, ngrirjen dhe sekuestrimin e koordinuar të aseteve kriminale ndërmjet kufijve.</w:t>
            </w:r>
          </w:p>
        </w:tc>
        <w:tc>
          <w:tcPr>
            <w:tcW w:w="699" w:type="dxa"/>
            <w:tcBorders>
              <w:top w:val="single" w:sz="4" w:space="0" w:color="9CA3AF"/>
              <w:left w:val="nil"/>
              <w:bottom w:val="single" w:sz="4" w:space="0" w:color="9CA3AF"/>
              <w:right w:val="single" w:sz="4" w:space="0" w:color="9CA3AF"/>
            </w:tcBorders>
            <w:shd w:val="clear" w:color="auto" w:fill="auto"/>
            <w:hideMark/>
          </w:tcPr>
          <w:p w14:paraId="4DCCDD5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91604AB</w:t>
            </w:r>
          </w:p>
        </w:tc>
        <w:tc>
          <w:tcPr>
            <w:tcW w:w="914" w:type="dxa"/>
            <w:tcBorders>
              <w:top w:val="single" w:sz="4" w:space="0" w:color="9CA3AF"/>
              <w:left w:val="nil"/>
              <w:bottom w:val="single" w:sz="4" w:space="0" w:color="9CA3AF"/>
              <w:right w:val="single" w:sz="4" w:space="0" w:color="9CA3AF"/>
            </w:tcBorders>
            <w:shd w:val="clear" w:color="auto" w:fill="auto"/>
            <w:hideMark/>
          </w:tcPr>
          <w:p w14:paraId="4754D63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single" w:sz="4" w:space="0" w:color="9CA3AF"/>
              <w:left w:val="nil"/>
              <w:bottom w:val="single" w:sz="4" w:space="0" w:color="9CA3AF"/>
              <w:right w:val="single" w:sz="4" w:space="0" w:color="9CA3AF"/>
            </w:tcBorders>
            <w:shd w:val="clear" w:color="auto" w:fill="auto"/>
            <w:hideMark/>
          </w:tcPr>
          <w:p w14:paraId="1CAB7E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Shërbimi Informativ i Shtetit; Byroja Kombëtare e Hetimit</w:t>
            </w:r>
          </w:p>
        </w:tc>
        <w:tc>
          <w:tcPr>
            <w:tcW w:w="439" w:type="dxa"/>
            <w:tcBorders>
              <w:top w:val="single" w:sz="4" w:space="0" w:color="9CA3AF"/>
              <w:left w:val="nil"/>
              <w:bottom w:val="single" w:sz="4" w:space="0" w:color="9CA3AF"/>
              <w:right w:val="single" w:sz="4" w:space="0" w:color="9CA3AF"/>
            </w:tcBorders>
            <w:shd w:val="clear" w:color="auto" w:fill="auto"/>
            <w:hideMark/>
          </w:tcPr>
          <w:p w14:paraId="7A0EE89F"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28FF154C"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5CE0D01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379ACC4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9F43DBD"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7E844E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nil"/>
              <w:left w:val="nil"/>
              <w:bottom w:val="single" w:sz="4" w:space="0" w:color="9CA3AF"/>
              <w:right w:val="single" w:sz="4" w:space="0" w:color="9CA3AF"/>
            </w:tcBorders>
            <w:shd w:val="clear" w:color="F1F5F9" w:fill="ECFDF5"/>
            <w:hideMark/>
          </w:tcPr>
          <w:p w14:paraId="44A8A8B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w:t>
            </w:r>
          </w:p>
        </w:tc>
        <w:tc>
          <w:tcPr>
            <w:tcW w:w="867" w:type="dxa"/>
            <w:tcBorders>
              <w:top w:val="nil"/>
              <w:left w:val="nil"/>
              <w:bottom w:val="single" w:sz="4" w:space="0" w:color="9CA3AF"/>
              <w:right w:val="single" w:sz="4" w:space="0" w:color="9CA3AF"/>
            </w:tcBorders>
            <w:shd w:val="clear" w:color="F1F5F9" w:fill="ECFDF5"/>
            <w:hideMark/>
          </w:tcPr>
          <w:p w14:paraId="155E2B7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Forcimi i bashkëpunimit ndërkombëtar policor për të rritur shkëmbimin e </w:t>
            </w:r>
            <w:r w:rsidRPr="002128A6">
              <w:rPr>
                <w:rFonts w:ascii="Garamond" w:eastAsia="Times New Roman" w:hAnsi="Garamond" w:cs="Times New Roman"/>
                <w:kern w:val="0"/>
                <w:sz w:val="8"/>
                <w:szCs w:val="8"/>
                <w14:ligatures w14:val="none"/>
              </w:rPr>
              <w:lastRenderedPageBreak/>
              <w:t>informacioneve, operacionet e përbashkëta dhe ndërprerjen ndërkufitare të krimit të organizuar.</w:t>
            </w:r>
          </w:p>
        </w:tc>
        <w:tc>
          <w:tcPr>
            <w:tcW w:w="517" w:type="dxa"/>
            <w:tcBorders>
              <w:top w:val="nil"/>
              <w:left w:val="nil"/>
              <w:bottom w:val="single" w:sz="4" w:space="0" w:color="9CA3AF"/>
              <w:right w:val="single" w:sz="4" w:space="0" w:color="9CA3AF"/>
            </w:tcBorders>
            <w:shd w:val="clear" w:color="F1F5F9" w:fill="ECFDF5"/>
            <w:hideMark/>
          </w:tcPr>
          <w:p w14:paraId="58B513D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3.1.2</w:t>
            </w:r>
          </w:p>
        </w:tc>
        <w:tc>
          <w:tcPr>
            <w:tcW w:w="1007" w:type="dxa"/>
            <w:tcBorders>
              <w:top w:val="nil"/>
              <w:left w:val="nil"/>
              <w:bottom w:val="single" w:sz="4" w:space="0" w:color="9CA3AF"/>
              <w:right w:val="single" w:sz="4" w:space="0" w:color="9CA3AF"/>
            </w:tcBorders>
            <w:shd w:val="clear" w:color="F1F5F9" w:fill="ECFDF5"/>
            <w:hideMark/>
          </w:tcPr>
          <w:p w14:paraId="35C6389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Rritja e bashkëpunimit me partnerët ndërkombëtarë në hetimin e krimit të organizuar dhe goditjen e </w:t>
            </w:r>
            <w:r w:rsidRPr="002128A6">
              <w:rPr>
                <w:rFonts w:ascii="Garamond" w:eastAsia="Times New Roman" w:hAnsi="Garamond" w:cs="Times New Roman"/>
                <w:kern w:val="0"/>
                <w:sz w:val="8"/>
                <w:szCs w:val="8"/>
                <w14:ligatures w14:val="none"/>
              </w:rPr>
              <w:lastRenderedPageBreak/>
              <w:t>grupeve kriminale, përmes modernizimit të shkëmbimit të informacionit dhe nisjes së hetimeve të hershme financiare, përfshirë duke mbështetur identifikimin e aktiviteteve kriminale ndërkufitare dhe sigurimin e platformave dhe kanaleve të sigurta për shkëmbimin e informacionit në kohë reale, duke synuar përdorimin e pikave të kontaktit sektorial, me qëllim forcimin e përdorimit të pikave të kontaktit sektorial dhe përmirësimin e shpejtësisë dhe cilësisë së bashkëpunimit operacional.</w:t>
            </w:r>
          </w:p>
        </w:tc>
        <w:tc>
          <w:tcPr>
            <w:tcW w:w="524" w:type="dxa"/>
            <w:tcBorders>
              <w:top w:val="nil"/>
              <w:left w:val="nil"/>
              <w:bottom w:val="single" w:sz="4" w:space="0" w:color="9CA3AF"/>
              <w:right w:val="single" w:sz="4" w:space="0" w:color="9CA3AF"/>
            </w:tcBorders>
            <w:shd w:val="clear" w:color="auto" w:fill="auto"/>
            <w:hideMark/>
          </w:tcPr>
          <w:p w14:paraId="1076599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3.1.2</w:t>
            </w:r>
          </w:p>
        </w:tc>
        <w:tc>
          <w:tcPr>
            <w:tcW w:w="1307" w:type="dxa"/>
            <w:tcBorders>
              <w:top w:val="nil"/>
              <w:left w:val="nil"/>
              <w:bottom w:val="single" w:sz="4" w:space="0" w:color="9CA3AF"/>
              <w:right w:val="single" w:sz="4" w:space="0" w:color="9CA3AF"/>
            </w:tcBorders>
            <w:shd w:val="clear" w:color="auto" w:fill="auto"/>
            <w:hideMark/>
          </w:tcPr>
          <w:p w14:paraId="2756DF8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Modernizimi i sistemeve të shkëmbimit të informacionit dhe platforma të sigurta të komunikimit në kohë reale për bashkëpunim operacional ndërkufitar, përfshirë </w:t>
            </w:r>
            <w:r w:rsidRPr="002128A6">
              <w:rPr>
                <w:rFonts w:ascii="Garamond" w:eastAsia="Times New Roman" w:hAnsi="Garamond" w:cs="Times New Roman"/>
                <w:kern w:val="0"/>
                <w:sz w:val="8"/>
                <w:szCs w:val="8"/>
                <w14:ligatures w14:val="none"/>
              </w:rPr>
              <w:lastRenderedPageBreak/>
              <w:t xml:space="preserve">përdorimin e pikave të kontaktit sektorial.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Nisja e hetimeve të hershme financiare në çështjet ndërkufitare duke ndarë pista të inteligjencës financiare, indikatorë të transaksioneve të dyshimta dhe kërkesa të gjurmimit të aseteve me autoritetet partnere.</w:t>
            </w:r>
          </w:p>
        </w:tc>
        <w:tc>
          <w:tcPr>
            <w:tcW w:w="699" w:type="dxa"/>
            <w:tcBorders>
              <w:top w:val="nil"/>
              <w:left w:val="nil"/>
              <w:bottom w:val="single" w:sz="4" w:space="0" w:color="9CA3AF"/>
              <w:right w:val="single" w:sz="4" w:space="0" w:color="9CA3AF"/>
            </w:tcBorders>
            <w:shd w:val="clear" w:color="auto" w:fill="auto"/>
            <w:hideMark/>
          </w:tcPr>
          <w:p w14:paraId="4ACAEFD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 xml:space="preserve"> 91604AD</w:t>
            </w:r>
          </w:p>
        </w:tc>
        <w:tc>
          <w:tcPr>
            <w:tcW w:w="914" w:type="dxa"/>
            <w:tcBorders>
              <w:top w:val="nil"/>
              <w:left w:val="nil"/>
              <w:bottom w:val="single" w:sz="4" w:space="0" w:color="9CA3AF"/>
              <w:right w:val="single" w:sz="4" w:space="0" w:color="9CA3AF"/>
            </w:tcBorders>
            <w:shd w:val="clear" w:color="auto" w:fill="auto"/>
            <w:hideMark/>
          </w:tcPr>
          <w:p w14:paraId="665F560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7275403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Byroja Kombëtare e Hetimit</w:t>
            </w:r>
          </w:p>
        </w:tc>
        <w:tc>
          <w:tcPr>
            <w:tcW w:w="439" w:type="dxa"/>
            <w:tcBorders>
              <w:top w:val="nil"/>
              <w:left w:val="nil"/>
              <w:bottom w:val="single" w:sz="4" w:space="0" w:color="9CA3AF"/>
              <w:right w:val="single" w:sz="4" w:space="0" w:color="9CA3AF"/>
            </w:tcBorders>
            <w:shd w:val="clear" w:color="auto" w:fill="auto"/>
            <w:hideMark/>
          </w:tcPr>
          <w:p w14:paraId="172D2B6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AE651C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0DD015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9890E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952ED72"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9F12DA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nil"/>
              <w:left w:val="nil"/>
              <w:bottom w:val="single" w:sz="4" w:space="0" w:color="9CA3AF"/>
              <w:right w:val="single" w:sz="4" w:space="0" w:color="9CA3AF"/>
            </w:tcBorders>
            <w:shd w:val="clear" w:color="F1F5F9" w:fill="ECFDF5"/>
            <w:hideMark/>
          </w:tcPr>
          <w:p w14:paraId="3470A5F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w:t>
            </w:r>
          </w:p>
        </w:tc>
        <w:tc>
          <w:tcPr>
            <w:tcW w:w="867" w:type="dxa"/>
            <w:tcBorders>
              <w:top w:val="nil"/>
              <w:left w:val="nil"/>
              <w:bottom w:val="single" w:sz="4" w:space="0" w:color="9CA3AF"/>
              <w:right w:val="single" w:sz="4" w:space="0" w:color="9CA3AF"/>
            </w:tcBorders>
            <w:shd w:val="clear" w:color="F1F5F9" w:fill="ECFDF5"/>
            <w:hideMark/>
          </w:tcPr>
          <w:p w14:paraId="609C20B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ndërkombëtar policor për të rritur shkëmbimin e informacioneve, operacionet e përbashkëta dhe ndërprerjen ndërkufitare të krimit të organizuar.</w:t>
            </w:r>
          </w:p>
        </w:tc>
        <w:tc>
          <w:tcPr>
            <w:tcW w:w="517" w:type="dxa"/>
            <w:tcBorders>
              <w:top w:val="nil"/>
              <w:left w:val="nil"/>
              <w:bottom w:val="single" w:sz="4" w:space="0" w:color="9CA3AF"/>
              <w:right w:val="single" w:sz="4" w:space="0" w:color="9CA3AF"/>
            </w:tcBorders>
            <w:shd w:val="clear" w:color="F1F5F9" w:fill="ECFDF5"/>
            <w:hideMark/>
          </w:tcPr>
          <w:p w14:paraId="609EFAF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3.1.3</w:t>
            </w:r>
          </w:p>
        </w:tc>
        <w:tc>
          <w:tcPr>
            <w:tcW w:w="1007" w:type="dxa"/>
            <w:tcBorders>
              <w:top w:val="nil"/>
              <w:left w:val="nil"/>
              <w:bottom w:val="single" w:sz="4" w:space="0" w:color="9CA3AF"/>
              <w:right w:val="single" w:sz="4" w:space="0" w:color="9CA3AF"/>
            </w:tcBorders>
            <w:shd w:val="clear" w:color="F1F5F9" w:fill="ECFDF5"/>
            <w:hideMark/>
          </w:tcPr>
          <w:p w14:paraId="4E0EDFAC" w14:textId="48BA100A"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Pjesëmarrja aktive në </w:t>
            </w:r>
            <w:r w:rsidR="00956886" w:rsidRPr="002128A6">
              <w:rPr>
                <w:rFonts w:ascii="Garamond" w:eastAsia="Times New Roman" w:hAnsi="Garamond" w:cs="Times New Roman"/>
                <w:kern w:val="0"/>
                <w:sz w:val="8"/>
                <w:szCs w:val="8"/>
                <w14:ligatures w14:val="none"/>
              </w:rPr>
              <w:t xml:space="preserve">Europol, </w:t>
            </w:r>
            <w:r w:rsidR="00A634DB" w:rsidRPr="002128A6">
              <w:rPr>
                <w:rFonts w:ascii="Garamond" w:eastAsia="Times New Roman" w:hAnsi="Garamond" w:cs="Times New Roman"/>
                <w:kern w:val="0"/>
                <w:sz w:val="8"/>
                <w:szCs w:val="8"/>
                <w14:ligatures w14:val="none"/>
              </w:rPr>
              <w:t xml:space="preserve">INTERPOL </w:t>
            </w:r>
            <w:r w:rsidRPr="002128A6">
              <w:rPr>
                <w:rFonts w:ascii="Garamond" w:eastAsia="Times New Roman" w:hAnsi="Garamond" w:cs="Times New Roman"/>
                <w:kern w:val="0"/>
                <w:sz w:val="8"/>
                <w:szCs w:val="8"/>
                <w14:ligatures w14:val="none"/>
              </w:rPr>
              <w:t>dhe platformat rajonale të bashkëpunimit, edhe përmes angazhimit të rregullt në takimet operacionale dhe nismat analitike, shkëmbimit në kohë të informacionit dhe ndjekjes sistematike të kërkesave, me qëllim forcimin e bashkëpunimit ndërkufitar dhe përgjigjeve të koordinuara ndaj krimit të organizuar dhe kërcënimeve të krimit të rëndë.</w:t>
            </w:r>
          </w:p>
        </w:tc>
        <w:tc>
          <w:tcPr>
            <w:tcW w:w="524" w:type="dxa"/>
            <w:tcBorders>
              <w:top w:val="nil"/>
              <w:left w:val="nil"/>
              <w:bottom w:val="single" w:sz="4" w:space="0" w:color="9CA3AF"/>
              <w:right w:val="single" w:sz="4" w:space="0" w:color="9CA3AF"/>
            </w:tcBorders>
            <w:shd w:val="clear" w:color="auto" w:fill="auto"/>
            <w:hideMark/>
          </w:tcPr>
          <w:p w14:paraId="2BA7B2A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3.1.3</w:t>
            </w:r>
          </w:p>
        </w:tc>
        <w:tc>
          <w:tcPr>
            <w:tcW w:w="1307" w:type="dxa"/>
            <w:tcBorders>
              <w:top w:val="nil"/>
              <w:left w:val="nil"/>
              <w:bottom w:val="single" w:sz="4" w:space="0" w:color="9CA3AF"/>
              <w:right w:val="single" w:sz="4" w:space="0" w:color="9CA3AF"/>
            </w:tcBorders>
            <w:shd w:val="clear" w:color="auto" w:fill="auto"/>
            <w:hideMark/>
          </w:tcPr>
          <w:p w14:paraId="5B7EBE50" w14:textId="4656FB2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Pjesëmarrja e rregullt në takimet operacionale, projektet analitike dhe nismat e </w:t>
            </w:r>
            <w:r w:rsidR="00A634DB" w:rsidRPr="002128A6">
              <w:rPr>
                <w:rFonts w:ascii="Garamond" w:eastAsia="Times New Roman" w:hAnsi="Garamond" w:cs="Times New Roman"/>
                <w:kern w:val="0"/>
                <w:sz w:val="8"/>
                <w:szCs w:val="8"/>
                <w14:ligatures w14:val="none"/>
              </w:rPr>
              <w:t xml:space="preserve">Koordinimit </w:t>
            </w:r>
            <w:r w:rsidRPr="002128A6">
              <w:rPr>
                <w:rFonts w:ascii="Garamond" w:eastAsia="Times New Roman" w:hAnsi="Garamond" w:cs="Times New Roman"/>
                <w:kern w:val="0"/>
                <w:sz w:val="8"/>
                <w:szCs w:val="8"/>
                <w14:ligatures w14:val="none"/>
              </w:rPr>
              <w:t xml:space="preserve">të </w:t>
            </w:r>
            <w:r w:rsidR="00B76863" w:rsidRPr="002128A6">
              <w:rPr>
                <w:rFonts w:ascii="Garamond" w:eastAsia="Times New Roman" w:hAnsi="Garamond" w:cs="Times New Roman"/>
                <w:kern w:val="0"/>
                <w:sz w:val="8"/>
                <w:szCs w:val="8"/>
                <w14:ligatures w14:val="none"/>
              </w:rPr>
              <w:t xml:space="preserve">Europolit </w:t>
            </w:r>
            <w:r w:rsidRPr="002128A6">
              <w:rPr>
                <w:rFonts w:ascii="Garamond" w:eastAsia="Times New Roman" w:hAnsi="Garamond" w:cs="Times New Roman"/>
                <w:kern w:val="0"/>
                <w:sz w:val="8"/>
                <w:szCs w:val="8"/>
                <w14:ligatures w14:val="none"/>
              </w:rPr>
              <w:t xml:space="preserve">dhe </w:t>
            </w:r>
            <w:r w:rsidR="00A634DB" w:rsidRPr="002128A6">
              <w:rPr>
                <w:rFonts w:ascii="Garamond" w:eastAsia="Times New Roman" w:hAnsi="Garamond" w:cs="Times New Roman"/>
                <w:kern w:val="0"/>
                <w:sz w:val="8"/>
                <w:szCs w:val="8"/>
                <w14:ligatures w14:val="none"/>
              </w:rPr>
              <w:t>INTERPOL-</w:t>
            </w:r>
            <w:r w:rsidR="00B76863" w:rsidRPr="002128A6">
              <w:rPr>
                <w:rFonts w:ascii="Garamond" w:eastAsia="Times New Roman" w:hAnsi="Garamond" w:cs="Times New Roman"/>
                <w:kern w:val="0"/>
                <w:sz w:val="8"/>
                <w:szCs w:val="8"/>
                <w14:ligatures w14:val="none"/>
              </w:rPr>
              <w:t>it</w:t>
            </w:r>
            <w:r w:rsidRPr="002128A6">
              <w:rPr>
                <w:rFonts w:ascii="Garamond" w:eastAsia="Times New Roman" w:hAnsi="Garamond" w:cs="Times New Roman"/>
                <w:kern w:val="0"/>
                <w:sz w:val="8"/>
                <w:szCs w:val="8"/>
                <w14:ligatures w14:val="none"/>
              </w:rPr>
              <w:t xml:space="preserve">, duke siguruar ndjekje në kohë të të gjitha kërkesave dhe produkteve të inteligjencës.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Forcimi i angazhimit në platformat e bashkëpunimit rajonal, duke kontribuar me inteligjencë, duke marrë pjesë në vlerësimet e përbashkëta të kërcënimit dhe duke mbështetur përgjigjet e koordinuara ndaj kërcënimeve të krimit të organizuar.</w:t>
            </w:r>
          </w:p>
        </w:tc>
        <w:tc>
          <w:tcPr>
            <w:tcW w:w="699" w:type="dxa"/>
            <w:tcBorders>
              <w:top w:val="nil"/>
              <w:left w:val="nil"/>
              <w:bottom w:val="single" w:sz="4" w:space="0" w:color="9CA3AF"/>
              <w:right w:val="single" w:sz="4" w:space="0" w:color="9CA3AF"/>
            </w:tcBorders>
            <w:shd w:val="clear" w:color="auto" w:fill="auto"/>
            <w:hideMark/>
          </w:tcPr>
          <w:p w14:paraId="2857DBA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91604AA</w:t>
            </w:r>
          </w:p>
        </w:tc>
        <w:tc>
          <w:tcPr>
            <w:tcW w:w="914" w:type="dxa"/>
            <w:tcBorders>
              <w:top w:val="nil"/>
              <w:left w:val="nil"/>
              <w:bottom w:val="single" w:sz="4" w:space="0" w:color="9CA3AF"/>
              <w:right w:val="single" w:sz="4" w:space="0" w:color="9CA3AF"/>
            </w:tcBorders>
            <w:shd w:val="clear" w:color="auto" w:fill="auto"/>
            <w:hideMark/>
          </w:tcPr>
          <w:p w14:paraId="4D917DC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6193811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72CCB0A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31A24B0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A24A99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B8B47E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7BF9F85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D6BF78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nil"/>
              <w:left w:val="nil"/>
              <w:bottom w:val="single" w:sz="4" w:space="0" w:color="9CA3AF"/>
              <w:right w:val="single" w:sz="4" w:space="0" w:color="9CA3AF"/>
            </w:tcBorders>
            <w:shd w:val="clear" w:color="F1F5F9" w:fill="ECFDF5"/>
            <w:hideMark/>
          </w:tcPr>
          <w:p w14:paraId="5204742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w:t>
            </w:r>
          </w:p>
        </w:tc>
        <w:tc>
          <w:tcPr>
            <w:tcW w:w="867" w:type="dxa"/>
            <w:tcBorders>
              <w:top w:val="nil"/>
              <w:left w:val="nil"/>
              <w:bottom w:val="single" w:sz="4" w:space="0" w:color="9CA3AF"/>
              <w:right w:val="single" w:sz="4" w:space="0" w:color="9CA3AF"/>
            </w:tcBorders>
            <w:shd w:val="clear" w:color="F1F5F9" w:fill="ECFDF5"/>
            <w:hideMark/>
          </w:tcPr>
          <w:p w14:paraId="0FE7C74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ndërkombëtar policor për të rritur shkëmbimin e informacioneve, operacionet e përbashkëta dhe ndërprerjen ndërkufitare të krimit të organizuar.</w:t>
            </w:r>
          </w:p>
        </w:tc>
        <w:tc>
          <w:tcPr>
            <w:tcW w:w="517" w:type="dxa"/>
            <w:tcBorders>
              <w:top w:val="nil"/>
              <w:left w:val="nil"/>
              <w:bottom w:val="single" w:sz="4" w:space="0" w:color="9CA3AF"/>
              <w:right w:val="single" w:sz="4" w:space="0" w:color="9CA3AF"/>
            </w:tcBorders>
            <w:shd w:val="clear" w:color="F1F5F9" w:fill="ECFDF5"/>
            <w:hideMark/>
          </w:tcPr>
          <w:p w14:paraId="49D54FA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3.1.4</w:t>
            </w:r>
          </w:p>
        </w:tc>
        <w:tc>
          <w:tcPr>
            <w:tcW w:w="1007" w:type="dxa"/>
            <w:tcBorders>
              <w:top w:val="nil"/>
              <w:left w:val="nil"/>
              <w:bottom w:val="single" w:sz="4" w:space="0" w:color="9CA3AF"/>
              <w:right w:val="single" w:sz="4" w:space="0" w:color="9CA3AF"/>
            </w:tcBorders>
            <w:shd w:val="clear" w:color="F1F5F9" w:fill="ECFDF5"/>
            <w:hideMark/>
          </w:tcPr>
          <w:p w14:paraId="175D977B" w14:textId="6B318C64"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 numrit të operacioneve policore të përbashkëta kundër krimit të organizuar, përfshirë duke formuar skuadra të përbashkëta hetimore, sipas rastit, me vendet partnere, për hetime specifike, përdorimin 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platformave dhe kanaleve të sigurta për shkëmbimin e informacionit, duke u dhënë akses edhe strukturave hetimore; si dhe pjesëmarrja në të gjitha nismat operacionale të INTERPOL dhe </w:t>
            </w:r>
            <w:r w:rsidR="00956886" w:rsidRPr="002128A6">
              <w:rPr>
                <w:rFonts w:ascii="Garamond" w:eastAsia="Times New Roman" w:hAnsi="Garamond" w:cs="Times New Roman"/>
                <w:kern w:val="0"/>
                <w:sz w:val="8"/>
                <w:szCs w:val="8"/>
                <w14:ligatures w14:val="none"/>
              </w:rPr>
              <w:t>Europol</w:t>
            </w:r>
            <w:r w:rsidRPr="002128A6">
              <w:rPr>
                <w:rFonts w:ascii="Garamond" w:eastAsia="Times New Roman" w:hAnsi="Garamond" w:cs="Times New Roman"/>
                <w:kern w:val="0"/>
                <w:sz w:val="8"/>
                <w:szCs w:val="8"/>
                <w14:ligatures w14:val="none"/>
              </w:rPr>
              <w:t xml:space="preserve">, me qëllim </w:t>
            </w:r>
            <w:r w:rsidR="00956886" w:rsidRPr="002128A6">
              <w:rPr>
                <w:rFonts w:ascii="Garamond" w:eastAsia="Times New Roman" w:hAnsi="Garamond" w:cs="Times New Roman"/>
                <w:kern w:val="0"/>
                <w:sz w:val="8"/>
                <w:szCs w:val="8"/>
                <w14:ligatures w14:val="none"/>
              </w:rPr>
              <w:t xml:space="preserve">përmirësimin </w:t>
            </w:r>
            <w:r w:rsidRPr="002128A6">
              <w:rPr>
                <w:rFonts w:ascii="Garamond" w:eastAsia="Times New Roman" w:hAnsi="Garamond" w:cs="Times New Roman"/>
                <w:kern w:val="0"/>
                <w:sz w:val="8"/>
                <w:szCs w:val="8"/>
                <w14:ligatures w14:val="none"/>
              </w:rPr>
              <w:t>e zhvillimit të çështjeve ndërkufitare, veprimeve të koordinuara të zbatimit dhe goditjes së rrjeteve kriminale.</w:t>
            </w:r>
          </w:p>
        </w:tc>
        <w:tc>
          <w:tcPr>
            <w:tcW w:w="524" w:type="dxa"/>
            <w:tcBorders>
              <w:top w:val="nil"/>
              <w:left w:val="nil"/>
              <w:bottom w:val="single" w:sz="4" w:space="0" w:color="9CA3AF"/>
              <w:right w:val="single" w:sz="4" w:space="0" w:color="9CA3AF"/>
            </w:tcBorders>
            <w:shd w:val="clear" w:color="auto" w:fill="auto"/>
            <w:hideMark/>
          </w:tcPr>
          <w:p w14:paraId="7C890D0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3.1.4</w:t>
            </w:r>
          </w:p>
        </w:tc>
        <w:tc>
          <w:tcPr>
            <w:tcW w:w="1307" w:type="dxa"/>
            <w:tcBorders>
              <w:top w:val="nil"/>
              <w:left w:val="nil"/>
              <w:bottom w:val="single" w:sz="4" w:space="0" w:color="9CA3AF"/>
              <w:right w:val="single" w:sz="4" w:space="0" w:color="9CA3AF"/>
            </w:tcBorders>
            <w:shd w:val="clear" w:color="auto" w:fill="auto"/>
            <w:hideMark/>
          </w:tcPr>
          <w:p w14:paraId="30C64427" w14:textId="129DDB5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Formimi i skuadrave të përbashkëta hetimore (SPH), aty ku është e zbatueshme, me vendet partnere, për çështje komplekse ndërkufitare, duke siguruar shkëmbim të sigurt të informacionit dhe planifikim operacional të koordinuar.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Pjesëmarrja në nismat operacionale të </w:t>
            </w:r>
            <w:r w:rsidR="00A634DB" w:rsidRPr="002128A6">
              <w:rPr>
                <w:rFonts w:ascii="Garamond" w:eastAsia="Times New Roman" w:hAnsi="Garamond" w:cs="Times New Roman"/>
                <w:kern w:val="0"/>
                <w:sz w:val="8"/>
                <w:szCs w:val="8"/>
                <w14:ligatures w14:val="none"/>
              </w:rPr>
              <w:t>INTERPOL-</w:t>
            </w:r>
            <w:r w:rsidRPr="002128A6">
              <w:rPr>
                <w:rFonts w:ascii="Garamond" w:eastAsia="Times New Roman" w:hAnsi="Garamond" w:cs="Times New Roman"/>
                <w:kern w:val="0"/>
                <w:sz w:val="8"/>
                <w:szCs w:val="8"/>
                <w14:ligatures w14:val="none"/>
              </w:rPr>
              <w:t xml:space="preserve">it dhe </w:t>
            </w:r>
            <w:r w:rsidR="00B76863" w:rsidRPr="002128A6">
              <w:rPr>
                <w:rFonts w:ascii="Garamond" w:eastAsia="Times New Roman" w:hAnsi="Garamond" w:cs="Times New Roman"/>
                <w:kern w:val="0"/>
                <w:sz w:val="8"/>
                <w:szCs w:val="8"/>
                <w14:ligatures w14:val="none"/>
              </w:rPr>
              <w:t>Europolit</w:t>
            </w:r>
            <w:r w:rsidRPr="002128A6">
              <w:rPr>
                <w:rFonts w:ascii="Garamond" w:eastAsia="Times New Roman" w:hAnsi="Garamond" w:cs="Times New Roman"/>
                <w:kern w:val="0"/>
                <w:sz w:val="8"/>
                <w:szCs w:val="8"/>
                <w14:ligatures w14:val="none"/>
              </w:rPr>
              <w:t>, duke u dhënë strukturave hetimore akses në platforma të sigurta për të mbështetur zhvillimin e çështjeve ndërkufitare dhe veprimet ligjzbatuese.</w:t>
            </w:r>
          </w:p>
        </w:tc>
        <w:tc>
          <w:tcPr>
            <w:tcW w:w="699" w:type="dxa"/>
            <w:tcBorders>
              <w:top w:val="nil"/>
              <w:left w:val="nil"/>
              <w:bottom w:val="single" w:sz="4" w:space="0" w:color="9CA3AF"/>
              <w:right w:val="single" w:sz="4" w:space="0" w:color="9CA3AF"/>
            </w:tcBorders>
            <w:shd w:val="clear" w:color="auto" w:fill="auto"/>
            <w:hideMark/>
          </w:tcPr>
          <w:p w14:paraId="413148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91604AB</w:t>
            </w:r>
          </w:p>
        </w:tc>
        <w:tc>
          <w:tcPr>
            <w:tcW w:w="914" w:type="dxa"/>
            <w:tcBorders>
              <w:top w:val="nil"/>
              <w:left w:val="nil"/>
              <w:bottom w:val="single" w:sz="4" w:space="0" w:color="9CA3AF"/>
              <w:right w:val="single" w:sz="4" w:space="0" w:color="9CA3AF"/>
            </w:tcBorders>
            <w:shd w:val="clear" w:color="auto" w:fill="auto"/>
            <w:hideMark/>
          </w:tcPr>
          <w:p w14:paraId="1AA5602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5565AA2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Struktura e Posaçme Kundër Korrupsionit dhe Krimit të Organizuar; Shërbimi Informativ i Shtetit</w:t>
            </w:r>
          </w:p>
        </w:tc>
        <w:tc>
          <w:tcPr>
            <w:tcW w:w="439" w:type="dxa"/>
            <w:tcBorders>
              <w:top w:val="nil"/>
              <w:left w:val="nil"/>
              <w:bottom w:val="single" w:sz="4" w:space="0" w:color="9CA3AF"/>
              <w:right w:val="single" w:sz="4" w:space="0" w:color="9CA3AF"/>
            </w:tcBorders>
            <w:shd w:val="clear" w:color="auto" w:fill="auto"/>
            <w:hideMark/>
          </w:tcPr>
          <w:p w14:paraId="383E7889"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4FA2E0B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694524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32560A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AB00194"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3FB88C8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nil"/>
              <w:left w:val="nil"/>
              <w:bottom w:val="single" w:sz="4" w:space="0" w:color="9CA3AF"/>
              <w:right w:val="single" w:sz="4" w:space="0" w:color="9CA3AF"/>
            </w:tcBorders>
            <w:shd w:val="clear" w:color="F1F5F9" w:fill="ECFDF5"/>
            <w:hideMark/>
          </w:tcPr>
          <w:p w14:paraId="25F4D59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w:t>
            </w:r>
          </w:p>
        </w:tc>
        <w:tc>
          <w:tcPr>
            <w:tcW w:w="867" w:type="dxa"/>
            <w:tcBorders>
              <w:top w:val="nil"/>
              <w:left w:val="nil"/>
              <w:bottom w:val="single" w:sz="4" w:space="0" w:color="9CA3AF"/>
              <w:right w:val="single" w:sz="4" w:space="0" w:color="9CA3AF"/>
            </w:tcBorders>
            <w:shd w:val="clear" w:color="F1F5F9" w:fill="ECFDF5"/>
            <w:hideMark/>
          </w:tcPr>
          <w:p w14:paraId="3CB1D51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ndërkombëtar policor për të rritur shkëmbimin e informacioneve, operacionet e përbashkëta dhe ndërprerjen ndërkufitare të krimit të organizuar.</w:t>
            </w:r>
          </w:p>
        </w:tc>
        <w:tc>
          <w:tcPr>
            <w:tcW w:w="517" w:type="dxa"/>
            <w:tcBorders>
              <w:top w:val="nil"/>
              <w:left w:val="nil"/>
              <w:bottom w:val="single" w:sz="4" w:space="0" w:color="9CA3AF"/>
              <w:right w:val="single" w:sz="4" w:space="0" w:color="9CA3AF"/>
            </w:tcBorders>
            <w:shd w:val="clear" w:color="F1F5F9" w:fill="ECFDF5"/>
            <w:hideMark/>
          </w:tcPr>
          <w:p w14:paraId="0D47F2A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3.1.5</w:t>
            </w:r>
          </w:p>
        </w:tc>
        <w:tc>
          <w:tcPr>
            <w:tcW w:w="1007" w:type="dxa"/>
            <w:tcBorders>
              <w:top w:val="nil"/>
              <w:left w:val="nil"/>
              <w:bottom w:val="single" w:sz="4" w:space="0" w:color="9CA3AF"/>
              <w:right w:val="single" w:sz="4" w:space="0" w:color="9CA3AF"/>
            </w:tcBorders>
            <w:shd w:val="clear" w:color="F1F5F9" w:fill="ECFDF5"/>
            <w:hideMark/>
          </w:tcPr>
          <w:p w14:paraId="1C33AAD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Pjesëmarrja në takimet dhe trajnimet e ENFAST, duke ndarë përvojat operacionale dhe praktikat më të mira, duke forcuar bashkëpunimin e pikave të kontaktit dhe duke përmirësuar kapacitetet për lokalizimin, arrestimin dhe dorëzimin e personave në kërkim ndërkombëtar, përmes veprimeve të koordinuara ndërkufitare.</w:t>
            </w:r>
          </w:p>
        </w:tc>
        <w:tc>
          <w:tcPr>
            <w:tcW w:w="524" w:type="dxa"/>
            <w:tcBorders>
              <w:top w:val="nil"/>
              <w:left w:val="nil"/>
              <w:bottom w:val="single" w:sz="4" w:space="0" w:color="9CA3AF"/>
              <w:right w:val="single" w:sz="4" w:space="0" w:color="9CA3AF"/>
            </w:tcBorders>
            <w:shd w:val="clear" w:color="auto" w:fill="auto"/>
            <w:hideMark/>
          </w:tcPr>
          <w:p w14:paraId="052E7F6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3.1.5</w:t>
            </w:r>
          </w:p>
        </w:tc>
        <w:tc>
          <w:tcPr>
            <w:tcW w:w="1307" w:type="dxa"/>
            <w:tcBorders>
              <w:top w:val="nil"/>
              <w:left w:val="nil"/>
              <w:bottom w:val="single" w:sz="4" w:space="0" w:color="9CA3AF"/>
              <w:right w:val="single" w:sz="4" w:space="0" w:color="9CA3AF"/>
            </w:tcBorders>
            <w:shd w:val="clear" w:color="auto" w:fill="auto"/>
            <w:hideMark/>
          </w:tcPr>
          <w:p w14:paraId="63D994B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Angazhimi aktiv në takimet, trajnimet dhe shkëmbimet operacionale të ENFAST-it, për të forcuar bashkëpunimin e pikave të kontaktit dhe për të përmirësuar kapacitetet për lokalizimin dhe arrestimin e personave në kërkim ndërkombëtar.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Ndarja e përvojave operacionale dhe praktikave më të mira me partnerët e ENFAST-it, për të rritur koordinimin ndërkufitar dhe për të përshpejtuar kapjen e të kërkuarve.</w:t>
            </w:r>
          </w:p>
        </w:tc>
        <w:tc>
          <w:tcPr>
            <w:tcW w:w="699" w:type="dxa"/>
            <w:tcBorders>
              <w:top w:val="nil"/>
              <w:left w:val="nil"/>
              <w:bottom w:val="single" w:sz="4" w:space="0" w:color="9CA3AF"/>
              <w:right w:val="single" w:sz="4" w:space="0" w:color="9CA3AF"/>
            </w:tcBorders>
            <w:shd w:val="clear" w:color="auto" w:fill="auto"/>
            <w:hideMark/>
          </w:tcPr>
          <w:p w14:paraId="2D2A05B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91604AR</w:t>
            </w:r>
          </w:p>
        </w:tc>
        <w:tc>
          <w:tcPr>
            <w:tcW w:w="914" w:type="dxa"/>
            <w:tcBorders>
              <w:top w:val="nil"/>
              <w:left w:val="nil"/>
              <w:bottom w:val="single" w:sz="4" w:space="0" w:color="9CA3AF"/>
              <w:right w:val="single" w:sz="4" w:space="0" w:color="9CA3AF"/>
            </w:tcBorders>
            <w:shd w:val="clear" w:color="auto" w:fill="auto"/>
            <w:hideMark/>
          </w:tcPr>
          <w:p w14:paraId="402A3F4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Policia e Shtetit</w:t>
            </w:r>
          </w:p>
        </w:tc>
        <w:tc>
          <w:tcPr>
            <w:tcW w:w="966" w:type="dxa"/>
            <w:tcBorders>
              <w:top w:val="nil"/>
              <w:left w:val="nil"/>
              <w:bottom w:val="single" w:sz="4" w:space="0" w:color="9CA3AF"/>
              <w:right w:val="single" w:sz="4" w:space="0" w:color="9CA3AF"/>
            </w:tcBorders>
            <w:shd w:val="clear" w:color="auto" w:fill="auto"/>
            <w:hideMark/>
          </w:tcPr>
          <w:p w14:paraId="2FC9918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62E0DDF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7B0BC46"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0233BE5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1619110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48DCD23"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2D39842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nil"/>
              <w:left w:val="nil"/>
              <w:bottom w:val="single" w:sz="4" w:space="0" w:color="9CA3AF"/>
              <w:right w:val="single" w:sz="4" w:space="0" w:color="9CA3AF"/>
            </w:tcBorders>
            <w:shd w:val="clear" w:color="F1F5F9" w:fill="ECFDF5"/>
            <w:hideMark/>
          </w:tcPr>
          <w:p w14:paraId="128F898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w:t>
            </w:r>
          </w:p>
        </w:tc>
        <w:tc>
          <w:tcPr>
            <w:tcW w:w="867" w:type="dxa"/>
            <w:tcBorders>
              <w:top w:val="nil"/>
              <w:left w:val="nil"/>
              <w:bottom w:val="single" w:sz="4" w:space="0" w:color="9CA3AF"/>
              <w:right w:val="single" w:sz="4" w:space="0" w:color="9CA3AF"/>
            </w:tcBorders>
            <w:shd w:val="clear" w:color="F1F5F9" w:fill="ECFDF5"/>
            <w:hideMark/>
          </w:tcPr>
          <w:p w14:paraId="279C1D8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ndërkombëtar policor për të rritur shkëmbimin e informacioneve, operacionet e përbashkëta dhe ndërprerjen ndërkufitare të krimit të organizuar.</w:t>
            </w:r>
          </w:p>
        </w:tc>
        <w:tc>
          <w:tcPr>
            <w:tcW w:w="517" w:type="dxa"/>
            <w:tcBorders>
              <w:top w:val="nil"/>
              <w:left w:val="nil"/>
              <w:bottom w:val="single" w:sz="4" w:space="0" w:color="9CA3AF"/>
              <w:right w:val="single" w:sz="4" w:space="0" w:color="9CA3AF"/>
            </w:tcBorders>
            <w:shd w:val="clear" w:color="F1F5F9" w:fill="ECFDF5"/>
            <w:hideMark/>
          </w:tcPr>
          <w:p w14:paraId="2B262FF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3.1.6</w:t>
            </w:r>
          </w:p>
        </w:tc>
        <w:tc>
          <w:tcPr>
            <w:tcW w:w="1007" w:type="dxa"/>
            <w:tcBorders>
              <w:top w:val="nil"/>
              <w:left w:val="nil"/>
              <w:bottom w:val="single" w:sz="4" w:space="0" w:color="9CA3AF"/>
              <w:right w:val="single" w:sz="4" w:space="0" w:color="9CA3AF"/>
            </w:tcBorders>
            <w:shd w:val="clear" w:color="F1F5F9" w:fill="ECFDF5"/>
            <w:hideMark/>
          </w:tcPr>
          <w:p w14:paraId="730BFC9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midis institucioneve përgjegjëse për mbrojtjen e mjedisit, përfshirë masat për inkurajimin e bashkëpunimit ndërkufitar, promovimin e hetimeve të përbashkëta dhe shkëmbimin e inteligjencës mbi krimet mjedisore ndërkufitare, përfshirë prerjen e paligjshme, trafikimin e mbetjeve dhe kafshëve të egra, në përputhje me angazhimet rajonale dhe ndërkombëtare, me qëllim përmirësimin e parandalimit, zbulimit dhe zbatimit kundër rrjeteve të krimit mjedisor.</w:t>
            </w:r>
          </w:p>
        </w:tc>
        <w:tc>
          <w:tcPr>
            <w:tcW w:w="524" w:type="dxa"/>
            <w:tcBorders>
              <w:top w:val="nil"/>
              <w:left w:val="nil"/>
              <w:bottom w:val="single" w:sz="4" w:space="0" w:color="9CA3AF"/>
              <w:right w:val="single" w:sz="4" w:space="0" w:color="9CA3AF"/>
            </w:tcBorders>
            <w:shd w:val="clear" w:color="auto" w:fill="auto"/>
            <w:hideMark/>
          </w:tcPr>
          <w:p w14:paraId="2DE5F41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3.1.6</w:t>
            </w:r>
          </w:p>
        </w:tc>
        <w:tc>
          <w:tcPr>
            <w:tcW w:w="1307" w:type="dxa"/>
            <w:tcBorders>
              <w:top w:val="nil"/>
              <w:left w:val="nil"/>
              <w:bottom w:val="single" w:sz="4" w:space="0" w:color="9CA3AF"/>
              <w:right w:val="single" w:sz="4" w:space="0" w:color="9CA3AF"/>
            </w:tcBorders>
            <w:shd w:val="clear" w:color="auto" w:fill="auto"/>
            <w:hideMark/>
          </w:tcPr>
          <w:p w14:paraId="69D2CC7B" w14:textId="555A0C0F"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Ngritja e mekanizmave të strukturuar bashkëpunimi midis institucioneve të mbrojtjes së mjedisit dhe agjencive ligjzbatuese, për të proG180:G181</w:t>
            </w:r>
            <w:r w:rsidR="00550F83">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 xml:space="preserve">movuar hetime të përbashkëta dhe shkëmbim të inteligjencës mbi prerjen e paligjshme, trafikimin e mbetjeve dhe krimin ndaj kafshëve të egra.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Pjesëmarrja në rrjetet rajonale dhe ndërkombëtare kundër krimit mjedisor, për të mbështetur veprimet ndërkufitare të zbulimit, parandalimit dhe zbatimit.</w:t>
            </w:r>
          </w:p>
        </w:tc>
        <w:tc>
          <w:tcPr>
            <w:tcW w:w="699" w:type="dxa"/>
            <w:tcBorders>
              <w:top w:val="nil"/>
              <w:left w:val="nil"/>
              <w:bottom w:val="single" w:sz="4" w:space="0" w:color="9CA3AF"/>
              <w:right w:val="single" w:sz="4" w:space="0" w:color="9CA3AF"/>
            </w:tcBorders>
            <w:shd w:val="clear" w:color="auto" w:fill="auto"/>
            <w:hideMark/>
          </w:tcPr>
          <w:p w14:paraId="56FB839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91601AA</w:t>
            </w:r>
          </w:p>
        </w:tc>
        <w:tc>
          <w:tcPr>
            <w:tcW w:w="914" w:type="dxa"/>
            <w:tcBorders>
              <w:top w:val="nil"/>
              <w:left w:val="nil"/>
              <w:bottom w:val="single" w:sz="4" w:space="0" w:color="9CA3AF"/>
              <w:right w:val="single" w:sz="4" w:space="0" w:color="9CA3AF"/>
            </w:tcBorders>
            <w:shd w:val="clear" w:color="auto" w:fill="auto"/>
            <w:hideMark/>
          </w:tcPr>
          <w:p w14:paraId="09F524AF" w14:textId="3B867633"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Punëve të Brendshme/Policia e Shtetit</w:t>
            </w:r>
            <w:r w:rsidR="005C084B" w:rsidRPr="002128A6">
              <w:rPr>
                <w:rFonts w:ascii="Garamond" w:eastAsia="Times New Roman" w:hAnsi="Garamond" w:cs="Times New Roman"/>
                <w:kern w:val="0"/>
                <w:sz w:val="8"/>
                <w:szCs w:val="8"/>
                <w14:ligatures w14:val="none"/>
              </w:rPr>
              <w:t>/</w:t>
            </w:r>
            <w:r w:rsidRPr="002128A6">
              <w:rPr>
                <w:rFonts w:ascii="Garamond" w:eastAsia="Times New Roman" w:hAnsi="Garamond" w:cs="Times New Roman"/>
                <w:kern w:val="0"/>
                <w:sz w:val="8"/>
                <w:szCs w:val="8"/>
                <w14:ligatures w14:val="none"/>
              </w:rPr>
              <w:t>Inspektorati Kombëtar i Mbrojtjes së Territorit</w:t>
            </w:r>
          </w:p>
        </w:tc>
        <w:tc>
          <w:tcPr>
            <w:tcW w:w="966" w:type="dxa"/>
            <w:tcBorders>
              <w:top w:val="nil"/>
              <w:left w:val="nil"/>
              <w:bottom w:val="single" w:sz="4" w:space="0" w:color="9CA3AF"/>
              <w:right w:val="single" w:sz="4" w:space="0" w:color="9CA3AF"/>
            </w:tcBorders>
            <w:shd w:val="clear" w:color="auto" w:fill="auto"/>
            <w:hideMark/>
          </w:tcPr>
          <w:p w14:paraId="1C8D10B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439" w:type="dxa"/>
            <w:tcBorders>
              <w:top w:val="nil"/>
              <w:left w:val="nil"/>
              <w:bottom w:val="single" w:sz="4" w:space="0" w:color="9CA3AF"/>
              <w:right w:val="single" w:sz="4" w:space="0" w:color="9CA3AF"/>
            </w:tcBorders>
            <w:shd w:val="clear" w:color="auto" w:fill="auto"/>
            <w:hideMark/>
          </w:tcPr>
          <w:p w14:paraId="6AC6E65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B806C3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38C4E362"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453F9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7073E06"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5F039D3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nil"/>
              <w:left w:val="nil"/>
              <w:bottom w:val="single" w:sz="4" w:space="0" w:color="9CA3AF"/>
              <w:right w:val="single" w:sz="4" w:space="0" w:color="9CA3AF"/>
            </w:tcBorders>
            <w:shd w:val="clear" w:color="F1F5F9" w:fill="ECFDF5"/>
            <w:hideMark/>
          </w:tcPr>
          <w:p w14:paraId="28B4321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w:t>
            </w:r>
          </w:p>
        </w:tc>
        <w:tc>
          <w:tcPr>
            <w:tcW w:w="867" w:type="dxa"/>
            <w:tcBorders>
              <w:top w:val="nil"/>
              <w:left w:val="nil"/>
              <w:bottom w:val="single" w:sz="4" w:space="0" w:color="9CA3AF"/>
              <w:right w:val="single" w:sz="4" w:space="0" w:color="9CA3AF"/>
            </w:tcBorders>
            <w:shd w:val="clear" w:color="F1F5F9" w:fill="ECFDF5"/>
            <w:hideMark/>
          </w:tcPr>
          <w:p w14:paraId="23F2325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bashkëpunimit ndërkombëtar policor për të rritur shkëmbimin e informacioneve, operacionet e përbashkëta dhe ndërprerjen ndërkufitare të krimit të organizuar.</w:t>
            </w:r>
          </w:p>
        </w:tc>
        <w:tc>
          <w:tcPr>
            <w:tcW w:w="517" w:type="dxa"/>
            <w:tcBorders>
              <w:top w:val="nil"/>
              <w:left w:val="nil"/>
              <w:bottom w:val="single" w:sz="4" w:space="0" w:color="9CA3AF"/>
              <w:right w:val="single" w:sz="4" w:space="0" w:color="9CA3AF"/>
            </w:tcBorders>
            <w:shd w:val="clear" w:color="F1F5F9" w:fill="ECFDF5"/>
            <w:hideMark/>
          </w:tcPr>
          <w:p w14:paraId="1D80E30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3.1.7</w:t>
            </w:r>
          </w:p>
        </w:tc>
        <w:tc>
          <w:tcPr>
            <w:tcW w:w="1007" w:type="dxa"/>
            <w:tcBorders>
              <w:top w:val="nil"/>
              <w:left w:val="nil"/>
              <w:bottom w:val="single" w:sz="4" w:space="0" w:color="9CA3AF"/>
              <w:right w:val="single" w:sz="4" w:space="0" w:color="9CA3AF"/>
            </w:tcBorders>
            <w:shd w:val="clear" w:color="F1F5F9" w:fill="ECFDF5"/>
            <w:hideMark/>
          </w:tcPr>
          <w:p w14:paraId="74918330" w14:textId="419DB28F"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Përditësimi/rishikimi i marrëveshjeve dhe monitorimi i zbatimit të detyrimeve nga marrëveshjet mes autoriteteve shqiptare dhe vendeve të BE ose vendeve të treta në luftën kundër krimit të organizuar dhe krimeve të rënda</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me qëllim zgjerimin ose forcimin e bashkëpunimit dhe përmbushjen efektive dhe konsistente të angazhimeve të në kuadër të bashkëpunimit ndërkombëtar.</w:t>
            </w:r>
          </w:p>
        </w:tc>
        <w:tc>
          <w:tcPr>
            <w:tcW w:w="524" w:type="dxa"/>
            <w:tcBorders>
              <w:top w:val="nil"/>
              <w:left w:val="nil"/>
              <w:bottom w:val="single" w:sz="4" w:space="0" w:color="9CA3AF"/>
              <w:right w:val="single" w:sz="4" w:space="0" w:color="9CA3AF"/>
            </w:tcBorders>
            <w:shd w:val="clear" w:color="auto" w:fill="auto"/>
            <w:hideMark/>
          </w:tcPr>
          <w:p w14:paraId="0D62C2E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3.1.7</w:t>
            </w:r>
          </w:p>
        </w:tc>
        <w:tc>
          <w:tcPr>
            <w:tcW w:w="1307" w:type="dxa"/>
            <w:tcBorders>
              <w:top w:val="nil"/>
              <w:left w:val="nil"/>
              <w:bottom w:val="single" w:sz="4" w:space="0" w:color="9CA3AF"/>
              <w:right w:val="single" w:sz="4" w:space="0" w:color="9CA3AF"/>
            </w:tcBorders>
            <w:shd w:val="clear" w:color="000000" w:fill="FFFFFF"/>
            <w:hideMark/>
          </w:tcPr>
          <w:p w14:paraId="20DAB75C" w14:textId="2254ACFA"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Ndërmarrja e një procesi të plotë rishikimi dhe vlerësimi i marrëveshjeve ekzistuese të bashkëpunimit ndërkombëtar në fushën e luftës kundër krimit të organizuar dhe krimeve të rënda, me qëllim identifikimin e nevojave për përditësim, harmonizim dhe përshtatje me zhvillimet më të fundit ligjore, institucionale dhe operacionale në nivel evropian dhe ndërkombëtar.</w:t>
            </w:r>
            <w:r w:rsidRPr="002128A6">
              <w:rPr>
                <w:rFonts w:ascii="Garamond" w:eastAsia="Times New Roman" w:hAnsi="Garamond" w:cs="Times New Roman"/>
                <w:kern w:val="0"/>
                <w:sz w:val="8"/>
                <w:szCs w:val="8"/>
                <w14:ligatures w14:val="none"/>
              </w:rPr>
              <w:br/>
              <w:t xml:space="preserve">Zhvillimi i konsultimeve teknike dhe institucionale me autoritetet kompetente të vendeve partnere, agjencitë e Bashkimit Evropian dhe organizatat ndërkombëtare për të identifikuar fushat prioritare ku kërkohet forcimi i instrumenteve të bashkëpunimit në luftën kundër krimit të organizuar ndërkufitar për të iniciuar marrëveshje të reja, ndryshuar formën e aktit të bashkëpunimit, rishikuar ato ekzistuese; </w:t>
            </w:r>
            <w:r w:rsidRPr="002128A6">
              <w:rPr>
                <w:rFonts w:ascii="Garamond" w:eastAsia="Times New Roman" w:hAnsi="Garamond" w:cs="Times New Roman"/>
                <w:kern w:val="0"/>
                <w:sz w:val="8"/>
                <w:szCs w:val="8"/>
                <w14:ligatures w14:val="none"/>
              </w:rPr>
              <w:br/>
              <w:t>Propozimi nga strukturat përkatëse (të bashkëpunimit dhe teknike) për përditësimin e marrëveshjeve ekzistuese dypalëshe dhe shumëpalëshe, duke përfshirë dispozita që mundësojnë shkëmbim më të shpejtë dhe më efektiv të informacionit, mbështetje të ndërsjellë operative, zhvillimin e hetimeve të përbashkëta dhe bashkëpunimin në luftën kundër formave të reja të kriminalitetit,</w:t>
            </w:r>
            <w:r w:rsidRPr="002128A6">
              <w:rPr>
                <w:rFonts w:ascii="Garamond" w:eastAsia="Times New Roman" w:hAnsi="Garamond" w:cs="Times New Roman"/>
                <w:kern w:val="0"/>
                <w:sz w:val="8"/>
                <w:szCs w:val="8"/>
                <w14:ligatures w14:val="none"/>
              </w:rPr>
              <w:br/>
              <w:t xml:space="preserve">Intensifikimi i përpjekjeve përmes komunikimit të vazhdueshëm për </w:t>
            </w:r>
            <w:r w:rsidRPr="002128A6">
              <w:rPr>
                <w:rFonts w:ascii="Garamond" w:eastAsia="Times New Roman" w:hAnsi="Garamond" w:cs="Times New Roman"/>
                <w:kern w:val="0"/>
                <w:sz w:val="8"/>
                <w:szCs w:val="8"/>
                <w14:ligatures w14:val="none"/>
              </w:rPr>
              <w:lastRenderedPageBreak/>
              <w:t>negocimin dhe nënshkrimin e marrëveshjeve të reja me vendet e Bashkimit Evropian dhe vendet e treta me interes strategjik, me fokus të veçantë në luftën kundër trafikimit të narkotikëve, pastrimit të parave, krimit ekonomik-financiar, krimit kibernetik dhe formave të tjera të krimit të organizuar ndërkombëtar.</w:t>
            </w:r>
            <w:r w:rsidRPr="002128A6">
              <w:rPr>
                <w:rFonts w:ascii="Garamond" w:eastAsia="Times New Roman" w:hAnsi="Garamond" w:cs="Times New Roman"/>
                <w:kern w:val="0"/>
                <w:sz w:val="8"/>
                <w:szCs w:val="8"/>
                <w14:ligatures w14:val="none"/>
              </w:rPr>
              <w:br/>
              <w:t>Zhvillimi i takimeve periodike dypalëshe dhe shumëpalëshe me autoritetet homologe për të monitoruar zbatimin e marrëveshjeve ekzistuese</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dhe për të identifikuar mundësi të reja bashkëpunimi.</w:t>
            </w:r>
            <w:r w:rsidRPr="002128A6">
              <w:rPr>
                <w:rFonts w:ascii="Garamond" w:eastAsia="Times New Roman" w:hAnsi="Garamond" w:cs="Times New Roman"/>
                <w:kern w:val="0"/>
                <w:sz w:val="8"/>
                <w:szCs w:val="8"/>
                <w14:ligatures w14:val="none"/>
              </w:rPr>
              <w:br/>
              <w:t>Sigurimi i përafrimit të vazhdueshëm të kuadrit të bashkëpunimit me atë të Bashkimit Evropian dhe me standardet ndërkombëtare në fushën e luftës kundër krimit të organizuar dhe krimeve të rënda.</w:t>
            </w:r>
            <w:r w:rsidRPr="002128A6">
              <w:rPr>
                <w:rFonts w:ascii="Garamond" w:eastAsia="Times New Roman" w:hAnsi="Garamond" w:cs="Times New Roman"/>
                <w:kern w:val="0"/>
                <w:sz w:val="8"/>
                <w:szCs w:val="8"/>
                <w14:ligatures w14:val="none"/>
              </w:rPr>
              <w:br/>
              <w:t xml:space="preserve">Zhvillimi i programeve të përbashkëta të trajnimit, shkëmbimit të eksperiencave dhe ngritjes së kapaciteteve për strukturat ligjzbatuese dhe ekspertët e përfshirë në negocimin, zbatimin dhe monitorimin e marrëveshjeve të bashkëpunimit ndërkombëtar, në fushën e parandalimit dhe luftës kundër krimit të organizuar dhe krimeve të rënda. </w:t>
            </w:r>
            <w:r w:rsidRPr="002128A6">
              <w:rPr>
                <w:rFonts w:ascii="Garamond" w:eastAsia="Times New Roman" w:hAnsi="Garamond" w:cs="Times New Roman"/>
                <w:kern w:val="0"/>
                <w:sz w:val="8"/>
                <w:szCs w:val="8"/>
                <w14:ligatures w14:val="none"/>
              </w:rPr>
              <w:br/>
              <w:t xml:space="preserve">Gjurmimi i zbatimit të veprimeve dhe afateve kohore sipas marrëveshjeve me Shtetet Anëtare të BE-së dhe vendet e treta, duke identifikuar boshllëqet dhe duke koordinuar ndjekjen me institucionet përgjegjëse. </w:t>
            </w:r>
            <w:r w:rsidRPr="002128A6">
              <w:rPr>
                <w:rFonts w:ascii="Garamond" w:eastAsia="Times New Roman" w:hAnsi="Garamond" w:cs="Times New Roman"/>
                <w:kern w:val="0"/>
                <w:sz w:val="8"/>
                <w:szCs w:val="8"/>
                <w14:ligatures w14:val="none"/>
              </w:rPr>
              <w:br/>
              <w:t>Përgatitja e raporteve periodike të monitorimit, ku vlerësohet progresi, sfidat dhe pajtueshmërinë me angazhimet e bashkëpunimit ndërkombëtar në luftën kundër krimit të organizuar dhe krimeve të rënda.</w:t>
            </w:r>
          </w:p>
        </w:tc>
        <w:tc>
          <w:tcPr>
            <w:tcW w:w="699" w:type="dxa"/>
            <w:tcBorders>
              <w:top w:val="nil"/>
              <w:left w:val="nil"/>
              <w:bottom w:val="single" w:sz="4" w:space="0" w:color="9CA3AF"/>
              <w:right w:val="single" w:sz="4" w:space="0" w:color="9CA3AF"/>
            </w:tcBorders>
            <w:shd w:val="clear" w:color="000000" w:fill="FFFFFF"/>
            <w:hideMark/>
          </w:tcPr>
          <w:p w14:paraId="01B90FCE"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lastRenderedPageBreak/>
              <w:t>91601AA</w:t>
            </w:r>
          </w:p>
        </w:tc>
        <w:tc>
          <w:tcPr>
            <w:tcW w:w="914" w:type="dxa"/>
            <w:tcBorders>
              <w:top w:val="nil"/>
              <w:left w:val="nil"/>
              <w:bottom w:val="single" w:sz="4" w:space="0" w:color="9CA3AF"/>
              <w:right w:val="single" w:sz="4" w:space="0" w:color="9CA3AF"/>
            </w:tcBorders>
            <w:shd w:val="clear" w:color="000000" w:fill="FFFFFF"/>
            <w:hideMark/>
          </w:tcPr>
          <w:p w14:paraId="339FFAF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e Punëve të Brendshme/Policia e Shtetit </w:t>
            </w:r>
          </w:p>
        </w:tc>
        <w:tc>
          <w:tcPr>
            <w:tcW w:w="966" w:type="dxa"/>
            <w:tcBorders>
              <w:top w:val="nil"/>
              <w:left w:val="nil"/>
              <w:bottom w:val="single" w:sz="4" w:space="0" w:color="9CA3AF"/>
              <w:right w:val="nil"/>
            </w:tcBorders>
            <w:shd w:val="clear" w:color="000000" w:fill="FFFFFF"/>
            <w:hideMark/>
          </w:tcPr>
          <w:p w14:paraId="1B6BF19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MPB; Ministritë relevante të linjës</w:t>
            </w:r>
          </w:p>
        </w:tc>
        <w:tc>
          <w:tcPr>
            <w:tcW w:w="439" w:type="dxa"/>
            <w:tcBorders>
              <w:top w:val="nil"/>
              <w:left w:val="single" w:sz="4" w:space="0" w:color="9CA3AF"/>
              <w:bottom w:val="single" w:sz="4" w:space="0" w:color="9CA3AF"/>
              <w:right w:val="single" w:sz="4" w:space="0" w:color="9CA3AF"/>
            </w:tcBorders>
            <w:shd w:val="clear" w:color="000000" w:fill="FFFFFF"/>
            <w:hideMark/>
          </w:tcPr>
          <w:p w14:paraId="171FCAC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000000" w:fill="FFFFFF"/>
            <w:hideMark/>
          </w:tcPr>
          <w:p w14:paraId="39B3127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nil"/>
              <w:right w:val="nil"/>
            </w:tcBorders>
            <w:shd w:val="clear" w:color="000000" w:fill="FFFFFF"/>
            <w:hideMark/>
          </w:tcPr>
          <w:p w14:paraId="25D8B88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c>
          <w:tcPr>
            <w:tcW w:w="1352" w:type="dxa"/>
            <w:tcBorders>
              <w:top w:val="nil"/>
              <w:left w:val="nil"/>
              <w:bottom w:val="nil"/>
              <w:right w:val="nil"/>
            </w:tcBorders>
            <w:shd w:val="clear" w:color="000000" w:fill="FFFFFF"/>
            <w:hideMark/>
          </w:tcPr>
          <w:p w14:paraId="062BBD3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5B8A01CF"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4BE351DB"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3.1</w:t>
            </w:r>
          </w:p>
        </w:tc>
        <w:tc>
          <w:tcPr>
            <w:tcW w:w="649" w:type="dxa"/>
            <w:tcBorders>
              <w:top w:val="nil"/>
              <w:left w:val="nil"/>
              <w:bottom w:val="nil"/>
              <w:right w:val="nil"/>
            </w:tcBorders>
            <w:shd w:val="clear" w:color="FDEADA" w:fill="FEF3C7"/>
            <w:noWrap/>
            <w:vAlign w:val="bottom"/>
            <w:hideMark/>
          </w:tcPr>
          <w:p w14:paraId="6AC82B0D"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1C289287"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7FF928BD" w14:textId="77777777" w:rsidTr="00C42826">
        <w:trPr>
          <w:trHeight w:val="20"/>
        </w:trPr>
        <w:tc>
          <w:tcPr>
            <w:tcW w:w="10916" w:type="dxa"/>
            <w:gridSpan w:val="14"/>
            <w:tcBorders>
              <w:top w:val="nil"/>
              <w:left w:val="nil"/>
              <w:bottom w:val="nil"/>
              <w:right w:val="nil"/>
            </w:tcBorders>
            <w:shd w:val="clear" w:color="DCE6F2" w:fill="DBEAFE"/>
            <w:noWrap/>
            <w:vAlign w:val="center"/>
            <w:hideMark/>
          </w:tcPr>
          <w:p w14:paraId="587447F3"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OS 3.2 — Përmirësimi i efektivitetit të bashkëpunimit gjyqësor ndërkombëtar përmes shpejtimit të shkëmbimit të informacionit, forcimit të ndjekjes së çështjeve dhe rritjes së ekzekutimit të vendimeve gjyqësore të huaja.</w:t>
            </w:r>
          </w:p>
        </w:tc>
      </w:tr>
      <w:tr w:rsidR="00F54824" w:rsidRPr="002128A6" w14:paraId="7D0406EC" w14:textId="77777777" w:rsidTr="00C42826">
        <w:trPr>
          <w:trHeight w:val="20"/>
        </w:trPr>
        <w:tc>
          <w:tcPr>
            <w:tcW w:w="749" w:type="dxa"/>
            <w:tcBorders>
              <w:top w:val="single" w:sz="4" w:space="0" w:color="9CA3AF"/>
              <w:left w:val="single" w:sz="4" w:space="0" w:color="9CA3AF"/>
              <w:bottom w:val="single" w:sz="4" w:space="0" w:color="9CA3AF"/>
              <w:right w:val="single" w:sz="4" w:space="0" w:color="9CA3AF"/>
            </w:tcBorders>
            <w:shd w:val="clear" w:color="F1F5F9" w:fill="ECFDF5"/>
            <w:hideMark/>
          </w:tcPr>
          <w:p w14:paraId="149CD75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single" w:sz="4" w:space="0" w:color="9CA3AF"/>
              <w:left w:val="nil"/>
              <w:bottom w:val="single" w:sz="4" w:space="0" w:color="9CA3AF"/>
              <w:right w:val="single" w:sz="4" w:space="0" w:color="9CA3AF"/>
            </w:tcBorders>
            <w:shd w:val="clear" w:color="F1F5F9" w:fill="ECFDF5"/>
            <w:hideMark/>
          </w:tcPr>
          <w:p w14:paraId="5FFE0809"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w:t>
            </w:r>
          </w:p>
        </w:tc>
        <w:tc>
          <w:tcPr>
            <w:tcW w:w="867" w:type="dxa"/>
            <w:tcBorders>
              <w:top w:val="single" w:sz="4" w:space="0" w:color="9CA3AF"/>
              <w:left w:val="nil"/>
              <w:bottom w:val="single" w:sz="4" w:space="0" w:color="9CA3AF"/>
              <w:right w:val="single" w:sz="4" w:space="0" w:color="9CA3AF"/>
            </w:tcBorders>
            <w:shd w:val="clear" w:color="F1F5F9" w:fill="ECFDF5"/>
            <w:hideMark/>
          </w:tcPr>
          <w:p w14:paraId="2F871C89" w14:textId="3144C635"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efektivitetit të bashkëpunimit gjyqësor ndërkombëtar</w:t>
            </w:r>
            <w:r w:rsidR="00F54824" w:rsidRPr="002128A6">
              <w:rPr>
                <w:rFonts w:ascii="Garamond" w:eastAsia="Times New Roman" w:hAnsi="Garamond" w:cs="Times New Roman"/>
                <w:kern w:val="0"/>
                <w:sz w:val="8"/>
                <w:szCs w:val="8"/>
                <w14:ligatures w14:val="none"/>
              </w:rPr>
              <w:t xml:space="preserve"> </w:t>
            </w:r>
            <w:r w:rsidRPr="002128A6">
              <w:rPr>
                <w:rFonts w:ascii="Garamond" w:eastAsia="Times New Roman" w:hAnsi="Garamond" w:cs="Times New Roman"/>
                <w:kern w:val="0"/>
                <w:sz w:val="8"/>
                <w:szCs w:val="8"/>
                <w14:ligatures w14:val="none"/>
              </w:rPr>
              <w:t>përmes shpejtimit të shkëmbimit të informacionit, forcimit të ndjekjes së çështjeve dhe rritjes së ekzekutimit të vendimeve gjyqësore të huaja</w:t>
            </w:r>
          </w:p>
        </w:tc>
        <w:tc>
          <w:tcPr>
            <w:tcW w:w="517" w:type="dxa"/>
            <w:tcBorders>
              <w:top w:val="single" w:sz="4" w:space="0" w:color="9CA3AF"/>
              <w:left w:val="nil"/>
              <w:bottom w:val="single" w:sz="4" w:space="0" w:color="9CA3AF"/>
              <w:right w:val="single" w:sz="4" w:space="0" w:color="9CA3AF"/>
            </w:tcBorders>
            <w:shd w:val="clear" w:color="F1F5F9" w:fill="ECFDF5"/>
            <w:hideMark/>
          </w:tcPr>
          <w:p w14:paraId="6D5E706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3.2.1</w:t>
            </w:r>
          </w:p>
        </w:tc>
        <w:tc>
          <w:tcPr>
            <w:tcW w:w="1007" w:type="dxa"/>
            <w:tcBorders>
              <w:top w:val="single" w:sz="4" w:space="0" w:color="9CA3AF"/>
              <w:left w:val="nil"/>
              <w:bottom w:val="single" w:sz="4" w:space="0" w:color="9CA3AF"/>
              <w:right w:val="single" w:sz="4" w:space="0" w:color="9CA3AF"/>
            </w:tcBorders>
            <w:shd w:val="clear" w:color="F1F5F9" w:fill="ECFDF5"/>
            <w:hideMark/>
          </w:tcPr>
          <w:p w14:paraId="5B0A5DC8"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Rritja efektivitetit, efikasitetit dhe shpejtësisë së bashkëpunimit gjyqësor ndërkombëtar për ekzekutimin e kërkesave që bëhen nga Shqipëria ose nga shtete të huaja, duke forcuar menaxhimin e çështjes dhe ndjekjen, duke zbatuar parimet e konfidencialitetit dhe mbrojtjes së të dhënave personale, si dhe duke garantuar transmetim dhe trajtim të sigurt të informacionit gjyqësor, me qëllim përmirësimin e normave të ekzekutimit dhe reduktimin e vonesave.</w:t>
            </w:r>
          </w:p>
        </w:tc>
        <w:tc>
          <w:tcPr>
            <w:tcW w:w="524" w:type="dxa"/>
            <w:tcBorders>
              <w:top w:val="single" w:sz="4" w:space="0" w:color="9CA3AF"/>
              <w:left w:val="nil"/>
              <w:bottom w:val="single" w:sz="4" w:space="0" w:color="9CA3AF"/>
              <w:right w:val="single" w:sz="4" w:space="0" w:color="9CA3AF"/>
            </w:tcBorders>
            <w:shd w:val="clear" w:color="auto" w:fill="auto"/>
            <w:hideMark/>
          </w:tcPr>
          <w:p w14:paraId="37BC9700"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3.2.1</w:t>
            </w:r>
          </w:p>
        </w:tc>
        <w:tc>
          <w:tcPr>
            <w:tcW w:w="1307" w:type="dxa"/>
            <w:tcBorders>
              <w:top w:val="single" w:sz="4" w:space="0" w:color="9CA3AF"/>
              <w:left w:val="nil"/>
              <w:bottom w:val="single" w:sz="4" w:space="0" w:color="9CA3AF"/>
              <w:right w:val="single" w:sz="4" w:space="0" w:color="9CA3AF"/>
            </w:tcBorders>
            <w:shd w:val="clear" w:color="auto" w:fill="auto"/>
            <w:hideMark/>
          </w:tcPr>
          <w:p w14:paraId="58F9B091" w14:textId="740CA160"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Miratimi i procedurave të standardizuara të menaxhimit të çështjes për të gjitha kërkesat hyrëse dhe dalëse për ndihmë të ndërsjellë juridike, përfshirë regjistrimin, gjurmimin, afatet kohore dhe përgjegjësitë e ndjekjes, me qëllim që të reduktohen vonesat dhe të ketë parashikueshmëri të kohës që duhet për përpunimin e kërkesës.</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 xml:space="preserve">Përdorimi i kanaleve </w:t>
            </w:r>
            <w:r w:rsidR="00F54824" w:rsidRPr="002128A6">
              <w:rPr>
                <w:rFonts w:ascii="Garamond" w:eastAsia="Times New Roman" w:hAnsi="Garamond" w:cs="Times New Roman"/>
                <w:kern w:val="0"/>
                <w:sz w:val="8"/>
                <w:szCs w:val="8"/>
                <w14:ligatures w14:val="none"/>
              </w:rPr>
              <w:t>digjital</w:t>
            </w:r>
            <w:r w:rsidRPr="002128A6">
              <w:rPr>
                <w:rFonts w:ascii="Garamond" w:eastAsia="Times New Roman" w:hAnsi="Garamond" w:cs="Times New Roman"/>
                <w:kern w:val="0"/>
                <w:sz w:val="8"/>
                <w:szCs w:val="8"/>
                <w14:ligatures w14:val="none"/>
              </w:rPr>
              <w:t>e të sigurta për transmetimin dhe marrjen e informacionit gjyqësor, duke siguruar konfidencialitet, pajtueshmëri me mbrojtjen e të dhënave dhe qarkullim të shpejtë të kërkesave, sqarimeve dhe dokumenteve mbështetëse.</w:t>
            </w:r>
          </w:p>
        </w:tc>
        <w:tc>
          <w:tcPr>
            <w:tcW w:w="699" w:type="dxa"/>
            <w:tcBorders>
              <w:top w:val="single" w:sz="4" w:space="0" w:color="9CA3AF"/>
              <w:left w:val="nil"/>
              <w:bottom w:val="single" w:sz="4" w:space="0" w:color="9CA3AF"/>
              <w:right w:val="single" w:sz="4" w:space="0" w:color="9CA3AF"/>
            </w:tcBorders>
            <w:shd w:val="clear" w:color="auto" w:fill="auto"/>
            <w:hideMark/>
          </w:tcPr>
          <w:p w14:paraId="7DF79525"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91401AC</w:t>
            </w:r>
          </w:p>
        </w:tc>
        <w:tc>
          <w:tcPr>
            <w:tcW w:w="914" w:type="dxa"/>
            <w:tcBorders>
              <w:top w:val="single" w:sz="4" w:space="0" w:color="9CA3AF"/>
              <w:left w:val="nil"/>
              <w:bottom w:val="single" w:sz="4" w:space="0" w:color="9CA3AF"/>
              <w:right w:val="single" w:sz="4" w:space="0" w:color="9CA3AF"/>
            </w:tcBorders>
            <w:shd w:val="clear" w:color="auto" w:fill="auto"/>
            <w:hideMark/>
          </w:tcPr>
          <w:p w14:paraId="1E21B0EB"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Ministria e Drejtësisë</w:t>
            </w:r>
          </w:p>
        </w:tc>
        <w:tc>
          <w:tcPr>
            <w:tcW w:w="966" w:type="dxa"/>
            <w:tcBorders>
              <w:top w:val="single" w:sz="4" w:space="0" w:color="9CA3AF"/>
              <w:left w:val="nil"/>
              <w:bottom w:val="single" w:sz="4" w:space="0" w:color="9CA3AF"/>
              <w:right w:val="single" w:sz="4" w:space="0" w:color="9CA3AF"/>
            </w:tcBorders>
            <w:shd w:val="clear" w:color="auto" w:fill="auto"/>
            <w:hideMark/>
          </w:tcPr>
          <w:p w14:paraId="0D8CE03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për Evropën dhe Punët e Jashtme e Shqipërisë; Prokuroria e Përgjithshme</w:t>
            </w:r>
          </w:p>
        </w:tc>
        <w:tc>
          <w:tcPr>
            <w:tcW w:w="439" w:type="dxa"/>
            <w:tcBorders>
              <w:top w:val="single" w:sz="4" w:space="0" w:color="9CA3AF"/>
              <w:left w:val="nil"/>
              <w:bottom w:val="single" w:sz="4" w:space="0" w:color="9CA3AF"/>
              <w:right w:val="single" w:sz="4" w:space="0" w:color="9CA3AF"/>
            </w:tcBorders>
            <w:shd w:val="clear" w:color="auto" w:fill="auto"/>
            <w:hideMark/>
          </w:tcPr>
          <w:p w14:paraId="70837F31"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single" w:sz="4" w:space="0" w:color="9CA3AF"/>
              <w:left w:val="nil"/>
              <w:bottom w:val="single" w:sz="4" w:space="0" w:color="9CA3AF"/>
              <w:right w:val="single" w:sz="4" w:space="0" w:color="9CA3AF"/>
            </w:tcBorders>
            <w:shd w:val="clear" w:color="auto" w:fill="auto"/>
            <w:hideMark/>
          </w:tcPr>
          <w:p w14:paraId="7FB35E6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single" w:sz="4" w:space="0" w:color="9CA3AF"/>
              <w:left w:val="nil"/>
              <w:bottom w:val="single" w:sz="4" w:space="0" w:color="9CA3AF"/>
              <w:right w:val="single" w:sz="4" w:space="0" w:color="9CA3AF"/>
            </w:tcBorders>
            <w:shd w:val="clear" w:color="auto" w:fill="auto"/>
            <w:hideMark/>
          </w:tcPr>
          <w:p w14:paraId="1F389884"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single" w:sz="4" w:space="0" w:color="9CA3AF"/>
              <w:left w:val="nil"/>
              <w:bottom w:val="single" w:sz="4" w:space="0" w:color="9CA3AF"/>
              <w:right w:val="single" w:sz="4" w:space="0" w:color="9CA3AF"/>
            </w:tcBorders>
            <w:shd w:val="clear" w:color="auto" w:fill="auto"/>
            <w:hideMark/>
          </w:tcPr>
          <w:p w14:paraId="593FBB5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1A9C69FA"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1E8A7CA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nil"/>
              <w:left w:val="nil"/>
              <w:bottom w:val="single" w:sz="4" w:space="0" w:color="9CA3AF"/>
              <w:right w:val="single" w:sz="4" w:space="0" w:color="9CA3AF"/>
            </w:tcBorders>
            <w:shd w:val="clear" w:color="F1F5F9" w:fill="ECFDF5"/>
            <w:hideMark/>
          </w:tcPr>
          <w:p w14:paraId="41DCE25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w:t>
            </w:r>
          </w:p>
        </w:tc>
        <w:tc>
          <w:tcPr>
            <w:tcW w:w="867" w:type="dxa"/>
            <w:tcBorders>
              <w:top w:val="nil"/>
              <w:left w:val="nil"/>
              <w:bottom w:val="single" w:sz="4" w:space="0" w:color="9CA3AF"/>
              <w:right w:val="single" w:sz="4" w:space="0" w:color="9CA3AF"/>
            </w:tcBorders>
            <w:shd w:val="clear" w:color="F1F5F9" w:fill="ECFDF5"/>
            <w:hideMark/>
          </w:tcPr>
          <w:p w14:paraId="51E31A7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efikasitetit të bashkëpunimit gjyqësor ndërkombëtar nëpërmjet shkëmbimit më të shpejtë të informacioneve, ndjekjes më të fortë të çështjeve dhe njohjes së vendimeve gjyqësore të huaja.</w:t>
            </w:r>
          </w:p>
        </w:tc>
        <w:tc>
          <w:tcPr>
            <w:tcW w:w="517" w:type="dxa"/>
            <w:tcBorders>
              <w:top w:val="nil"/>
              <w:left w:val="nil"/>
              <w:bottom w:val="single" w:sz="4" w:space="0" w:color="9CA3AF"/>
              <w:right w:val="single" w:sz="4" w:space="0" w:color="9CA3AF"/>
            </w:tcBorders>
            <w:shd w:val="clear" w:color="F1F5F9" w:fill="ECFDF5"/>
            <w:hideMark/>
          </w:tcPr>
          <w:p w14:paraId="107BF7D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3.2.2</w:t>
            </w:r>
          </w:p>
        </w:tc>
        <w:tc>
          <w:tcPr>
            <w:tcW w:w="1007" w:type="dxa"/>
            <w:tcBorders>
              <w:top w:val="nil"/>
              <w:left w:val="nil"/>
              <w:bottom w:val="single" w:sz="4" w:space="0" w:color="9CA3AF"/>
              <w:right w:val="single" w:sz="4" w:space="0" w:color="9CA3AF"/>
            </w:tcBorders>
            <w:shd w:val="clear" w:color="F1F5F9" w:fill="ECFDF5"/>
            <w:hideMark/>
          </w:tcPr>
          <w:p w14:paraId="7EDECE8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Përditësimi dhe sigurimi i aksesit të zgjeruar në regjistrin gjyqësor penal në lidhje me shtetasit shqiptarë të dënuar jashtë Shqipërisë, duke miratuar procedura për marrjen në kohë dhe verifikimin e informacionit nga autoritetet përgjegjëse të huaja, duke siguruar cilësi dhe gjurmueshmëri të të dhënave dhe duke mundësuar akses të autorizuar për institucionet përgjegjëse, në respektim të plotë të konfidencialitetit dhe mbrojtjes së të dhënave personale. </w:t>
            </w:r>
          </w:p>
        </w:tc>
        <w:tc>
          <w:tcPr>
            <w:tcW w:w="524" w:type="dxa"/>
            <w:tcBorders>
              <w:top w:val="nil"/>
              <w:left w:val="nil"/>
              <w:bottom w:val="single" w:sz="4" w:space="0" w:color="9CA3AF"/>
              <w:right w:val="single" w:sz="4" w:space="0" w:color="9CA3AF"/>
            </w:tcBorders>
            <w:shd w:val="clear" w:color="auto" w:fill="auto"/>
            <w:hideMark/>
          </w:tcPr>
          <w:p w14:paraId="44A748A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3.2.2</w:t>
            </w:r>
          </w:p>
        </w:tc>
        <w:tc>
          <w:tcPr>
            <w:tcW w:w="1307" w:type="dxa"/>
            <w:tcBorders>
              <w:top w:val="nil"/>
              <w:left w:val="nil"/>
              <w:bottom w:val="single" w:sz="4" w:space="0" w:color="9CA3AF"/>
              <w:right w:val="single" w:sz="4" w:space="0" w:color="9CA3AF"/>
            </w:tcBorders>
            <w:shd w:val="clear" w:color="auto" w:fill="auto"/>
            <w:hideMark/>
          </w:tcPr>
          <w:p w14:paraId="609AD62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Miratimi i procedurave për marrjen, verifikimin dhe regjistrimin në kohë të informacionit nga autoritetet e huaja në lidhje me dënimet, duke siguruar saktësi, gjurmueshmëri dhe pajtueshmëri me standardet e mbrojtjes së të dhënave personale.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Mundësimi i aksesit të autorizuar për institucionet përgjegjëse, prokurorët, gjykatat, policinë, përmes mekanizmave të sigurt të autentifikimit, në mënyrë që regjistri të përdoret në mënyrë efektive për zhvillimin e çështjes, dënimin dhe vlerësimin e riskut</w:t>
            </w:r>
          </w:p>
        </w:tc>
        <w:tc>
          <w:tcPr>
            <w:tcW w:w="699" w:type="dxa"/>
            <w:tcBorders>
              <w:top w:val="nil"/>
              <w:left w:val="nil"/>
              <w:bottom w:val="single" w:sz="4" w:space="0" w:color="9CA3AF"/>
              <w:right w:val="single" w:sz="4" w:space="0" w:color="9CA3AF"/>
            </w:tcBorders>
            <w:shd w:val="clear" w:color="auto" w:fill="auto"/>
            <w:hideMark/>
          </w:tcPr>
          <w:p w14:paraId="2F168BCF"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91401AA</w:t>
            </w:r>
          </w:p>
        </w:tc>
        <w:tc>
          <w:tcPr>
            <w:tcW w:w="914" w:type="dxa"/>
            <w:tcBorders>
              <w:top w:val="nil"/>
              <w:left w:val="nil"/>
              <w:bottom w:val="single" w:sz="4" w:space="0" w:color="9CA3AF"/>
              <w:right w:val="single" w:sz="4" w:space="0" w:color="9CA3AF"/>
            </w:tcBorders>
            <w:shd w:val="clear" w:color="auto" w:fill="auto"/>
            <w:hideMark/>
          </w:tcPr>
          <w:p w14:paraId="0EFE3E6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e Drejtësisë</w:t>
            </w:r>
          </w:p>
        </w:tc>
        <w:tc>
          <w:tcPr>
            <w:tcW w:w="966" w:type="dxa"/>
            <w:tcBorders>
              <w:top w:val="nil"/>
              <w:left w:val="nil"/>
              <w:bottom w:val="single" w:sz="4" w:space="0" w:color="9CA3AF"/>
              <w:right w:val="single" w:sz="4" w:space="0" w:color="9CA3AF"/>
            </w:tcBorders>
            <w:shd w:val="clear" w:color="auto" w:fill="auto"/>
            <w:hideMark/>
          </w:tcPr>
          <w:p w14:paraId="4AAD6DE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Ministria për Evropën dhe Punët e Jashtme e Shqipërisë </w:t>
            </w:r>
          </w:p>
        </w:tc>
        <w:tc>
          <w:tcPr>
            <w:tcW w:w="439" w:type="dxa"/>
            <w:tcBorders>
              <w:top w:val="nil"/>
              <w:left w:val="nil"/>
              <w:bottom w:val="single" w:sz="4" w:space="0" w:color="9CA3AF"/>
              <w:right w:val="single" w:sz="4" w:space="0" w:color="9CA3AF"/>
            </w:tcBorders>
            <w:shd w:val="clear" w:color="auto" w:fill="auto"/>
            <w:hideMark/>
          </w:tcPr>
          <w:p w14:paraId="7A5D36DD"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650EAC3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7EF2154B"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2827D17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0F55DE74" w14:textId="77777777" w:rsidTr="00C42826">
        <w:trPr>
          <w:trHeight w:val="20"/>
        </w:trPr>
        <w:tc>
          <w:tcPr>
            <w:tcW w:w="749" w:type="dxa"/>
            <w:tcBorders>
              <w:top w:val="nil"/>
              <w:left w:val="single" w:sz="4" w:space="0" w:color="9CA3AF"/>
              <w:bottom w:val="single" w:sz="4" w:space="0" w:color="9CA3AF"/>
              <w:right w:val="single" w:sz="4" w:space="0" w:color="9CA3AF"/>
            </w:tcBorders>
            <w:shd w:val="clear" w:color="F1F5F9" w:fill="ECFDF5"/>
            <w:hideMark/>
          </w:tcPr>
          <w:p w14:paraId="7D9A4CD2"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QP III</w:t>
            </w:r>
          </w:p>
        </w:tc>
        <w:tc>
          <w:tcPr>
            <w:tcW w:w="330" w:type="dxa"/>
            <w:tcBorders>
              <w:top w:val="nil"/>
              <w:left w:val="nil"/>
              <w:bottom w:val="single" w:sz="4" w:space="0" w:color="9CA3AF"/>
              <w:right w:val="single" w:sz="4" w:space="0" w:color="9CA3AF"/>
            </w:tcBorders>
            <w:shd w:val="clear" w:color="F1F5F9" w:fill="ECFDF5"/>
            <w:hideMark/>
          </w:tcPr>
          <w:p w14:paraId="23820C8D"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w:t>
            </w:r>
          </w:p>
        </w:tc>
        <w:tc>
          <w:tcPr>
            <w:tcW w:w="867" w:type="dxa"/>
            <w:tcBorders>
              <w:top w:val="nil"/>
              <w:left w:val="nil"/>
              <w:bottom w:val="single" w:sz="4" w:space="0" w:color="9CA3AF"/>
              <w:right w:val="single" w:sz="4" w:space="0" w:color="9CA3AF"/>
            </w:tcBorders>
            <w:shd w:val="clear" w:color="F1F5F9" w:fill="ECFDF5"/>
            <w:hideMark/>
          </w:tcPr>
          <w:p w14:paraId="4F28453A"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Përmirësimi i efikasitetit të bashkëpunimit gjyqësor ndërkombëtar nëpërmjet shkëmbimit më të shpejtë të informacioneve, ndjekjes më të fortë të çështjeve dhe njohjes së vendimeve gjyqësore të huaja.</w:t>
            </w:r>
          </w:p>
        </w:tc>
        <w:tc>
          <w:tcPr>
            <w:tcW w:w="517" w:type="dxa"/>
            <w:tcBorders>
              <w:top w:val="nil"/>
              <w:left w:val="nil"/>
              <w:bottom w:val="single" w:sz="4" w:space="0" w:color="9CA3AF"/>
              <w:right w:val="single" w:sz="4" w:space="0" w:color="9CA3AF"/>
            </w:tcBorders>
            <w:shd w:val="clear" w:color="F1F5F9" w:fill="ECFDF5"/>
            <w:hideMark/>
          </w:tcPr>
          <w:p w14:paraId="56F4B143"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3.2.3</w:t>
            </w:r>
          </w:p>
        </w:tc>
        <w:tc>
          <w:tcPr>
            <w:tcW w:w="1007" w:type="dxa"/>
            <w:tcBorders>
              <w:top w:val="nil"/>
              <w:left w:val="nil"/>
              <w:bottom w:val="single" w:sz="4" w:space="0" w:color="9CA3AF"/>
              <w:right w:val="single" w:sz="4" w:space="0" w:color="9CA3AF"/>
            </w:tcBorders>
            <w:shd w:val="clear" w:color="F1F5F9" w:fill="ECFDF5"/>
            <w:hideMark/>
          </w:tcPr>
          <w:p w14:paraId="0441467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Forcimi i mbështetjes për skuadrat e përbashkëta hetimore (përfshirë SPH-të dypalëshe dhe çështjet të mbështetura/koordinuara nga Eurojust), përfshirë përmes koordinimit ligjor dhe operacional në kohë, shkëmbimit të sigurt të informacionit, lehtësimit të takimeve të koordinimit dhe ndjekjes së vazhdueshme të çështjes, me qëllim përmirësimin e mbledhjes ndërkufitare të provave, efektivitetit hetimor dhe ekzekutimit të masave gjyqësore.</w:t>
            </w:r>
          </w:p>
        </w:tc>
        <w:tc>
          <w:tcPr>
            <w:tcW w:w="524" w:type="dxa"/>
            <w:tcBorders>
              <w:top w:val="nil"/>
              <w:left w:val="nil"/>
              <w:bottom w:val="single" w:sz="4" w:space="0" w:color="9CA3AF"/>
              <w:right w:val="single" w:sz="4" w:space="0" w:color="9CA3AF"/>
            </w:tcBorders>
            <w:shd w:val="clear" w:color="auto" w:fill="auto"/>
            <w:hideMark/>
          </w:tcPr>
          <w:p w14:paraId="5738DEA7"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3.2.3</w:t>
            </w:r>
          </w:p>
        </w:tc>
        <w:tc>
          <w:tcPr>
            <w:tcW w:w="1307" w:type="dxa"/>
            <w:tcBorders>
              <w:top w:val="nil"/>
              <w:left w:val="nil"/>
              <w:bottom w:val="single" w:sz="4" w:space="0" w:color="9CA3AF"/>
              <w:right w:val="single" w:sz="4" w:space="0" w:color="9CA3AF"/>
            </w:tcBorders>
            <w:shd w:val="clear" w:color="auto" w:fill="auto"/>
            <w:hideMark/>
          </w:tcPr>
          <w:p w14:paraId="3BC298F1"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Koordinimi ligjor dhe operacional në kohë për SPH-të, përfshirë shkëmbimin e sigurt të informacionit, lehtësimin e takimeve të koordinimit dhe përpunimin e shpejtë të masave gjyqësore të kërkuara për mbledhjen ndërkufitare të provave. </w:t>
            </w:r>
            <w:r w:rsidRPr="002128A6">
              <w:rPr>
                <w:rFonts w:ascii="Garamond" w:eastAsia="Times New Roman" w:hAnsi="Garamond" w:cs="Times New Roman"/>
                <w:kern w:val="0"/>
                <w:sz w:val="8"/>
                <w:szCs w:val="8"/>
                <w14:ligatures w14:val="none"/>
              </w:rPr>
              <w:br/>
            </w:r>
            <w:r w:rsidRPr="002128A6">
              <w:rPr>
                <w:rFonts w:ascii="Garamond" w:eastAsia="Times New Roman" w:hAnsi="Garamond" w:cs="Times New Roman"/>
                <w:kern w:val="0"/>
                <w:sz w:val="8"/>
                <w:szCs w:val="8"/>
                <w14:ligatures w14:val="none"/>
              </w:rPr>
              <w:br/>
              <w:t>Miratimi i mekanizmave të strukturuar të ndjekjes për të gjitha veprimet e SPH-së, duke siguruar komunikim të vazhdueshëm me Eurojust, prokurorët partnerë dhe skuadrat hetimore, deri në përmbylljen e plotë të çdo çështjeje</w:t>
            </w:r>
          </w:p>
        </w:tc>
        <w:tc>
          <w:tcPr>
            <w:tcW w:w="699" w:type="dxa"/>
            <w:tcBorders>
              <w:top w:val="nil"/>
              <w:left w:val="nil"/>
              <w:bottom w:val="single" w:sz="4" w:space="0" w:color="9CA3AF"/>
              <w:right w:val="single" w:sz="4" w:space="0" w:color="9CA3AF"/>
            </w:tcBorders>
            <w:shd w:val="clear" w:color="auto" w:fill="auto"/>
            <w:hideMark/>
          </w:tcPr>
          <w:p w14:paraId="33721B1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91401AA</w:t>
            </w:r>
          </w:p>
        </w:tc>
        <w:tc>
          <w:tcPr>
            <w:tcW w:w="914" w:type="dxa"/>
            <w:tcBorders>
              <w:top w:val="nil"/>
              <w:left w:val="nil"/>
              <w:bottom w:val="single" w:sz="4" w:space="0" w:color="9CA3AF"/>
              <w:right w:val="single" w:sz="4" w:space="0" w:color="9CA3AF"/>
            </w:tcBorders>
            <w:shd w:val="clear" w:color="auto" w:fill="auto"/>
            <w:hideMark/>
          </w:tcPr>
          <w:p w14:paraId="3B85E40C"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xml:space="preserve"> Ministria e Drejtësisë</w:t>
            </w:r>
          </w:p>
        </w:tc>
        <w:tc>
          <w:tcPr>
            <w:tcW w:w="966" w:type="dxa"/>
            <w:tcBorders>
              <w:top w:val="nil"/>
              <w:left w:val="nil"/>
              <w:bottom w:val="single" w:sz="4" w:space="0" w:color="9CA3AF"/>
              <w:right w:val="single" w:sz="4" w:space="0" w:color="9CA3AF"/>
            </w:tcBorders>
            <w:shd w:val="clear" w:color="auto" w:fill="auto"/>
            <w:hideMark/>
          </w:tcPr>
          <w:p w14:paraId="1A8A7E0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Ministria për Evropën dhe Punët e Jashtme e Shqipërisë; Prokuroria e Përgjithshme; Struktura e Posaçme Kundër Korrupsionit dhe Krimit të Organizuar</w:t>
            </w:r>
          </w:p>
        </w:tc>
        <w:tc>
          <w:tcPr>
            <w:tcW w:w="439" w:type="dxa"/>
            <w:tcBorders>
              <w:top w:val="nil"/>
              <w:left w:val="nil"/>
              <w:bottom w:val="single" w:sz="4" w:space="0" w:color="9CA3AF"/>
              <w:right w:val="single" w:sz="4" w:space="0" w:color="9CA3AF"/>
            </w:tcBorders>
            <w:shd w:val="clear" w:color="auto" w:fill="auto"/>
            <w:hideMark/>
          </w:tcPr>
          <w:p w14:paraId="4E11619A"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2026</w:t>
            </w:r>
          </w:p>
        </w:tc>
        <w:tc>
          <w:tcPr>
            <w:tcW w:w="596" w:type="dxa"/>
            <w:tcBorders>
              <w:top w:val="nil"/>
              <w:left w:val="nil"/>
              <w:bottom w:val="single" w:sz="4" w:space="0" w:color="9CA3AF"/>
              <w:right w:val="single" w:sz="4" w:space="0" w:color="9CA3AF"/>
            </w:tcBorders>
            <w:shd w:val="clear" w:color="auto" w:fill="auto"/>
            <w:hideMark/>
          </w:tcPr>
          <w:p w14:paraId="0BDA3E58"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2028</w:t>
            </w:r>
          </w:p>
        </w:tc>
        <w:tc>
          <w:tcPr>
            <w:tcW w:w="649" w:type="dxa"/>
            <w:tcBorders>
              <w:top w:val="nil"/>
              <w:left w:val="nil"/>
              <w:bottom w:val="single" w:sz="4" w:space="0" w:color="9CA3AF"/>
              <w:right w:val="single" w:sz="4" w:space="0" w:color="9CA3AF"/>
            </w:tcBorders>
            <w:shd w:val="clear" w:color="auto" w:fill="auto"/>
            <w:hideMark/>
          </w:tcPr>
          <w:p w14:paraId="4E9670F0" w14:textId="77777777" w:rsidR="00C42826" w:rsidRPr="002128A6" w:rsidRDefault="00C42826" w:rsidP="00C42826">
            <w:pPr>
              <w:spacing w:after="0" w:line="240" w:lineRule="auto"/>
              <w:jc w:val="right"/>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w:t>
            </w:r>
          </w:p>
        </w:tc>
        <w:tc>
          <w:tcPr>
            <w:tcW w:w="1352" w:type="dxa"/>
            <w:tcBorders>
              <w:top w:val="nil"/>
              <w:left w:val="nil"/>
              <w:bottom w:val="single" w:sz="4" w:space="0" w:color="9CA3AF"/>
              <w:right w:val="single" w:sz="4" w:space="0" w:color="9CA3AF"/>
            </w:tcBorders>
            <w:shd w:val="clear" w:color="auto" w:fill="auto"/>
            <w:hideMark/>
          </w:tcPr>
          <w:p w14:paraId="7C777F26" w14:textId="77777777" w:rsidR="00C42826" w:rsidRPr="002128A6" w:rsidRDefault="00C42826" w:rsidP="00C42826">
            <w:pPr>
              <w:spacing w:after="0" w:line="240" w:lineRule="auto"/>
              <w:rPr>
                <w:rFonts w:ascii="Garamond" w:eastAsia="Times New Roman" w:hAnsi="Garamond" w:cs="Times New Roman"/>
                <w:kern w:val="0"/>
                <w:sz w:val="8"/>
                <w:szCs w:val="8"/>
                <w14:ligatures w14:val="none"/>
              </w:rPr>
            </w:pPr>
            <w:r w:rsidRPr="002128A6">
              <w:rPr>
                <w:rFonts w:ascii="Garamond" w:eastAsia="Times New Roman" w:hAnsi="Garamond" w:cs="Times New Roman"/>
                <w:kern w:val="0"/>
                <w:sz w:val="8"/>
                <w:szCs w:val="8"/>
                <w14:ligatures w14:val="none"/>
              </w:rPr>
              <w:t> </w:t>
            </w:r>
          </w:p>
        </w:tc>
      </w:tr>
      <w:tr w:rsidR="00F54824" w:rsidRPr="002128A6" w14:paraId="45D1541A" w14:textId="77777777" w:rsidTr="00C42826">
        <w:trPr>
          <w:trHeight w:val="20"/>
        </w:trPr>
        <w:tc>
          <w:tcPr>
            <w:tcW w:w="8915" w:type="dxa"/>
            <w:gridSpan w:val="12"/>
            <w:tcBorders>
              <w:top w:val="nil"/>
              <w:left w:val="nil"/>
              <w:bottom w:val="nil"/>
              <w:right w:val="nil"/>
            </w:tcBorders>
            <w:shd w:val="clear" w:color="FDEADA" w:fill="FEF3C7"/>
            <w:noWrap/>
            <w:vAlign w:val="bottom"/>
            <w:hideMark/>
          </w:tcPr>
          <w:p w14:paraId="6C43AF2D"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Nëntotali — OS 3.2</w:t>
            </w:r>
          </w:p>
        </w:tc>
        <w:tc>
          <w:tcPr>
            <w:tcW w:w="649" w:type="dxa"/>
            <w:tcBorders>
              <w:top w:val="nil"/>
              <w:left w:val="nil"/>
              <w:bottom w:val="nil"/>
              <w:right w:val="nil"/>
            </w:tcBorders>
            <w:shd w:val="clear" w:color="FDEADA" w:fill="FEF3C7"/>
            <w:noWrap/>
            <w:vAlign w:val="bottom"/>
            <w:hideMark/>
          </w:tcPr>
          <w:p w14:paraId="7BA44389"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w:t>
            </w:r>
          </w:p>
        </w:tc>
        <w:tc>
          <w:tcPr>
            <w:tcW w:w="1352" w:type="dxa"/>
            <w:tcBorders>
              <w:top w:val="nil"/>
              <w:left w:val="nil"/>
              <w:bottom w:val="nil"/>
              <w:right w:val="nil"/>
            </w:tcBorders>
            <w:shd w:val="clear" w:color="auto" w:fill="auto"/>
            <w:noWrap/>
            <w:vAlign w:val="bottom"/>
            <w:hideMark/>
          </w:tcPr>
          <w:p w14:paraId="67BFD814"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r w:rsidR="00F54824" w:rsidRPr="002128A6" w14:paraId="19DB0981" w14:textId="77777777" w:rsidTr="00C42826">
        <w:trPr>
          <w:trHeight w:val="20"/>
        </w:trPr>
        <w:tc>
          <w:tcPr>
            <w:tcW w:w="8915" w:type="dxa"/>
            <w:gridSpan w:val="12"/>
            <w:tcBorders>
              <w:top w:val="nil"/>
              <w:left w:val="nil"/>
              <w:bottom w:val="nil"/>
              <w:right w:val="nil"/>
            </w:tcBorders>
            <w:shd w:val="clear" w:color="4472C4" w:fill="2563EB"/>
            <w:noWrap/>
            <w:vAlign w:val="bottom"/>
            <w:hideMark/>
          </w:tcPr>
          <w:p w14:paraId="0A944550" w14:textId="77777777" w:rsidR="00C42826" w:rsidRPr="002128A6" w:rsidRDefault="00C42826" w:rsidP="00C42826">
            <w:pPr>
              <w:spacing w:after="0" w:line="240" w:lineRule="auto"/>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TOTALI I PËRGJITHSHËM — Plani i Veprimit 2026–2030</w:t>
            </w:r>
          </w:p>
        </w:tc>
        <w:tc>
          <w:tcPr>
            <w:tcW w:w="649" w:type="dxa"/>
            <w:tcBorders>
              <w:top w:val="nil"/>
              <w:left w:val="nil"/>
              <w:bottom w:val="nil"/>
              <w:right w:val="nil"/>
            </w:tcBorders>
            <w:shd w:val="clear" w:color="4472C4" w:fill="2563EB"/>
            <w:noWrap/>
            <w:vAlign w:val="bottom"/>
            <w:hideMark/>
          </w:tcPr>
          <w:p w14:paraId="7533B5B2"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r w:rsidRPr="002128A6">
              <w:rPr>
                <w:rFonts w:ascii="Garamond" w:eastAsia="Times New Roman" w:hAnsi="Garamond" w:cs="Times New Roman"/>
                <w:b/>
                <w:bCs/>
                <w:kern w:val="0"/>
                <w:sz w:val="8"/>
                <w:szCs w:val="8"/>
                <w14:ligatures w14:val="none"/>
              </w:rPr>
              <w:t>3,805,255,408</w:t>
            </w:r>
          </w:p>
        </w:tc>
        <w:tc>
          <w:tcPr>
            <w:tcW w:w="1352" w:type="dxa"/>
            <w:tcBorders>
              <w:top w:val="nil"/>
              <w:left w:val="nil"/>
              <w:bottom w:val="nil"/>
              <w:right w:val="nil"/>
            </w:tcBorders>
            <w:shd w:val="clear" w:color="auto" w:fill="auto"/>
            <w:noWrap/>
            <w:vAlign w:val="bottom"/>
            <w:hideMark/>
          </w:tcPr>
          <w:p w14:paraId="5BCE713D" w14:textId="77777777" w:rsidR="00C42826" w:rsidRPr="002128A6" w:rsidRDefault="00C42826" w:rsidP="00C42826">
            <w:pPr>
              <w:spacing w:after="0" w:line="240" w:lineRule="auto"/>
              <w:jc w:val="right"/>
              <w:rPr>
                <w:rFonts w:ascii="Garamond" w:eastAsia="Times New Roman" w:hAnsi="Garamond" w:cs="Times New Roman"/>
                <w:b/>
                <w:bCs/>
                <w:kern w:val="0"/>
                <w:sz w:val="8"/>
                <w:szCs w:val="8"/>
                <w14:ligatures w14:val="none"/>
              </w:rPr>
            </w:pPr>
          </w:p>
        </w:tc>
      </w:tr>
    </w:tbl>
    <w:p w14:paraId="56CB6925" w14:textId="2FDE830E" w:rsidR="00C42826" w:rsidRPr="002128A6" w:rsidRDefault="00C42826" w:rsidP="00C42826">
      <w:pPr>
        <w:pStyle w:val="NormalWeb"/>
        <w:spacing w:before="0" w:beforeAutospacing="0" w:after="0" w:afterAutospacing="0"/>
        <w:rPr>
          <w:rFonts w:ascii="Garamond" w:hAnsi="Garamond" w:cstheme="majorBidi"/>
          <w:b/>
          <w:bCs/>
        </w:rPr>
      </w:pPr>
    </w:p>
    <w:tbl>
      <w:tblPr>
        <w:tblW w:w="5000" w:type="pct"/>
        <w:tblLook w:val="04A0" w:firstRow="1" w:lastRow="0" w:firstColumn="1" w:lastColumn="0" w:noHBand="0" w:noVBand="1"/>
      </w:tblPr>
      <w:tblGrid>
        <w:gridCol w:w="2235"/>
        <w:gridCol w:w="1539"/>
        <w:gridCol w:w="1670"/>
        <w:gridCol w:w="3906"/>
      </w:tblGrid>
      <w:tr w:rsidR="00F54824" w:rsidRPr="002128A6" w14:paraId="42800042" w14:textId="77777777" w:rsidTr="005305FA">
        <w:trPr>
          <w:trHeight w:val="20"/>
        </w:trPr>
        <w:tc>
          <w:tcPr>
            <w:tcW w:w="1195" w:type="pct"/>
            <w:tcBorders>
              <w:top w:val="single" w:sz="4" w:space="0" w:color="9CA3AF"/>
              <w:left w:val="single" w:sz="4" w:space="0" w:color="9CA3AF"/>
              <w:bottom w:val="single" w:sz="4" w:space="0" w:color="9CA3AF"/>
              <w:right w:val="single" w:sz="4" w:space="0" w:color="9CA3AF"/>
            </w:tcBorders>
            <w:shd w:val="clear" w:color="003366" w:fill="1E3A8A"/>
            <w:vAlign w:val="center"/>
            <w:hideMark/>
          </w:tcPr>
          <w:p w14:paraId="0EC1DAE3" w14:textId="07852CE8" w:rsidR="00C42826" w:rsidRPr="002128A6" w:rsidRDefault="00C42826" w:rsidP="005305FA">
            <w:pPr>
              <w:spacing w:after="0" w:line="240" w:lineRule="auto"/>
              <w:jc w:val="center"/>
              <w:rPr>
                <w:rFonts w:ascii="Garamond" w:eastAsia="Times New Roman" w:hAnsi="Garamond" w:cs="Arial"/>
                <w:b/>
                <w:bCs/>
                <w:kern w:val="0"/>
                <w:sz w:val="20"/>
                <w:szCs w:val="20"/>
                <w14:ligatures w14:val="none"/>
              </w:rPr>
            </w:pPr>
            <w:r w:rsidRPr="002128A6">
              <w:rPr>
                <w:rFonts w:ascii="Garamond" w:eastAsia="Times New Roman" w:hAnsi="Garamond" w:cs="Arial"/>
                <w:b/>
                <w:bCs/>
                <w:kern w:val="0"/>
                <w:sz w:val="20"/>
                <w:szCs w:val="20"/>
                <w14:ligatures w14:val="none"/>
              </w:rPr>
              <w:t>Viti/</w:t>
            </w:r>
            <w:r w:rsidR="005305FA" w:rsidRPr="002128A6">
              <w:rPr>
                <w:rFonts w:ascii="Garamond" w:eastAsia="Times New Roman" w:hAnsi="Garamond" w:cs="Arial"/>
                <w:b/>
                <w:bCs/>
                <w:kern w:val="0"/>
                <w:sz w:val="20"/>
                <w:szCs w:val="20"/>
                <w14:ligatures w14:val="none"/>
              </w:rPr>
              <w:t>tremujori</w:t>
            </w:r>
          </w:p>
        </w:tc>
        <w:tc>
          <w:tcPr>
            <w:tcW w:w="823" w:type="pct"/>
            <w:tcBorders>
              <w:top w:val="single" w:sz="4" w:space="0" w:color="9CA3AF"/>
              <w:left w:val="nil"/>
              <w:bottom w:val="single" w:sz="4" w:space="0" w:color="9CA3AF"/>
              <w:right w:val="single" w:sz="4" w:space="0" w:color="9CA3AF"/>
            </w:tcBorders>
            <w:shd w:val="clear" w:color="003366" w:fill="1E3A8A"/>
            <w:vAlign w:val="center"/>
            <w:hideMark/>
          </w:tcPr>
          <w:p w14:paraId="3DF6EDFD" w14:textId="7123FE2A" w:rsidR="00C42826" w:rsidRPr="002128A6" w:rsidRDefault="00C42826" w:rsidP="005305FA">
            <w:pPr>
              <w:spacing w:after="0" w:line="240" w:lineRule="auto"/>
              <w:jc w:val="center"/>
              <w:rPr>
                <w:rFonts w:ascii="Garamond" w:eastAsia="Times New Roman" w:hAnsi="Garamond" w:cs="Arial"/>
                <w:b/>
                <w:bCs/>
                <w:kern w:val="0"/>
                <w:sz w:val="20"/>
                <w:szCs w:val="20"/>
                <w14:ligatures w14:val="none"/>
              </w:rPr>
            </w:pPr>
            <w:r w:rsidRPr="002128A6">
              <w:rPr>
                <w:rFonts w:ascii="Garamond" w:eastAsia="Times New Roman" w:hAnsi="Garamond" w:cs="Arial"/>
                <w:b/>
                <w:bCs/>
                <w:kern w:val="0"/>
                <w:sz w:val="20"/>
                <w:szCs w:val="20"/>
                <w14:ligatures w14:val="none"/>
              </w:rPr>
              <w:t>Eventi/</w:t>
            </w:r>
            <w:r w:rsidR="005305FA" w:rsidRPr="002128A6">
              <w:rPr>
                <w:rFonts w:ascii="Garamond" w:eastAsia="Times New Roman" w:hAnsi="Garamond" w:cs="Arial"/>
                <w:b/>
                <w:bCs/>
                <w:kern w:val="0"/>
                <w:sz w:val="20"/>
                <w:szCs w:val="20"/>
                <w14:ligatures w14:val="none"/>
              </w:rPr>
              <w:t>ngjarja</w:t>
            </w:r>
          </w:p>
        </w:tc>
        <w:tc>
          <w:tcPr>
            <w:tcW w:w="893" w:type="pct"/>
            <w:tcBorders>
              <w:top w:val="single" w:sz="4" w:space="0" w:color="9CA3AF"/>
              <w:left w:val="nil"/>
              <w:bottom w:val="single" w:sz="4" w:space="0" w:color="9CA3AF"/>
              <w:right w:val="single" w:sz="4" w:space="0" w:color="9CA3AF"/>
            </w:tcBorders>
            <w:shd w:val="clear" w:color="003366" w:fill="1E3A8A"/>
            <w:vAlign w:val="center"/>
            <w:hideMark/>
          </w:tcPr>
          <w:p w14:paraId="4514CD3D" w14:textId="0B0AEA5E" w:rsidR="00C42826" w:rsidRPr="002128A6" w:rsidRDefault="00C42826" w:rsidP="005305FA">
            <w:pPr>
              <w:spacing w:after="0" w:line="240" w:lineRule="auto"/>
              <w:jc w:val="center"/>
              <w:rPr>
                <w:rFonts w:ascii="Garamond" w:eastAsia="Times New Roman" w:hAnsi="Garamond" w:cs="Arial"/>
                <w:b/>
                <w:bCs/>
                <w:kern w:val="0"/>
                <w:sz w:val="20"/>
                <w:szCs w:val="20"/>
                <w14:ligatures w14:val="none"/>
              </w:rPr>
            </w:pPr>
            <w:r w:rsidRPr="002128A6">
              <w:rPr>
                <w:rFonts w:ascii="Garamond" w:eastAsia="Times New Roman" w:hAnsi="Garamond" w:cs="Arial"/>
                <w:b/>
                <w:bCs/>
                <w:kern w:val="0"/>
                <w:sz w:val="20"/>
                <w:szCs w:val="20"/>
                <w14:ligatures w14:val="none"/>
              </w:rPr>
              <w:t>Institucioni kryesor/</w:t>
            </w:r>
            <w:r w:rsidR="005305FA" w:rsidRPr="002128A6">
              <w:rPr>
                <w:rFonts w:ascii="Garamond" w:eastAsia="Times New Roman" w:hAnsi="Garamond" w:cs="Arial"/>
                <w:b/>
                <w:bCs/>
                <w:kern w:val="0"/>
                <w:sz w:val="20"/>
                <w:szCs w:val="20"/>
                <w14:ligatures w14:val="none"/>
              </w:rPr>
              <w:t>drejtimi</w:t>
            </w:r>
          </w:p>
        </w:tc>
        <w:tc>
          <w:tcPr>
            <w:tcW w:w="2089" w:type="pct"/>
            <w:tcBorders>
              <w:top w:val="single" w:sz="4" w:space="0" w:color="9CA3AF"/>
              <w:left w:val="nil"/>
              <w:bottom w:val="single" w:sz="4" w:space="0" w:color="9CA3AF"/>
              <w:right w:val="single" w:sz="4" w:space="0" w:color="9CA3AF"/>
            </w:tcBorders>
            <w:shd w:val="clear" w:color="003366" w:fill="1E3A8A"/>
            <w:vAlign w:val="center"/>
            <w:hideMark/>
          </w:tcPr>
          <w:p w14:paraId="4A127E31" w14:textId="77777777" w:rsidR="00C42826" w:rsidRPr="002128A6" w:rsidRDefault="00C42826" w:rsidP="005305FA">
            <w:pPr>
              <w:spacing w:after="0" w:line="240" w:lineRule="auto"/>
              <w:jc w:val="center"/>
              <w:rPr>
                <w:rFonts w:ascii="Garamond" w:eastAsia="Times New Roman" w:hAnsi="Garamond" w:cs="Arial"/>
                <w:b/>
                <w:bCs/>
                <w:kern w:val="0"/>
                <w:sz w:val="20"/>
                <w:szCs w:val="20"/>
                <w14:ligatures w14:val="none"/>
              </w:rPr>
            </w:pPr>
            <w:r w:rsidRPr="002128A6">
              <w:rPr>
                <w:rFonts w:ascii="Garamond" w:eastAsia="Times New Roman" w:hAnsi="Garamond" w:cs="Arial"/>
                <w:b/>
                <w:bCs/>
                <w:kern w:val="0"/>
                <w:sz w:val="20"/>
                <w:szCs w:val="20"/>
                <w14:ligatures w14:val="none"/>
              </w:rPr>
              <w:t>Çfarë raportohet/vendoset</w:t>
            </w:r>
          </w:p>
        </w:tc>
      </w:tr>
      <w:tr w:rsidR="00F54824" w:rsidRPr="002128A6" w14:paraId="6318B612" w14:textId="77777777" w:rsidTr="005305FA">
        <w:trPr>
          <w:trHeight w:val="20"/>
        </w:trPr>
        <w:tc>
          <w:tcPr>
            <w:tcW w:w="1195" w:type="pct"/>
            <w:tcBorders>
              <w:top w:val="nil"/>
              <w:left w:val="single" w:sz="4" w:space="0" w:color="9CA3AF"/>
              <w:bottom w:val="single" w:sz="4" w:space="0" w:color="9CA3AF"/>
              <w:right w:val="single" w:sz="4" w:space="0" w:color="9CA3AF"/>
            </w:tcBorders>
            <w:shd w:val="clear" w:color="auto" w:fill="auto"/>
            <w:hideMark/>
          </w:tcPr>
          <w:p w14:paraId="4396B161"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Tremujori 3/4 i vitit 2026</w:t>
            </w:r>
          </w:p>
        </w:tc>
        <w:tc>
          <w:tcPr>
            <w:tcW w:w="823" w:type="pct"/>
            <w:tcBorders>
              <w:top w:val="nil"/>
              <w:left w:val="nil"/>
              <w:bottom w:val="single" w:sz="4" w:space="0" w:color="9CA3AF"/>
              <w:right w:val="single" w:sz="4" w:space="0" w:color="9CA3AF"/>
            </w:tcBorders>
            <w:shd w:val="clear" w:color="auto" w:fill="auto"/>
            <w:hideMark/>
          </w:tcPr>
          <w:p w14:paraId="071FA212"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U konfirmuan vlerat/vlerësimet bazë</w:t>
            </w:r>
          </w:p>
        </w:tc>
        <w:tc>
          <w:tcPr>
            <w:tcW w:w="893" w:type="pct"/>
            <w:tcBorders>
              <w:top w:val="nil"/>
              <w:left w:val="nil"/>
              <w:bottom w:val="single" w:sz="4" w:space="0" w:color="9CA3AF"/>
              <w:right w:val="single" w:sz="4" w:space="0" w:color="9CA3AF"/>
            </w:tcBorders>
            <w:shd w:val="clear" w:color="auto" w:fill="auto"/>
            <w:hideMark/>
          </w:tcPr>
          <w:p w14:paraId="6399391F"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Të gjitha institucionet kryesore</w:t>
            </w:r>
          </w:p>
        </w:tc>
        <w:tc>
          <w:tcPr>
            <w:tcW w:w="2089" w:type="pct"/>
            <w:tcBorders>
              <w:top w:val="nil"/>
              <w:left w:val="nil"/>
              <w:bottom w:val="single" w:sz="4" w:space="0" w:color="9CA3AF"/>
              <w:right w:val="single" w:sz="4" w:space="0" w:color="9CA3AF"/>
            </w:tcBorders>
            <w:shd w:val="clear" w:color="auto" w:fill="auto"/>
            <w:hideMark/>
          </w:tcPr>
          <w:p w14:paraId="08313707"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 xml:space="preserve">Për të gjithë treguesit, vlerat bazë dhe/ose vlerat e synuara të të cilëve nuk janë përcaktuar ende, Ministria e Punëve të Brendshme dhe institucionet përgjegjëse do të përcaktojnë këto vlera brenda pesë muajve nga miratimi i Vendimit të Këshillit të Ministrave. Gjatë kësaj periudhe, do të kryhet puna e nevojshme për të prodhuar, mbledhur dhe standardizuar të </w:t>
            </w:r>
            <w:r w:rsidRPr="002128A6">
              <w:rPr>
                <w:rFonts w:ascii="Garamond" w:eastAsia="Times New Roman" w:hAnsi="Garamond" w:cs="Arial"/>
                <w:kern w:val="0"/>
                <w:sz w:val="20"/>
                <w:szCs w:val="20"/>
                <w14:ligatures w14:val="none"/>
              </w:rPr>
              <w:lastRenderedPageBreak/>
              <w:t>dhënat përkatëse të kërkuara për matjen e këtyre treguesve.</w:t>
            </w:r>
          </w:p>
        </w:tc>
      </w:tr>
      <w:tr w:rsidR="00F54824" w:rsidRPr="002128A6" w14:paraId="7CA184CE" w14:textId="77777777" w:rsidTr="005305FA">
        <w:trPr>
          <w:trHeight w:val="20"/>
        </w:trPr>
        <w:tc>
          <w:tcPr>
            <w:tcW w:w="1195" w:type="pct"/>
            <w:tcBorders>
              <w:top w:val="nil"/>
              <w:left w:val="single" w:sz="4" w:space="0" w:color="9CA3AF"/>
              <w:bottom w:val="single" w:sz="4" w:space="0" w:color="9CA3AF"/>
              <w:right w:val="single" w:sz="4" w:space="0" w:color="9CA3AF"/>
            </w:tcBorders>
            <w:shd w:val="clear" w:color="auto" w:fill="auto"/>
            <w:hideMark/>
          </w:tcPr>
          <w:p w14:paraId="460DC906"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lastRenderedPageBreak/>
              <w:t>Tremujori i parë i vitit 2027</w:t>
            </w:r>
          </w:p>
        </w:tc>
        <w:tc>
          <w:tcPr>
            <w:tcW w:w="823" w:type="pct"/>
            <w:tcBorders>
              <w:top w:val="nil"/>
              <w:left w:val="nil"/>
              <w:bottom w:val="single" w:sz="4" w:space="0" w:color="9CA3AF"/>
              <w:right w:val="single" w:sz="4" w:space="0" w:color="9CA3AF"/>
            </w:tcBorders>
            <w:shd w:val="clear" w:color="auto" w:fill="auto"/>
            <w:hideMark/>
          </w:tcPr>
          <w:p w14:paraId="19E5C805"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Raporti vjetor i vitit 1</w:t>
            </w:r>
          </w:p>
        </w:tc>
        <w:tc>
          <w:tcPr>
            <w:tcW w:w="893" w:type="pct"/>
            <w:tcBorders>
              <w:top w:val="nil"/>
              <w:left w:val="nil"/>
              <w:bottom w:val="single" w:sz="4" w:space="0" w:color="9CA3AF"/>
              <w:right w:val="single" w:sz="4" w:space="0" w:color="9CA3AF"/>
            </w:tcBorders>
            <w:shd w:val="clear" w:color="auto" w:fill="auto"/>
            <w:hideMark/>
          </w:tcPr>
          <w:p w14:paraId="1F371D51"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Njësia Përgjegjëse e Politikave të Luftës kundër Krimit të Organizuar dhe Terrorizmit</w:t>
            </w:r>
          </w:p>
        </w:tc>
        <w:tc>
          <w:tcPr>
            <w:tcW w:w="2089" w:type="pct"/>
            <w:tcBorders>
              <w:top w:val="nil"/>
              <w:left w:val="nil"/>
              <w:bottom w:val="single" w:sz="4" w:space="0" w:color="9CA3AF"/>
              <w:right w:val="single" w:sz="4" w:space="0" w:color="9CA3AF"/>
            </w:tcBorders>
            <w:shd w:val="clear" w:color="auto" w:fill="auto"/>
            <w:hideMark/>
          </w:tcPr>
          <w:p w14:paraId="206C7A6E" w14:textId="3372877C"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Raport vjetor mbi arritjet e vitit 2026 në të gjitha Objektivat Specifikë;</w:t>
            </w:r>
            <w:r w:rsidR="00F54824" w:rsidRPr="002128A6">
              <w:rPr>
                <w:rFonts w:ascii="Garamond" w:eastAsia="Times New Roman" w:hAnsi="Garamond" w:cs="Arial"/>
                <w:kern w:val="0"/>
                <w:sz w:val="20"/>
                <w:szCs w:val="20"/>
                <w14:ligatures w14:val="none"/>
              </w:rPr>
              <w:t xml:space="preserve"> </w:t>
            </w:r>
            <w:r w:rsidRPr="002128A6">
              <w:rPr>
                <w:rFonts w:ascii="Garamond" w:eastAsia="Times New Roman" w:hAnsi="Garamond" w:cs="Arial"/>
                <w:kern w:val="0"/>
                <w:sz w:val="20"/>
                <w:szCs w:val="20"/>
                <w14:ligatures w14:val="none"/>
              </w:rPr>
              <w:t>Dorëzimi në SASPAC dhe DBE.</w:t>
            </w:r>
          </w:p>
        </w:tc>
      </w:tr>
      <w:tr w:rsidR="00F54824" w:rsidRPr="002128A6" w14:paraId="01551CC4" w14:textId="77777777" w:rsidTr="005305FA">
        <w:trPr>
          <w:trHeight w:val="20"/>
        </w:trPr>
        <w:tc>
          <w:tcPr>
            <w:tcW w:w="1195" w:type="pct"/>
            <w:tcBorders>
              <w:top w:val="nil"/>
              <w:left w:val="single" w:sz="4" w:space="0" w:color="9CA3AF"/>
              <w:bottom w:val="single" w:sz="4" w:space="0" w:color="9CA3AF"/>
              <w:right w:val="single" w:sz="4" w:space="0" w:color="9CA3AF"/>
            </w:tcBorders>
            <w:shd w:val="clear" w:color="auto" w:fill="auto"/>
            <w:hideMark/>
          </w:tcPr>
          <w:p w14:paraId="5B70D18A"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Tremujori i dytë i vitit 2027</w:t>
            </w:r>
          </w:p>
        </w:tc>
        <w:tc>
          <w:tcPr>
            <w:tcW w:w="823" w:type="pct"/>
            <w:tcBorders>
              <w:top w:val="nil"/>
              <w:left w:val="nil"/>
              <w:bottom w:val="single" w:sz="4" w:space="0" w:color="9CA3AF"/>
              <w:right w:val="single" w:sz="4" w:space="0" w:color="9CA3AF"/>
            </w:tcBorders>
            <w:shd w:val="clear" w:color="auto" w:fill="auto"/>
            <w:hideMark/>
          </w:tcPr>
          <w:p w14:paraId="12237AF8"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Anketa e rezultateve të INSTAT-it</w:t>
            </w:r>
          </w:p>
        </w:tc>
        <w:tc>
          <w:tcPr>
            <w:tcW w:w="893" w:type="pct"/>
            <w:tcBorders>
              <w:top w:val="nil"/>
              <w:left w:val="nil"/>
              <w:bottom w:val="single" w:sz="4" w:space="0" w:color="9CA3AF"/>
              <w:right w:val="single" w:sz="4" w:space="0" w:color="9CA3AF"/>
            </w:tcBorders>
            <w:shd w:val="clear" w:color="auto" w:fill="auto"/>
            <w:hideMark/>
          </w:tcPr>
          <w:p w14:paraId="76313BC8"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INSTAT + MPB</w:t>
            </w:r>
          </w:p>
        </w:tc>
        <w:tc>
          <w:tcPr>
            <w:tcW w:w="2089" w:type="pct"/>
            <w:tcBorders>
              <w:top w:val="nil"/>
              <w:left w:val="nil"/>
              <w:bottom w:val="single" w:sz="4" w:space="0" w:color="9CA3AF"/>
              <w:right w:val="single" w:sz="4" w:space="0" w:color="9CA3AF"/>
            </w:tcBorders>
            <w:shd w:val="clear" w:color="auto" w:fill="auto"/>
            <w:hideMark/>
          </w:tcPr>
          <w:p w14:paraId="59CF50A1"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 xml:space="preserve">Perceptimi bazë në nivel popullsie (OS 1.1); </w:t>
            </w:r>
          </w:p>
        </w:tc>
      </w:tr>
      <w:tr w:rsidR="00F54824" w:rsidRPr="002128A6" w14:paraId="6020A8F8" w14:textId="77777777" w:rsidTr="005305FA">
        <w:trPr>
          <w:trHeight w:val="20"/>
        </w:trPr>
        <w:tc>
          <w:tcPr>
            <w:tcW w:w="1195" w:type="pct"/>
            <w:tcBorders>
              <w:top w:val="nil"/>
              <w:left w:val="single" w:sz="4" w:space="0" w:color="9CA3AF"/>
              <w:bottom w:val="single" w:sz="4" w:space="0" w:color="9CA3AF"/>
              <w:right w:val="single" w:sz="4" w:space="0" w:color="9CA3AF"/>
            </w:tcBorders>
            <w:shd w:val="clear" w:color="auto" w:fill="auto"/>
            <w:hideMark/>
          </w:tcPr>
          <w:p w14:paraId="393D2A60"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Tremujori i parë i vitit 2028</w:t>
            </w:r>
          </w:p>
        </w:tc>
        <w:tc>
          <w:tcPr>
            <w:tcW w:w="823" w:type="pct"/>
            <w:tcBorders>
              <w:top w:val="nil"/>
              <w:left w:val="nil"/>
              <w:bottom w:val="single" w:sz="4" w:space="0" w:color="9CA3AF"/>
              <w:right w:val="single" w:sz="4" w:space="0" w:color="9CA3AF"/>
            </w:tcBorders>
            <w:shd w:val="clear" w:color="auto" w:fill="auto"/>
            <w:hideMark/>
          </w:tcPr>
          <w:p w14:paraId="7A8F6DEE"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Rishikimi i Strategjisë Afatmesme</w:t>
            </w:r>
          </w:p>
        </w:tc>
        <w:tc>
          <w:tcPr>
            <w:tcW w:w="893" w:type="pct"/>
            <w:tcBorders>
              <w:top w:val="nil"/>
              <w:left w:val="nil"/>
              <w:bottom w:val="single" w:sz="4" w:space="0" w:color="9CA3AF"/>
              <w:right w:val="single" w:sz="4" w:space="0" w:color="9CA3AF"/>
            </w:tcBorders>
            <w:shd w:val="clear" w:color="auto" w:fill="auto"/>
            <w:hideMark/>
          </w:tcPr>
          <w:p w14:paraId="6B792C95"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MPB + DBE</w:t>
            </w:r>
          </w:p>
        </w:tc>
        <w:tc>
          <w:tcPr>
            <w:tcW w:w="2089" w:type="pct"/>
            <w:tcBorders>
              <w:top w:val="nil"/>
              <w:left w:val="nil"/>
              <w:bottom w:val="single" w:sz="4" w:space="0" w:color="9CA3AF"/>
              <w:right w:val="single" w:sz="4" w:space="0" w:color="9CA3AF"/>
            </w:tcBorders>
            <w:shd w:val="clear" w:color="auto" w:fill="auto"/>
            <w:hideMark/>
          </w:tcPr>
          <w:p w14:paraId="22B04A57"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Rishikimi i progresit kundrejt treguesve të rezultateve të Objektivave Specifikë; objektivat e rishikuar aty ku është e nevojshme; hendeku buxhetor është rivlerësuar.</w:t>
            </w:r>
          </w:p>
        </w:tc>
      </w:tr>
      <w:tr w:rsidR="00F54824" w:rsidRPr="002128A6" w14:paraId="1A63271A" w14:textId="77777777" w:rsidTr="005305FA">
        <w:trPr>
          <w:trHeight w:val="20"/>
        </w:trPr>
        <w:tc>
          <w:tcPr>
            <w:tcW w:w="1195" w:type="pct"/>
            <w:tcBorders>
              <w:top w:val="nil"/>
              <w:left w:val="single" w:sz="4" w:space="0" w:color="9CA3AF"/>
              <w:bottom w:val="single" w:sz="4" w:space="0" w:color="9CA3AF"/>
              <w:right w:val="single" w:sz="4" w:space="0" w:color="9CA3AF"/>
            </w:tcBorders>
            <w:shd w:val="clear" w:color="auto" w:fill="auto"/>
            <w:hideMark/>
          </w:tcPr>
          <w:p w14:paraId="5FFF293A"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Tremujori i katërt i vitit 2027</w:t>
            </w:r>
          </w:p>
        </w:tc>
        <w:tc>
          <w:tcPr>
            <w:tcW w:w="823" w:type="pct"/>
            <w:tcBorders>
              <w:top w:val="nil"/>
              <w:left w:val="nil"/>
              <w:bottom w:val="single" w:sz="4" w:space="0" w:color="9CA3AF"/>
              <w:right w:val="single" w:sz="4" w:space="0" w:color="9CA3AF"/>
            </w:tcBorders>
            <w:shd w:val="clear" w:color="auto" w:fill="auto"/>
            <w:hideMark/>
          </w:tcPr>
          <w:p w14:paraId="5ADD8EEE"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Përgatitja e MONEYVAL</w:t>
            </w:r>
          </w:p>
        </w:tc>
        <w:tc>
          <w:tcPr>
            <w:tcW w:w="893" w:type="pct"/>
            <w:tcBorders>
              <w:top w:val="nil"/>
              <w:left w:val="nil"/>
              <w:bottom w:val="single" w:sz="4" w:space="0" w:color="9CA3AF"/>
              <w:right w:val="single" w:sz="4" w:space="0" w:color="9CA3AF"/>
            </w:tcBorders>
            <w:shd w:val="clear" w:color="auto" w:fill="auto"/>
            <w:hideMark/>
          </w:tcPr>
          <w:p w14:paraId="00C119C8"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AIF + Ministria e Drejtësisë + PP</w:t>
            </w:r>
          </w:p>
        </w:tc>
        <w:tc>
          <w:tcPr>
            <w:tcW w:w="2089" w:type="pct"/>
            <w:tcBorders>
              <w:top w:val="nil"/>
              <w:left w:val="nil"/>
              <w:bottom w:val="single" w:sz="4" w:space="0" w:color="9CA3AF"/>
              <w:right w:val="single" w:sz="4" w:space="0" w:color="9CA3AF"/>
            </w:tcBorders>
            <w:shd w:val="clear" w:color="auto" w:fill="auto"/>
            <w:hideMark/>
          </w:tcPr>
          <w:p w14:paraId="0B06AE8E"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Inputet e ciklit MER të PPP/FT; paketë provash e konsoliduar e OS 1.5 + OS 2.3.</w:t>
            </w:r>
          </w:p>
        </w:tc>
      </w:tr>
      <w:tr w:rsidR="00F54824" w:rsidRPr="002128A6" w14:paraId="31454C88" w14:textId="77777777" w:rsidTr="005305FA">
        <w:trPr>
          <w:trHeight w:val="20"/>
        </w:trPr>
        <w:tc>
          <w:tcPr>
            <w:tcW w:w="1195" w:type="pct"/>
            <w:tcBorders>
              <w:top w:val="nil"/>
              <w:left w:val="single" w:sz="4" w:space="0" w:color="9CA3AF"/>
              <w:bottom w:val="single" w:sz="4" w:space="0" w:color="9CA3AF"/>
              <w:right w:val="single" w:sz="4" w:space="0" w:color="9CA3AF"/>
            </w:tcBorders>
            <w:shd w:val="clear" w:color="auto" w:fill="auto"/>
            <w:hideMark/>
          </w:tcPr>
          <w:p w14:paraId="68DFC12F"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Tremujori i katërt i vitit 2028</w:t>
            </w:r>
          </w:p>
        </w:tc>
        <w:tc>
          <w:tcPr>
            <w:tcW w:w="823" w:type="pct"/>
            <w:tcBorders>
              <w:top w:val="nil"/>
              <w:left w:val="nil"/>
              <w:bottom w:val="single" w:sz="4" w:space="0" w:color="9CA3AF"/>
              <w:right w:val="single" w:sz="4" w:space="0" w:color="9CA3AF"/>
            </w:tcBorders>
            <w:shd w:val="clear" w:color="auto" w:fill="auto"/>
            <w:hideMark/>
          </w:tcPr>
          <w:p w14:paraId="6B031B20"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Raporti vjetor i vitit 3 + rifreskimi i SOCTA-s</w:t>
            </w:r>
          </w:p>
        </w:tc>
        <w:tc>
          <w:tcPr>
            <w:tcW w:w="893" w:type="pct"/>
            <w:tcBorders>
              <w:top w:val="nil"/>
              <w:left w:val="nil"/>
              <w:bottom w:val="single" w:sz="4" w:space="0" w:color="9CA3AF"/>
              <w:right w:val="single" w:sz="4" w:space="0" w:color="9CA3AF"/>
            </w:tcBorders>
            <w:shd w:val="clear" w:color="auto" w:fill="auto"/>
            <w:hideMark/>
          </w:tcPr>
          <w:p w14:paraId="7134841F"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Policia e Shtetit + SPAK + PP</w:t>
            </w:r>
          </w:p>
        </w:tc>
        <w:tc>
          <w:tcPr>
            <w:tcW w:w="2089" w:type="pct"/>
            <w:tcBorders>
              <w:top w:val="nil"/>
              <w:left w:val="nil"/>
              <w:bottom w:val="single" w:sz="4" w:space="0" w:color="9CA3AF"/>
              <w:right w:val="single" w:sz="4" w:space="0" w:color="9CA3AF"/>
            </w:tcBorders>
            <w:shd w:val="clear" w:color="auto" w:fill="auto"/>
            <w:hideMark/>
          </w:tcPr>
          <w:p w14:paraId="06BD8FE1" w14:textId="3FCF00DA"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Rivlerësimi i kërcënimeve në stilin SOCTA plotëson listën e prioriteteve 2029</w:t>
            </w:r>
            <w:r w:rsidR="004325E6">
              <w:rPr>
                <w:rFonts w:ascii="Garamond" w:eastAsia="Times New Roman" w:hAnsi="Garamond" w:cs="Arial"/>
                <w:kern w:val="0"/>
                <w:sz w:val="20"/>
                <w:szCs w:val="20"/>
                <w14:ligatures w14:val="none"/>
              </w:rPr>
              <w:t>–</w:t>
            </w:r>
            <w:r w:rsidRPr="002128A6">
              <w:rPr>
                <w:rFonts w:ascii="Garamond" w:eastAsia="Times New Roman" w:hAnsi="Garamond" w:cs="Arial"/>
                <w:kern w:val="0"/>
                <w:sz w:val="20"/>
                <w:szCs w:val="20"/>
                <w14:ligatures w14:val="none"/>
              </w:rPr>
              <w:t>2030 dhe rialokimin në të gjithë OS 2.7.</w:t>
            </w:r>
          </w:p>
        </w:tc>
      </w:tr>
      <w:tr w:rsidR="00F54824" w:rsidRPr="002128A6" w14:paraId="2DE0E401" w14:textId="77777777" w:rsidTr="005305FA">
        <w:trPr>
          <w:trHeight w:val="20"/>
        </w:trPr>
        <w:tc>
          <w:tcPr>
            <w:tcW w:w="1195" w:type="pct"/>
            <w:tcBorders>
              <w:top w:val="nil"/>
              <w:left w:val="single" w:sz="4" w:space="0" w:color="9CA3AF"/>
              <w:bottom w:val="single" w:sz="4" w:space="0" w:color="9CA3AF"/>
              <w:right w:val="single" w:sz="4" w:space="0" w:color="9CA3AF"/>
            </w:tcBorders>
            <w:shd w:val="clear" w:color="auto" w:fill="auto"/>
            <w:hideMark/>
          </w:tcPr>
          <w:p w14:paraId="4A95D42C"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Tremujori i katërt i vitit 2029</w:t>
            </w:r>
          </w:p>
        </w:tc>
        <w:tc>
          <w:tcPr>
            <w:tcW w:w="823" w:type="pct"/>
            <w:tcBorders>
              <w:top w:val="nil"/>
              <w:left w:val="nil"/>
              <w:bottom w:val="single" w:sz="4" w:space="0" w:color="9CA3AF"/>
              <w:right w:val="single" w:sz="4" w:space="0" w:color="9CA3AF"/>
            </w:tcBorders>
            <w:shd w:val="clear" w:color="auto" w:fill="auto"/>
            <w:hideMark/>
          </w:tcPr>
          <w:p w14:paraId="70F982DC"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Raporti vjetor i vitit 4</w:t>
            </w:r>
          </w:p>
        </w:tc>
        <w:tc>
          <w:tcPr>
            <w:tcW w:w="893" w:type="pct"/>
            <w:tcBorders>
              <w:top w:val="nil"/>
              <w:left w:val="nil"/>
              <w:bottom w:val="single" w:sz="4" w:space="0" w:color="9CA3AF"/>
              <w:right w:val="single" w:sz="4" w:space="0" w:color="9CA3AF"/>
            </w:tcBorders>
            <w:shd w:val="clear" w:color="auto" w:fill="auto"/>
            <w:hideMark/>
          </w:tcPr>
          <w:p w14:paraId="2F1E1AD3"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Njësia Përgjegjëse e Politikave të Luftës kundër Krimit të Organizuar dhe Terrorizmit</w:t>
            </w:r>
          </w:p>
        </w:tc>
        <w:tc>
          <w:tcPr>
            <w:tcW w:w="2089" w:type="pct"/>
            <w:tcBorders>
              <w:top w:val="nil"/>
              <w:left w:val="nil"/>
              <w:bottom w:val="single" w:sz="4" w:space="0" w:color="9CA3AF"/>
              <w:right w:val="single" w:sz="4" w:space="0" w:color="9CA3AF"/>
            </w:tcBorders>
            <w:shd w:val="clear" w:color="auto" w:fill="auto"/>
            <w:hideMark/>
          </w:tcPr>
          <w:p w14:paraId="30F7CF85"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Raport vjetor; Raport vlerësimi para përfundimit.</w:t>
            </w:r>
          </w:p>
        </w:tc>
      </w:tr>
      <w:tr w:rsidR="00F54824" w:rsidRPr="002128A6" w14:paraId="08D716F3" w14:textId="77777777" w:rsidTr="005305FA">
        <w:trPr>
          <w:trHeight w:val="20"/>
        </w:trPr>
        <w:tc>
          <w:tcPr>
            <w:tcW w:w="1195" w:type="pct"/>
            <w:tcBorders>
              <w:top w:val="nil"/>
              <w:left w:val="single" w:sz="4" w:space="0" w:color="9CA3AF"/>
              <w:bottom w:val="single" w:sz="4" w:space="0" w:color="9CA3AF"/>
              <w:right w:val="single" w:sz="4" w:space="0" w:color="9CA3AF"/>
            </w:tcBorders>
            <w:shd w:val="clear" w:color="auto" w:fill="auto"/>
            <w:hideMark/>
          </w:tcPr>
          <w:p w14:paraId="2797C72B"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Tremujori i tretë i vitit 2030</w:t>
            </w:r>
          </w:p>
        </w:tc>
        <w:tc>
          <w:tcPr>
            <w:tcW w:w="823" w:type="pct"/>
            <w:tcBorders>
              <w:top w:val="nil"/>
              <w:left w:val="nil"/>
              <w:bottom w:val="single" w:sz="4" w:space="0" w:color="9CA3AF"/>
              <w:right w:val="single" w:sz="4" w:space="0" w:color="9CA3AF"/>
            </w:tcBorders>
            <w:shd w:val="clear" w:color="auto" w:fill="auto"/>
            <w:hideMark/>
          </w:tcPr>
          <w:p w14:paraId="04C07712"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Vlerësimi përfundimtar</w:t>
            </w:r>
          </w:p>
        </w:tc>
        <w:tc>
          <w:tcPr>
            <w:tcW w:w="893" w:type="pct"/>
            <w:tcBorders>
              <w:top w:val="nil"/>
              <w:left w:val="nil"/>
              <w:bottom w:val="single" w:sz="4" w:space="0" w:color="9CA3AF"/>
              <w:right w:val="single" w:sz="4" w:space="0" w:color="9CA3AF"/>
            </w:tcBorders>
            <w:shd w:val="clear" w:color="auto" w:fill="auto"/>
            <w:hideMark/>
          </w:tcPr>
          <w:p w14:paraId="66A494B9" w14:textId="77777777"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Vlerësues i pavarur + EUD</w:t>
            </w:r>
          </w:p>
        </w:tc>
        <w:tc>
          <w:tcPr>
            <w:tcW w:w="2089" w:type="pct"/>
            <w:tcBorders>
              <w:top w:val="nil"/>
              <w:left w:val="nil"/>
              <w:bottom w:val="single" w:sz="4" w:space="0" w:color="9CA3AF"/>
              <w:right w:val="single" w:sz="4" w:space="0" w:color="9CA3AF"/>
            </w:tcBorders>
            <w:shd w:val="clear" w:color="auto" w:fill="auto"/>
            <w:hideMark/>
          </w:tcPr>
          <w:p w14:paraId="52EA7D55" w14:textId="381268F2" w:rsidR="00C42826" w:rsidRPr="002128A6" w:rsidRDefault="00C42826" w:rsidP="00C42826">
            <w:pPr>
              <w:spacing w:after="0" w:line="240" w:lineRule="auto"/>
              <w:rPr>
                <w:rFonts w:ascii="Garamond" w:eastAsia="Times New Roman" w:hAnsi="Garamond" w:cs="Arial"/>
                <w:kern w:val="0"/>
                <w:sz w:val="20"/>
                <w:szCs w:val="20"/>
                <w14:ligatures w14:val="none"/>
              </w:rPr>
            </w:pPr>
            <w:r w:rsidRPr="002128A6">
              <w:rPr>
                <w:rFonts w:ascii="Garamond" w:eastAsia="Times New Roman" w:hAnsi="Garamond" w:cs="Arial"/>
                <w:kern w:val="0"/>
                <w:sz w:val="20"/>
                <w:szCs w:val="20"/>
                <w14:ligatures w14:val="none"/>
              </w:rPr>
              <w:t>Vlerësimi në fund të strategjisë kundrejt objektivave të vitit 2030; Mësimet e nxjerra shërbejnë si bazë për strategjinë e ardhshme 2031</w:t>
            </w:r>
            <w:r w:rsidR="00550F83">
              <w:rPr>
                <w:rFonts w:ascii="Garamond" w:eastAsia="Times New Roman" w:hAnsi="Garamond" w:cs="Arial"/>
                <w:kern w:val="0"/>
                <w:sz w:val="20"/>
                <w:szCs w:val="20"/>
                <w14:ligatures w14:val="none"/>
              </w:rPr>
              <w:t>–</w:t>
            </w:r>
            <w:r w:rsidRPr="002128A6">
              <w:rPr>
                <w:rFonts w:ascii="Garamond" w:eastAsia="Times New Roman" w:hAnsi="Garamond" w:cs="Arial"/>
                <w:kern w:val="0"/>
                <w:sz w:val="20"/>
                <w:szCs w:val="20"/>
                <w14:ligatures w14:val="none"/>
              </w:rPr>
              <w:t>2035.</w:t>
            </w:r>
          </w:p>
        </w:tc>
      </w:tr>
    </w:tbl>
    <w:p w14:paraId="06567493" w14:textId="1AED55E2" w:rsidR="00C42826" w:rsidRPr="002128A6" w:rsidRDefault="00C42826" w:rsidP="00C42826">
      <w:pPr>
        <w:pStyle w:val="NormalWeb"/>
        <w:spacing w:before="0" w:beforeAutospacing="0" w:after="0" w:afterAutospacing="0"/>
        <w:rPr>
          <w:rFonts w:ascii="Garamond" w:hAnsi="Garamond" w:cstheme="majorBidi"/>
          <w:b/>
          <w:bCs/>
        </w:rPr>
      </w:pPr>
    </w:p>
    <w:p w14:paraId="21E941B7" w14:textId="77777777" w:rsidR="00DB1B67" w:rsidRPr="002128A6" w:rsidRDefault="00DB1B67" w:rsidP="00C42826">
      <w:pPr>
        <w:spacing w:after="0"/>
        <w:jc w:val="center"/>
        <w:rPr>
          <w:rFonts w:ascii="Garamond" w:hAnsi="Garamond" w:cstheme="majorBidi"/>
          <w:b/>
          <w:bCs/>
        </w:rPr>
        <w:sectPr w:rsidR="00DB1B67" w:rsidRPr="002128A6" w:rsidSect="004E34DD">
          <w:pgSz w:w="12240" w:h="15840"/>
          <w:pgMar w:top="1440" w:right="1440" w:bottom="1440" w:left="1440" w:header="720" w:footer="720" w:gutter="0"/>
          <w:pgNumType w:start="0"/>
          <w:cols w:space="720"/>
          <w:titlePg/>
          <w:docGrid w:linePitch="360"/>
        </w:sectPr>
      </w:pPr>
    </w:p>
    <w:p w14:paraId="52C3C955" w14:textId="3C9F9972" w:rsidR="00DB1B67" w:rsidRPr="00822D6F" w:rsidRDefault="00822D6F" w:rsidP="00822D6F">
      <w:pPr>
        <w:pStyle w:val="NormalWeb"/>
        <w:spacing w:before="0" w:beforeAutospacing="0" w:after="0" w:afterAutospacing="0"/>
        <w:jc w:val="center"/>
        <w:rPr>
          <w:rFonts w:ascii="Garamond" w:hAnsi="Garamond" w:cstheme="majorBidi"/>
          <w:sz w:val="18"/>
          <w:szCs w:val="18"/>
        </w:rPr>
      </w:pPr>
      <w:r w:rsidRPr="00822D6F">
        <w:rPr>
          <w:rFonts w:ascii="Garamond" w:hAnsi="Garamond" w:cstheme="majorBidi"/>
          <w:sz w:val="18"/>
          <w:szCs w:val="18"/>
        </w:rPr>
        <w:lastRenderedPageBreak/>
        <w:t>PLANI I VEPRIMIT</w:t>
      </w:r>
    </w:p>
    <w:p w14:paraId="3C0F9D24" w14:textId="16828A4C" w:rsidR="00DB1B67" w:rsidRPr="00822D6F" w:rsidRDefault="00822D6F" w:rsidP="00822D6F">
      <w:pPr>
        <w:spacing w:after="0" w:line="240" w:lineRule="auto"/>
        <w:jc w:val="center"/>
        <w:rPr>
          <w:rFonts w:ascii="Garamond" w:hAnsi="Garamond" w:cstheme="majorBidi"/>
          <w:sz w:val="18"/>
          <w:szCs w:val="18"/>
        </w:rPr>
      </w:pPr>
      <w:r w:rsidRPr="00822D6F">
        <w:rPr>
          <w:rFonts w:ascii="Garamond" w:hAnsi="Garamond" w:cstheme="majorBidi"/>
          <w:sz w:val="18"/>
          <w:szCs w:val="18"/>
        </w:rPr>
        <w:t>PËR ZBATIMIN E STRATEGJISË KUNDËR KRIMIT TË ORGANIZUAR DHE KRIMEVE TË RËNDA 2026–2028</w:t>
      </w:r>
    </w:p>
    <w:p w14:paraId="3E0C510F" w14:textId="081C585C" w:rsidR="00DB1B67" w:rsidRPr="00822D6F" w:rsidRDefault="00822D6F" w:rsidP="00822D6F">
      <w:pPr>
        <w:spacing w:after="0" w:line="240" w:lineRule="auto"/>
        <w:jc w:val="center"/>
        <w:rPr>
          <w:rFonts w:ascii="Garamond" w:hAnsi="Garamond" w:cstheme="majorBidi"/>
          <w:sz w:val="18"/>
          <w:szCs w:val="18"/>
        </w:rPr>
      </w:pPr>
      <w:r w:rsidRPr="00822D6F">
        <w:rPr>
          <w:rFonts w:ascii="Garamond" w:hAnsi="Garamond" w:cstheme="majorBidi"/>
          <w:sz w:val="18"/>
          <w:szCs w:val="18"/>
        </w:rPr>
        <w:t xml:space="preserve">II. QËLLIMI I POLITIKËS 1: PARANDALIMI I KRIMIT TË ORGANIZUAR DHE KRIMEVE TË RËNDA </w:t>
      </w:r>
    </w:p>
    <w:p w14:paraId="798E8443" w14:textId="6E9C4A6C" w:rsidR="00DB1B67" w:rsidRPr="00822D6F" w:rsidRDefault="00822D6F" w:rsidP="00822D6F">
      <w:pPr>
        <w:spacing w:after="0" w:line="240" w:lineRule="auto"/>
        <w:jc w:val="center"/>
        <w:rPr>
          <w:rFonts w:ascii="Garamond" w:hAnsi="Garamond" w:cstheme="majorBidi"/>
          <w:sz w:val="18"/>
          <w:szCs w:val="18"/>
        </w:rPr>
      </w:pPr>
      <w:r w:rsidRPr="00822D6F">
        <w:rPr>
          <w:rFonts w:ascii="Garamond" w:hAnsi="Garamond" w:cstheme="majorBidi"/>
          <w:sz w:val="18"/>
          <w:szCs w:val="18"/>
        </w:rPr>
        <w:t>III. PROGRAMI BUXHETOR QË KONTRIBUON PËR QËLLIMIN E POLITIKËS: PROGRAMI 01110 MINISTRIA E PUNËVE TË BRENDSHME; PROGRAMI 03140, POLICIA E SHTETIT</w:t>
      </w:r>
    </w:p>
    <w:p w14:paraId="2F55E45E" w14:textId="0D26BB39" w:rsidR="00DB1B67" w:rsidRPr="002128A6" w:rsidRDefault="00DB1B67" w:rsidP="00DB1B67">
      <w:pPr>
        <w:spacing w:after="0" w:line="240" w:lineRule="auto"/>
        <w:jc w:val="center"/>
        <w:rPr>
          <w:rFonts w:ascii="Garamond" w:hAnsi="Garamond" w:cstheme="majorBidi"/>
          <w:b/>
          <w:bCs/>
        </w:rPr>
      </w:pPr>
    </w:p>
    <w:tbl>
      <w:tblPr>
        <w:tblW w:w="0" w:type="auto"/>
        <w:jc w:val="center"/>
        <w:tblLook w:val="04A0" w:firstRow="1" w:lastRow="0" w:firstColumn="1" w:lastColumn="0" w:noHBand="0" w:noVBand="1"/>
      </w:tblPr>
      <w:tblGrid>
        <w:gridCol w:w="581"/>
        <w:gridCol w:w="2201"/>
        <w:gridCol w:w="302"/>
        <w:gridCol w:w="373"/>
        <w:gridCol w:w="401"/>
        <w:gridCol w:w="256"/>
        <w:gridCol w:w="272"/>
        <w:gridCol w:w="300"/>
        <w:gridCol w:w="293"/>
        <w:gridCol w:w="300"/>
        <w:gridCol w:w="294"/>
        <w:gridCol w:w="293"/>
        <w:gridCol w:w="294"/>
        <w:gridCol w:w="294"/>
        <w:gridCol w:w="294"/>
        <w:gridCol w:w="294"/>
        <w:gridCol w:w="293"/>
        <w:gridCol w:w="293"/>
        <w:gridCol w:w="293"/>
        <w:gridCol w:w="293"/>
        <w:gridCol w:w="293"/>
        <w:gridCol w:w="293"/>
        <w:gridCol w:w="299"/>
        <w:gridCol w:w="299"/>
        <w:gridCol w:w="300"/>
        <w:gridCol w:w="300"/>
        <w:gridCol w:w="293"/>
        <w:gridCol w:w="299"/>
        <w:gridCol w:w="294"/>
        <w:gridCol w:w="294"/>
        <w:gridCol w:w="294"/>
        <w:gridCol w:w="269"/>
        <w:gridCol w:w="294"/>
        <w:gridCol w:w="327"/>
        <w:gridCol w:w="294"/>
        <w:gridCol w:w="294"/>
      </w:tblGrid>
      <w:tr w:rsidR="00F54824" w:rsidRPr="002128A6" w14:paraId="2C662BBE" w14:textId="77777777" w:rsidTr="005305FA">
        <w:trPr>
          <w:trHeight w:val="20"/>
          <w:jc w:val="center"/>
        </w:trPr>
        <w:tc>
          <w:tcPr>
            <w:tcW w:w="12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E4E3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Nr.</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0563A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Titulli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2CBFDF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Programi buxhetor </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6DBBF56" w14:textId="40251E7D"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Institucionet përgjegjëse</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47F36E" w14:textId="6B4F407E"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Afati i </w:t>
            </w:r>
            <w:r w:rsidR="00822D6F" w:rsidRPr="002128A6">
              <w:rPr>
                <w:rFonts w:ascii="Garamond" w:eastAsia="Times New Roman" w:hAnsi="Garamond" w:cs="Times New Roman"/>
                <w:b/>
                <w:bCs/>
                <w:kern w:val="0"/>
                <w:sz w:val="4"/>
                <w:szCs w:val="8"/>
                <w14:ligatures w14:val="none"/>
              </w:rPr>
              <w:t xml:space="preserve">zbatimit </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526460" w14:textId="34B1EC36"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indikative/2026</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E1B786" w14:textId="5A408C44"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indikative/2027</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4A8B3D" w14:textId="55093F8C"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indikative/2028</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CC6ACB" w14:textId="173E823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indikative/2029</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29BA1A" w14:textId="74681853"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indikative/2030</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D52E71" w14:textId="5FB61076"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indikative/Totale</w:t>
            </w:r>
          </w:p>
        </w:tc>
        <w:tc>
          <w:tcPr>
            <w:tcW w:w="0" w:type="auto"/>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62638B5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Burimi i Financimit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E4ED0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Hendeku financiar </w:t>
            </w:r>
          </w:p>
        </w:tc>
      </w:tr>
      <w:tr w:rsidR="00F54824" w:rsidRPr="002128A6" w14:paraId="03581021" w14:textId="77777777" w:rsidTr="005305FA">
        <w:trPr>
          <w:trHeight w:val="20"/>
          <w:jc w:val="center"/>
        </w:trPr>
        <w:tc>
          <w:tcPr>
            <w:tcW w:w="1245" w:type="dxa"/>
            <w:vMerge/>
            <w:tcBorders>
              <w:top w:val="single" w:sz="4" w:space="0" w:color="auto"/>
              <w:left w:val="single" w:sz="8" w:space="0" w:color="auto"/>
              <w:bottom w:val="single" w:sz="4" w:space="0" w:color="000000"/>
              <w:right w:val="single" w:sz="4" w:space="0" w:color="auto"/>
            </w:tcBorders>
            <w:vAlign w:val="center"/>
            <w:hideMark/>
          </w:tcPr>
          <w:p w14:paraId="76684A1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EF408E"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A8C4628" w14:textId="39D3EB3A"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Referenca e Rezultatit me produktet e programit buxhetor</w:t>
            </w:r>
            <w:r w:rsidR="00F54824" w:rsidRPr="002128A6">
              <w:rPr>
                <w:rFonts w:ascii="Garamond" w:eastAsia="Times New Roman" w:hAnsi="Garamond" w:cs="Times New Roman"/>
                <w:b/>
                <w:bCs/>
                <w:kern w:val="0"/>
                <w:sz w:val="4"/>
                <w:szCs w:val="8"/>
                <w14:ligatures w14:val="none"/>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26C135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përgjegjës</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72EF4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mbështetës</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F5D40EB" w14:textId="40D9EAAE"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fillimit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90795F" w14:textId="647C1290"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mbarimit</w:t>
            </w:r>
          </w:p>
        </w:tc>
        <w:tc>
          <w:tcPr>
            <w:tcW w:w="0" w:type="auto"/>
            <w:gridSpan w:val="3"/>
            <w:vMerge/>
            <w:tcBorders>
              <w:top w:val="single" w:sz="4" w:space="0" w:color="auto"/>
              <w:left w:val="single" w:sz="4" w:space="0" w:color="auto"/>
              <w:bottom w:val="single" w:sz="4" w:space="0" w:color="000000"/>
              <w:right w:val="single" w:sz="4" w:space="0" w:color="auto"/>
            </w:tcBorders>
            <w:vAlign w:val="center"/>
            <w:hideMark/>
          </w:tcPr>
          <w:p w14:paraId="2C8D110C"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single" w:sz="4" w:space="0" w:color="auto"/>
              <w:left w:val="single" w:sz="4" w:space="0" w:color="auto"/>
              <w:bottom w:val="single" w:sz="4" w:space="0" w:color="000000"/>
              <w:right w:val="single" w:sz="4" w:space="0" w:color="auto"/>
            </w:tcBorders>
            <w:vAlign w:val="center"/>
            <w:hideMark/>
          </w:tcPr>
          <w:p w14:paraId="3AD3C38A"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single" w:sz="4" w:space="0" w:color="auto"/>
              <w:left w:val="single" w:sz="4" w:space="0" w:color="auto"/>
              <w:bottom w:val="single" w:sz="4" w:space="0" w:color="000000"/>
              <w:right w:val="single" w:sz="4" w:space="0" w:color="auto"/>
            </w:tcBorders>
            <w:vAlign w:val="center"/>
            <w:hideMark/>
          </w:tcPr>
          <w:p w14:paraId="6901583A"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single" w:sz="4" w:space="0" w:color="auto"/>
              <w:left w:val="single" w:sz="4" w:space="0" w:color="auto"/>
              <w:bottom w:val="single" w:sz="4" w:space="0" w:color="000000"/>
              <w:right w:val="single" w:sz="4" w:space="0" w:color="auto"/>
            </w:tcBorders>
            <w:vAlign w:val="center"/>
            <w:hideMark/>
          </w:tcPr>
          <w:p w14:paraId="73A293C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single" w:sz="4" w:space="0" w:color="auto"/>
              <w:left w:val="single" w:sz="4" w:space="0" w:color="auto"/>
              <w:bottom w:val="single" w:sz="4" w:space="0" w:color="000000"/>
              <w:right w:val="single" w:sz="4" w:space="0" w:color="auto"/>
            </w:tcBorders>
            <w:vAlign w:val="center"/>
            <w:hideMark/>
          </w:tcPr>
          <w:p w14:paraId="3F0BB938"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single" w:sz="4" w:space="0" w:color="auto"/>
              <w:left w:val="single" w:sz="4" w:space="0" w:color="auto"/>
              <w:bottom w:val="single" w:sz="4" w:space="0" w:color="000000"/>
              <w:right w:val="single" w:sz="4" w:space="0" w:color="auto"/>
            </w:tcBorders>
            <w:vAlign w:val="center"/>
            <w:hideMark/>
          </w:tcPr>
          <w:p w14:paraId="3FCD6C4A"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tcBorders>
              <w:top w:val="single" w:sz="4" w:space="0" w:color="auto"/>
              <w:left w:val="nil"/>
              <w:bottom w:val="single" w:sz="4" w:space="0" w:color="auto"/>
              <w:right w:val="single" w:sz="4" w:space="0" w:color="000000"/>
            </w:tcBorders>
            <w:shd w:val="clear" w:color="000000" w:fill="FFFFFF"/>
            <w:vAlign w:val="center"/>
            <w:hideMark/>
          </w:tcPr>
          <w:p w14:paraId="46C02FA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PBA 2026-2028 (në lekë)</w:t>
            </w:r>
          </w:p>
        </w:tc>
        <w:tc>
          <w:tcPr>
            <w:tcW w:w="0" w:type="auto"/>
            <w:gridSpan w:val="3"/>
            <w:tcBorders>
              <w:top w:val="single" w:sz="4" w:space="0" w:color="auto"/>
              <w:left w:val="nil"/>
              <w:bottom w:val="single" w:sz="4" w:space="0" w:color="auto"/>
              <w:right w:val="single" w:sz="4" w:space="0" w:color="000000"/>
            </w:tcBorders>
            <w:shd w:val="clear" w:color="000000" w:fill="FFFFFF"/>
            <w:vAlign w:val="center"/>
            <w:hideMark/>
          </w:tcPr>
          <w:p w14:paraId="55F0A1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PBA 2028-2030 (në lekë)</w:t>
            </w:r>
          </w:p>
        </w:tc>
        <w:tc>
          <w:tcPr>
            <w:tcW w:w="0" w:type="auto"/>
            <w:gridSpan w:val="4"/>
            <w:tcBorders>
              <w:top w:val="single" w:sz="4" w:space="0" w:color="auto"/>
              <w:left w:val="nil"/>
              <w:bottom w:val="single" w:sz="4" w:space="0" w:color="auto"/>
              <w:right w:val="single" w:sz="4" w:space="0" w:color="000000"/>
            </w:tcBorders>
            <w:shd w:val="clear" w:color="000000" w:fill="FFFFFF"/>
            <w:vAlign w:val="center"/>
            <w:hideMark/>
          </w:tcPr>
          <w:p w14:paraId="0B7D60DE" w14:textId="44E15A04"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Financim i Huaj</w:t>
            </w:r>
            <w:r w:rsidR="00F54824" w:rsidRPr="002128A6">
              <w:rPr>
                <w:rFonts w:ascii="Garamond" w:eastAsia="Times New Roman" w:hAnsi="Garamond" w:cs="Times New Roman"/>
                <w:b/>
                <w:bCs/>
                <w:kern w:val="0"/>
                <w:sz w:val="4"/>
                <w:szCs w:val="8"/>
                <w14:ligatures w14:val="none"/>
              </w:rPr>
              <w:t xml:space="preserve"> </w:t>
            </w:r>
            <w:r w:rsidRPr="002128A6">
              <w:rPr>
                <w:rFonts w:ascii="Garamond" w:eastAsia="Times New Roman" w:hAnsi="Garamond" w:cs="Times New Roman"/>
                <w:b/>
                <w:bCs/>
                <w:kern w:val="0"/>
                <w:sz w:val="4"/>
                <w:szCs w:val="8"/>
                <w14:ligatures w14:val="none"/>
              </w:rPr>
              <w:t>(në</w:t>
            </w:r>
            <w:r w:rsidR="00F54824" w:rsidRPr="002128A6">
              <w:rPr>
                <w:rFonts w:ascii="Garamond" w:eastAsia="Times New Roman" w:hAnsi="Garamond" w:cs="Times New Roman"/>
                <w:b/>
                <w:bCs/>
                <w:kern w:val="0"/>
                <w:sz w:val="4"/>
                <w:szCs w:val="8"/>
                <w14:ligatures w14:val="none"/>
              </w:rPr>
              <w:t xml:space="preserve"> </w:t>
            </w:r>
            <w:r w:rsidRPr="002128A6">
              <w:rPr>
                <w:rFonts w:ascii="Garamond" w:eastAsia="Times New Roman" w:hAnsi="Garamond" w:cs="Times New Roman"/>
                <w:b/>
                <w:bCs/>
                <w:kern w:val="0"/>
                <w:sz w:val="4"/>
                <w:szCs w:val="8"/>
                <w14:ligatures w14:val="none"/>
              </w:rPr>
              <w:t>lekë)</w:t>
            </w:r>
          </w:p>
        </w:tc>
        <w:tc>
          <w:tcPr>
            <w:tcW w:w="0" w:type="auto"/>
            <w:vMerge/>
            <w:tcBorders>
              <w:top w:val="single" w:sz="4" w:space="0" w:color="auto"/>
              <w:left w:val="single" w:sz="4" w:space="0" w:color="auto"/>
              <w:bottom w:val="single" w:sz="4" w:space="0" w:color="000000"/>
              <w:right w:val="single" w:sz="8" w:space="0" w:color="auto"/>
            </w:tcBorders>
            <w:vAlign w:val="center"/>
            <w:hideMark/>
          </w:tcPr>
          <w:p w14:paraId="63F9DB1F"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r>
      <w:tr w:rsidR="00F54824" w:rsidRPr="002128A6" w14:paraId="305EE34D" w14:textId="77777777" w:rsidTr="005305FA">
        <w:trPr>
          <w:trHeight w:val="20"/>
          <w:jc w:val="center"/>
        </w:trPr>
        <w:tc>
          <w:tcPr>
            <w:tcW w:w="1245" w:type="dxa"/>
            <w:vMerge/>
            <w:tcBorders>
              <w:top w:val="nil"/>
              <w:left w:val="single" w:sz="8" w:space="0" w:color="auto"/>
              <w:bottom w:val="single" w:sz="4" w:space="0" w:color="000000"/>
              <w:right w:val="single" w:sz="4" w:space="0" w:color="auto"/>
            </w:tcBorders>
            <w:vAlign w:val="center"/>
            <w:hideMark/>
          </w:tcPr>
          <w:p w14:paraId="2133FC5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2644795"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C1AFEE3"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2B1298C"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193CCF5"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E2A9876"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327CF50"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tcBorders>
              <w:top w:val="nil"/>
              <w:left w:val="nil"/>
              <w:bottom w:val="single" w:sz="4" w:space="0" w:color="auto"/>
              <w:right w:val="single" w:sz="4" w:space="0" w:color="auto"/>
            </w:tcBorders>
            <w:shd w:val="clear" w:color="000000" w:fill="FFFFFF"/>
            <w:vAlign w:val="center"/>
            <w:hideMark/>
          </w:tcPr>
          <w:p w14:paraId="5949385B" w14:textId="4F85BEA8"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w:t>
            </w:r>
            <w:r w:rsidR="00B76863" w:rsidRPr="002128A6">
              <w:rPr>
                <w:rFonts w:ascii="Garamond" w:eastAsia="Times New Roman" w:hAnsi="Garamond" w:cs="Times New Roman"/>
                <w:b/>
                <w:bCs/>
                <w:kern w:val="0"/>
                <w:sz w:val="4"/>
                <w:szCs w:val="8"/>
                <w14:ligatures w14:val="none"/>
              </w:rPr>
              <w:t>r</w:t>
            </w:r>
            <w:r w:rsidRPr="002128A6">
              <w:rPr>
                <w:rFonts w:ascii="Garamond" w:eastAsia="Times New Roman" w:hAnsi="Garamond" w:cs="Times New Roman"/>
                <w:b/>
                <w:bCs/>
                <w:kern w:val="0"/>
                <w:sz w:val="4"/>
                <w:szCs w:val="8"/>
                <w14:ligatures w14:val="none"/>
              </w:rPr>
              <w:t>ente</w:t>
            </w:r>
          </w:p>
        </w:tc>
        <w:tc>
          <w:tcPr>
            <w:tcW w:w="0" w:type="auto"/>
            <w:tcBorders>
              <w:top w:val="nil"/>
              <w:left w:val="nil"/>
              <w:bottom w:val="single" w:sz="4" w:space="0" w:color="auto"/>
              <w:right w:val="single" w:sz="4" w:space="0" w:color="auto"/>
            </w:tcBorders>
            <w:shd w:val="clear" w:color="000000" w:fill="FFFFFF"/>
            <w:vAlign w:val="center"/>
            <w:hideMark/>
          </w:tcPr>
          <w:p w14:paraId="6903E47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5561325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0CD48CB9" w14:textId="58F00DD8"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w:t>
            </w:r>
            <w:r w:rsidR="00B76863" w:rsidRPr="002128A6">
              <w:rPr>
                <w:rFonts w:ascii="Garamond" w:eastAsia="Times New Roman" w:hAnsi="Garamond" w:cs="Times New Roman"/>
                <w:b/>
                <w:bCs/>
                <w:kern w:val="0"/>
                <w:sz w:val="4"/>
                <w:szCs w:val="8"/>
                <w14:ligatures w14:val="none"/>
              </w:rPr>
              <w:t>r</w:t>
            </w:r>
            <w:r w:rsidRPr="002128A6">
              <w:rPr>
                <w:rFonts w:ascii="Garamond" w:eastAsia="Times New Roman" w:hAnsi="Garamond" w:cs="Times New Roman"/>
                <w:b/>
                <w:bCs/>
                <w:kern w:val="0"/>
                <w:sz w:val="4"/>
                <w:szCs w:val="8"/>
                <w14:ligatures w14:val="none"/>
              </w:rPr>
              <w:t>rente</w:t>
            </w:r>
          </w:p>
        </w:tc>
        <w:tc>
          <w:tcPr>
            <w:tcW w:w="0" w:type="auto"/>
            <w:tcBorders>
              <w:top w:val="nil"/>
              <w:left w:val="nil"/>
              <w:bottom w:val="single" w:sz="4" w:space="0" w:color="auto"/>
              <w:right w:val="single" w:sz="4" w:space="0" w:color="auto"/>
            </w:tcBorders>
            <w:shd w:val="clear" w:color="000000" w:fill="FFFFFF"/>
            <w:vAlign w:val="center"/>
            <w:hideMark/>
          </w:tcPr>
          <w:p w14:paraId="51273E4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698CA53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53AB5279" w14:textId="0C4FF701"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w:t>
            </w:r>
            <w:r w:rsidR="00B76863" w:rsidRPr="002128A6">
              <w:rPr>
                <w:rFonts w:ascii="Garamond" w:eastAsia="Times New Roman" w:hAnsi="Garamond" w:cs="Times New Roman"/>
                <w:b/>
                <w:bCs/>
                <w:kern w:val="0"/>
                <w:sz w:val="4"/>
                <w:szCs w:val="8"/>
                <w14:ligatures w14:val="none"/>
              </w:rPr>
              <w:t>r</w:t>
            </w:r>
            <w:r w:rsidRPr="002128A6">
              <w:rPr>
                <w:rFonts w:ascii="Garamond" w:eastAsia="Times New Roman" w:hAnsi="Garamond" w:cs="Times New Roman"/>
                <w:b/>
                <w:bCs/>
                <w:kern w:val="0"/>
                <w:sz w:val="4"/>
                <w:szCs w:val="8"/>
                <w14:ligatures w14:val="none"/>
              </w:rPr>
              <w:t>rente</w:t>
            </w:r>
          </w:p>
        </w:tc>
        <w:tc>
          <w:tcPr>
            <w:tcW w:w="0" w:type="auto"/>
            <w:tcBorders>
              <w:top w:val="nil"/>
              <w:left w:val="nil"/>
              <w:bottom w:val="single" w:sz="4" w:space="0" w:color="auto"/>
              <w:right w:val="single" w:sz="4" w:space="0" w:color="auto"/>
            </w:tcBorders>
            <w:shd w:val="clear" w:color="000000" w:fill="FFFFFF"/>
            <w:vAlign w:val="center"/>
            <w:hideMark/>
          </w:tcPr>
          <w:p w14:paraId="6E87D2D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6BB01E4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5E866F05" w14:textId="5798C69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w:t>
            </w:r>
            <w:r w:rsidR="008A598F" w:rsidRPr="002128A6">
              <w:rPr>
                <w:rFonts w:ascii="Garamond" w:eastAsia="Times New Roman" w:hAnsi="Garamond" w:cs="Times New Roman"/>
                <w:b/>
                <w:bCs/>
                <w:kern w:val="0"/>
                <w:sz w:val="4"/>
                <w:szCs w:val="8"/>
                <w14:ligatures w14:val="none"/>
              </w:rPr>
              <w:t>r</w:t>
            </w:r>
            <w:r w:rsidRPr="002128A6">
              <w:rPr>
                <w:rFonts w:ascii="Garamond" w:eastAsia="Times New Roman" w:hAnsi="Garamond" w:cs="Times New Roman"/>
                <w:b/>
                <w:bCs/>
                <w:kern w:val="0"/>
                <w:sz w:val="4"/>
                <w:szCs w:val="8"/>
                <w14:ligatures w14:val="none"/>
              </w:rPr>
              <w:t>ente</w:t>
            </w:r>
          </w:p>
        </w:tc>
        <w:tc>
          <w:tcPr>
            <w:tcW w:w="0" w:type="auto"/>
            <w:tcBorders>
              <w:top w:val="nil"/>
              <w:left w:val="nil"/>
              <w:bottom w:val="single" w:sz="4" w:space="0" w:color="auto"/>
              <w:right w:val="single" w:sz="4" w:space="0" w:color="auto"/>
            </w:tcBorders>
            <w:shd w:val="clear" w:color="000000" w:fill="FFFFFF"/>
            <w:vAlign w:val="center"/>
            <w:hideMark/>
          </w:tcPr>
          <w:p w14:paraId="665DFBF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3E97205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46BFC67A" w14:textId="57A44167"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462E043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6E65BB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4FC8BD73" w14:textId="3DCA99BF"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6318C44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nil"/>
            </w:tcBorders>
            <w:shd w:val="clear" w:color="000000" w:fill="FFFFFF"/>
            <w:vAlign w:val="center"/>
            <w:hideMark/>
          </w:tcPr>
          <w:p w14:paraId="482FFB3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3C64C9E" w14:textId="333224E7"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1976341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66B96F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BSH</w:t>
            </w:r>
          </w:p>
        </w:tc>
        <w:tc>
          <w:tcPr>
            <w:tcW w:w="0" w:type="auto"/>
            <w:tcBorders>
              <w:top w:val="nil"/>
              <w:left w:val="nil"/>
              <w:bottom w:val="single" w:sz="4" w:space="0" w:color="auto"/>
              <w:right w:val="single" w:sz="4" w:space="0" w:color="auto"/>
            </w:tcBorders>
            <w:shd w:val="clear" w:color="000000" w:fill="FFFFFF"/>
            <w:vAlign w:val="center"/>
            <w:hideMark/>
          </w:tcPr>
          <w:p w14:paraId="7300522A" w14:textId="19636A65"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6E5D116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0371E89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BSH</w:t>
            </w:r>
          </w:p>
        </w:tc>
        <w:tc>
          <w:tcPr>
            <w:tcW w:w="0" w:type="auto"/>
            <w:tcBorders>
              <w:top w:val="nil"/>
              <w:left w:val="nil"/>
              <w:bottom w:val="single" w:sz="4" w:space="0" w:color="auto"/>
              <w:right w:val="single" w:sz="4" w:space="0" w:color="auto"/>
            </w:tcBorders>
            <w:shd w:val="clear" w:color="000000" w:fill="FFFFFF"/>
            <w:vAlign w:val="center"/>
            <w:hideMark/>
          </w:tcPr>
          <w:p w14:paraId="43F50E5F" w14:textId="0049FB0A"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2B3535B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335A9A3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Emri donatorit/Titullin e projektit </w:t>
            </w:r>
          </w:p>
        </w:tc>
        <w:tc>
          <w:tcPr>
            <w:tcW w:w="0" w:type="auto"/>
            <w:tcBorders>
              <w:top w:val="nil"/>
              <w:left w:val="nil"/>
              <w:bottom w:val="single" w:sz="4" w:space="0" w:color="auto"/>
              <w:right w:val="single" w:sz="4" w:space="0" w:color="auto"/>
            </w:tcBorders>
            <w:shd w:val="clear" w:color="000000" w:fill="FFFFFF"/>
            <w:vAlign w:val="center"/>
            <w:hideMark/>
          </w:tcPr>
          <w:p w14:paraId="35DA85D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Financim i Huaj</w:t>
            </w:r>
          </w:p>
        </w:tc>
        <w:tc>
          <w:tcPr>
            <w:tcW w:w="0" w:type="auto"/>
            <w:vMerge/>
            <w:tcBorders>
              <w:top w:val="nil"/>
              <w:left w:val="single" w:sz="4" w:space="0" w:color="auto"/>
              <w:bottom w:val="single" w:sz="4" w:space="0" w:color="000000"/>
              <w:right w:val="single" w:sz="8" w:space="0" w:color="auto"/>
            </w:tcBorders>
            <w:vAlign w:val="center"/>
            <w:hideMark/>
          </w:tcPr>
          <w:p w14:paraId="1B4E92B5"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r>
      <w:tr w:rsidR="00F54824" w:rsidRPr="002128A6" w14:paraId="5F8D442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73F1505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w:t>
            </w:r>
          </w:p>
        </w:tc>
        <w:tc>
          <w:tcPr>
            <w:tcW w:w="0" w:type="auto"/>
            <w:tcBorders>
              <w:top w:val="nil"/>
              <w:left w:val="nil"/>
              <w:bottom w:val="single" w:sz="4" w:space="0" w:color="auto"/>
              <w:right w:val="nil"/>
            </w:tcBorders>
            <w:shd w:val="clear" w:color="000000" w:fill="FCE4D6"/>
            <w:vAlign w:val="center"/>
            <w:hideMark/>
          </w:tcPr>
          <w:p w14:paraId="0BA4062E"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Rritja e qëndrueshmërisë publike dhe institucionale ndaj krimit të organizuar përmes përmirësimit të ndërgjegjësimit, njohurive dhe angazhimit proaktiv</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8DCDD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11E23E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C54C96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BBF8F3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EE63B8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18657F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9E9D2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A3F8F6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36CC83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F48E9F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B44DE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C07AE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DC9E81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5D93FE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A7545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FF17B2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E0DBC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003F76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336D98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A44B35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8A1D90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40F4D5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A15CE4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196656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1BE3AA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9DCDEA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956792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57351E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41A82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809A80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580AD2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47F6E03"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7AC2F7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3A517C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r>
      <w:tr w:rsidR="00F54824" w:rsidRPr="002128A6" w14:paraId="42C75DA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5C49F91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1.1.1</w:t>
            </w:r>
          </w:p>
        </w:tc>
        <w:tc>
          <w:tcPr>
            <w:tcW w:w="0" w:type="auto"/>
            <w:tcBorders>
              <w:top w:val="nil"/>
              <w:left w:val="nil"/>
              <w:bottom w:val="single" w:sz="4" w:space="0" w:color="auto"/>
              <w:right w:val="single" w:sz="4" w:space="0" w:color="auto"/>
            </w:tcBorders>
            <w:shd w:val="clear" w:color="FEF3C7" w:fill="FFFFFF"/>
            <w:vAlign w:val="center"/>
            <w:hideMark/>
          </w:tcPr>
          <w:p w14:paraId="1CE4BFA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Përgatitja dhe zbatimi i fushatave të ndërgjegjësimit në nivel kombëtar, të përshtatura sipas nevojave vendore dhe nevojave dhe grupeve të synuara, përfshirë institucionet e arsimit (parauniversitar), duke u fokusuar te rreziqet, pasojat dhe parandalimi i përfshirjes në aktivitete kriminale, përfshirë përmbajtjen e përgjegjshme ndaj gjinisë, të bazuar në evidencë dhe në analizë gjinore.</w:t>
            </w:r>
          </w:p>
        </w:tc>
        <w:tc>
          <w:tcPr>
            <w:tcW w:w="0" w:type="auto"/>
            <w:tcBorders>
              <w:top w:val="nil"/>
              <w:left w:val="nil"/>
              <w:bottom w:val="single" w:sz="4" w:space="0" w:color="auto"/>
              <w:right w:val="single" w:sz="4" w:space="0" w:color="auto"/>
            </w:tcBorders>
            <w:shd w:val="clear" w:color="000000" w:fill="FFFFFF"/>
            <w:vAlign w:val="center"/>
            <w:hideMark/>
          </w:tcPr>
          <w:p w14:paraId="0E99C955" w14:textId="471BEDFD"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CCD7C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323E48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Arsimit/Agjensia Kombëtare e Arsimit të Pavarur; Prefekti i Qarkut; EU4LEA; EUDA; OJF </w:t>
            </w:r>
          </w:p>
        </w:tc>
        <w:tc>
          <w:tcPr>
            <w:tcW w:w="0" w:type="auto"/>
            <w:tcBorders>
              <w:top w:val="nil"/>
              <w:left w:val="nil"/>
              <w:bottom w:val="single" w:sz="4" w:space="0" w:color="auto"/>
              <w:right w:val="single" w:sz="4" w:space="0" w:color="auto"/>
            </w:tcBorders>
            <w:shd w:val="clear" w:color="000000" w:fill="FFFFFF"/>
            <w:vAlign w:val="center"/>
            <w:hideMark/>
          </w:tcPr>
          <w:p w14:paraId="1A76A74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4FC42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C9DB3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78F2D3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B43D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1BB3FC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62D94D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9210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0F8513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7F4449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D0ED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5F29D8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636998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0656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3F396F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198272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C7EA5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2,172,345</w:t>
            </w:r>
          </w:p>
        </w:tc>
        <w:tc>
          <w:tcPr>
            <w:tcW w:w="0" w:type="auto"/>
            <w:tcBorders>
              <w:top w:val="nil"/>
              <w:left w:val="nil"/>
              <w:bottom w:val="single" w:sz="4" w:space="0" w:color="auto"/>
              <w:right w:val="single" w:sz="4" w:space="0" w:color="auto"/>
            </w:tcBorders>
            <w:shd w:val="clear" w:color="000000" w:fill="FFFFFF"/>
            <w:vAlign w:val="center"/>
            <w:hideMark/>
          </w:tcPr>
          <w:p w14:paraId="619509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10,861,725</w:t>
            </w:r>
          </w:p>
        </w:tc>
        <w:tc>
          <w:tcPr>
            <w:tcW w:w="0" w:type="auto"/>
            <w:tcBorders>
              <w:top w:val="nil"/>
              <w:left w:val="nil"/>
              <w:bottom w:val="single" w:sz="4" w:space="0" w:color="auto"/>
              <w:right w:val="single" w:sz="4" w:space="0" w:color="auto"/>
            </w:tcBorders>
            <w:shd w:val="clear" w:color="000000" w:fill="FFFFFF"/>
            <w:vAlign w:val="center"/>
            <w:hideMark/>
          </w:tcPr>
          <w:p w14:paraId="2D9FD0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71010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10,861,725</w:t>
            </w:r>
          </w:p>
        </w:tc>
        <w:tc>
          <w:tcPr>
            <w:tcW w:w="0" w:type="auto"/>
            <w:tcBorders>
              <w:top w:val="nil"/>
              <w:left w:val="nil"/>
              <w:bottom w:val="single" w:sz="4" w:space="0" w:color="auto"/>
              <w:right w:val="single" w:sz="4" w:space="0" w:color="auto"/>
            </w:tcBorders>
            <w:shd w:val="clear" w:color="000000" w:fill="FFFFFF"/>
            <w:noWrap/>
            <w:vAlign w:val="center"/>
            <w:hideMark/>
          </w:tcPr>
          <w:p w14:paraId="6E57E9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6,517,035</w:t>
            </w:r>
          </w:p>
        </w:tc>
        <w:tc>
          <w:tcPr>
            <w:tcW w:w="0" w:type="auto"/>
            <w:tcBorders>
              <w:top w:val="nil"/>
              <w:left w:val="nil"/>
              <w:bottom w:val="single" w:sz="4" w:space="0" w:color="auto"/>
              <w:right w:val="single" w:sz="4" w:space="0" w:color="auto"/>
            </w:tcBorders>
            <w:shd w:val="clear" w:color="000000" w:fill="FFFFFF"/>
            <w:noWrap/>
            <w:vAlign w:val="center"/>
            <w:hideMark/>
          </w:tcPr>
          <w:p w14:paraId="3DB641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F037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6,517,035</w:t>
            </w:r>
          </w:p>
        </w:tc>
        <w:tc>
          <w:tcPr>
            <w:tcW w:w="0" w:type="auto"/>
            <w:tcBorders>
              <w:top w:val="nil"/>
              <w:left w:val="nil"/>
              <w:bottom w:val="single" w:sz="4" w:space="0" w:color="auto"/>
              <w:right w:val="single" w:sz="4" w:space="0" w:color="auto"/>
            </w:tcBorders>
            <w:shd w:val="clear" w:color="000000" w:fill="FFFFFF"/>
            <w:noWrap/>
            <w:vAlign w:val="center"/>
            <w:hideMark/>
          </w:tcPr>
          <w:p w14:paraId="018F86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4,344,690</w:t>
            </w:r>
          </w:p>
        </w:tc>
        <w:tc>
          <w:tcPr>
            <w:tcW w:w="0" w:type="auto"/>
            <w:tcBorders>
              <w:top w:val="nil"/>
              <w:left w:val="nil"/>
              <w:bottom w:val="single" w:sz="4" w:space="0" w:color="auto"/>
              <w:right w:val="single" w:sz="4" w:space="0" w:color="auto"/>
            </w:tcBorders>
            <w:shd w:val="clear" w:color="000000" w:fill="FFFFFF"/>
            <w:noWrap/>
            <w:vAlign w:val="center"/>
            <w:hideMark/>
          </w:tcPr>
          <w:p w14:paraId="7A1BF6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CF00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4,344,690</w:t>
            </w:r>
          </w:p>
        </w:tc>
        <w:tc>
          <w:tcPr>
            <w:tcW w:w="0" w:type="auto"/>
            <w:tcBorders>
              <w:top w:val="nil"/>
              <w:left w:val="nil"/>
              <w:bottom w:val="single" w:sz="4" w:space="0" w:color="auto"/>
              <w:right w:val="single" w:sz="4" w:space="0" w:color="auto"/>
            </w:tcBorders>
            <w:shd w:val="clear" w:color="000000" w:fill="FFFFFF"/>
            <w:vAlign w:val="center"/>
            <w:hideMark/>
          </w:tcPr>
          <w:p w14:paraId="2959D6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68F43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2E01A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D02A8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A073D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BCECBC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43A57EF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1.1.2</w:t>
            </w:r>
          </w:p>
        </w:tc>
        <w:tc>
          <w:tcPr>
            <w:tcW w:w="0" w:type="auto"/>
            <w:tcBorders>
              <w:top w:val="nil"/>
              <w:left w:val="nil"/>
              <w:bottom w:val="single" w:sz="4" w:space="0" w:color="auto"/>
              <w:right w:val="single" w:sz="4" w:space="0" w:color="auto"/>
            </w:tcBorders>
            <w:shd w:val="clear" w:color="FEF3C7" w:fill="FFFFFF"/>
            <w:hideMark/>
          </w:tcPr>
          <w:p w14:paraId="3F046C1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Organizimi i leksioneve dhe seminareve të hapura në institucionet publike dhe private të arsimit të lartë në lidhje me rastet, tendencat dhe format e shfaqjes së krimit të organizuar, me qëllim informimin dhe angazhimin në proceset e konsultimit të politikave në këtë fushë. </w:t>
            </w:r>
          </w:p>
        </w:tc>
        <w:tc>
          <w:tcPr>
            <w:tcW w:w="0" w:type="auto"/>
            <w:tcBorders>
              <w:top w:val="nil"/>
              <w:left w:val="nil"/>
              <w:bottom w:val="single" w:sz="4" w:space="0" w:color="auto"/>
              <w:right w:val="single" w:sz="4" w:space="0" w:color="auto"/>
            </w:tcBorders>
            <w:shd w:val="clear" w:color="000000" w:fill="FFFFFF"/>
            <w:vAlign w:val="center"/>
            <w:hideMark/>
          </w:tcPr>
          <w:p w14:paraId="27B4C9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91604AA</w:t>
            </w:r>
          </w:p>
        </w:tc>
        <w:tc>
          <w:tcPr>
            <w:tcW w:w="0" w:type="auto"/>
            <w:tcBorders>
              <w:top w:val="nil"/>
              <w:left w:val="nil"/>
              <w:bottom w:val="single" w:sz="4" w:space="0" w:color="auto"/>
              <w:right w:val="single" w:sz="4" w:space="0" w:color="auto"/>
            </w:tcBorders>
            <w:shd w:val="clear" w:color="000000" w:fill="FFFFFF"/>
            <w:vAlign w:val="center"/>
            <w:hideMark/>
          </w:tcPr>
          <w:p w14:paraId="5D9FAD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51CCA7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IAL; EU4LEA; EUDA; OJF </w:t>
            </w:r>
          </w:p>
        </w:tc>
        <w:tc>
          <w:tcPr>
            <w:tcW w:w="0" w:type="auto"/>
            <w:tcBorders>
              <w:top w:val="nil"/>
              <w:left w:val="nil"/>
              <w:bottom w:val="single" w:sz="4" w:space="0" w:color="auto"/>
              <w:right w:val="single" w:sz="4" w:space="0" w:color="auto"/>
            </w:tcBorders>
            <w:shd w:val="clear" w:color="000000" w:fill="FFFFFF"/>
            <w:vAlign w:val="center"/>
            <w:hideMark/>
          </w:tcPr>
          <w:p w14:paraId="333F09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46934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30C2F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257BCB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93290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43EBD3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4910AF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01D1E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182E97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4E7ED1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4441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3F9862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53FE8B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729E6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4D6EBA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2BE985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AE87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1,903,556</w:t>
            </w:r>
          </w:p>
        </w:tc>
        <w:tc>
          <w:tcPr>
            <w:tcW w:w="0" w:type="auto"/>
            <w:tcBorders>
              <w:top w:val="nil"/>
              <w:left w:val="nil"/>
              <w:bottom w:val="single" w:sz="4" w:space="0" w:color="auto"/>
              <w:right w:val="single" w:sz="4" w:space="0" w:color="auto"/>
            </w:tcBorders>
            <w:shd w:val="clear" w:color="000000" w:fill="FFFFFF"/>
            <w:vAlign w:val="center"/>
            <w:hideMark/>
          </w:tcPr>
          <w:p w14:paraId="1A9981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9,517,780</w:t>
            </w:r>
          </w:p>
        </w:tc>
        <w:tc>
          <w:tcPr>
            <w:tcW w:w="0" w:type="auto"/>
            <w:tcBorders>
              <w:top w:val="nil"/>
              <w:left w:val="nil"/>
              <w:bottom w:val="single" w:sz="4" w:space="0" w:color="auto"/>
              <w:right w:val="single" w:sz="4" w:space="0" w:color="auto"/>
            </w:tcBorders>
            <w:shd w:val="clear" w:color="000000" w:fill="FFFFFF"/>
            <w:vAlign w:val="center"/>
            <w:hideMark/>
          </w:tcPr>
          <w:p w14:paraId="0E09D5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A48E7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9,517,780</w:t>
            </w:r>
          </w:p>
        </w:tc>
        <w:tc>
          <w:tcPr>
            <w:tcW w:w="0" w:type="auto"/>
            <w:tcBorders>
              <w:top w:val="nil"/>
              <w:left w:val="nil"/>
              <w:bottom w:val="single" w:sz="4" w:space="0" w:color="auto"/>
              <w:right w:val="single" w:sz="4" w:space="0" w:color="auto"/>
            </w:tcBorders>
            <w:shd w:val="clear" w:color="000000" w:fill="FFFFFF"/>
            <w:noWrap/>
            <w:vAlign w:val="center"/>
            <w:hideMark/>
          </w:tcPr>
          <w:p w14:paraId="49F754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5,710,668</w:t>
            </w:r>
          </w:p>
        </w:tc>
        <w:tc>
          <w:tcPr>
            <w:tcW w:w="0" w:type="auto"/>
            <w:tcBorders>
              <w:top w:val="nil"/>
              <w:left w:val="nil"/>
              <w:bottom w:val="single" w:sz="4" w:space="0" w:color="auto"/>
              <w:right w:val="single" w:sz="4" w:space="0" w:color="auto"/>
            </w:tcBorders>
            <w:shd w:val="clear" w:color="000000" w:fill="FFFFFF"/>
            <w:noWrap/>
            <w:vAlign w:val="center"/>
            <w:hideMark/>
          </w:tcPr>
          <w:p w14:paraId="3074A2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59A82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5,710,668</w:t>
            </w:r>
          </w:p>
        </w:tc>
        <w:tc>
          <w:tcPr>
            <w:tcW w:w="0" w:type="auto"/>
            <w:tcBorders>
              <w:top w:val="nil"/>
              <w:left w:val="nil"/>
              <w:bottom w:val="single" w:sz="4" w:space="0" w:color="auto"/>
              <w:right w:val="single" w:sz="4" w:space="0" w:color="auto"/>
            </w:tcBorders>
            <w:shd w:val="clear" w:color="000000" w:fill="FFFFFF"/>
            <w:noWrap/>
            <w:vAlign w:val="center"/>
            <w:hideMark/>
          </w:tcPr>
          <w:p w14:paraId="13973C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3,807,112</w:t>
            </w:r>
          </w:p>
        </w:tc>
        <w:tc>
          <w:tcPr>
            <w:tcW w:w="0" w:type="auto"/>
            <w:tcBorders>
              <w:top w:val="nil"/>
              <w:left w:val="nil"/>
              <w:bottom w:val="single" w:sz="4" w:space="0" w:color="auto"/>
              <w:right w:val="single" w:sz="4" w:space="0" w:color="auto"/>
            </w:tcBorders>
            <w:shd w:val="clear" w:color="000000" w:fill="FFFFFF"/>
            <w:noWrap/>
            <w:vAlign w:val="center"/>
            <w:hideMark/>
          </w:tcPr>
          <w:p w14:paraId="2BFB7C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EB48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3,807,112</w:t>
            </w:r>
          </w:p>
        </w:tc>
        <w:tc>
          <w:tcPr>
            <w:tcW w:w="0" w:type="auto"/>
            <w:tcBorders>
              <w:top w:val="nil"/>
              <w:left w:val="nil"/>
              <w:bottom w:val="single" w:sz="4" w:space="0" w:color="auto"/>
              <w:right w:val="single" w:sz="4" w:space="0" w:color="auto"/>
            </w:tcBorders>
            <w:shd w:val="clear" w:color="000000" w:fill="FFFFFF"/>
            <w:vAlign w:val="center"/>
            <w:hideMark/>
          </w:tcPr>
          <w:p w14:paraId="025C4F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A5F0A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B1F89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3DF9B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44B67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90DBF5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738D6E5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1.1.3</w:t>
            </w:r>
          </w:p>
        </w:tc>
        <w:tc>
          <w:tcPr>
            <w:tcW w:w="0" w:type="auto"/>
            <w:tcBorders>
              <w:top w:val="nil"/>
              <w:left w:val="nil"/>
              <w:bottom w:val="single" w:sz="4" w:space="0" w:color="auto"/>
              <w:right w:val="single" w:sz="4" w:space="0" w:color="auto"/>
            </w:tcBorders>
            <w:shd w:val="clear" w:color="F1F5F9" w:fill="FFFFFF"/>
            <w:vAlign w:val="center"/>
            <w:hideMark/>
          </w:tcPr>
          <w:p w14:paraId="13CDE36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Prodhimi dhe shpërndarja e përmbajtjeve multimediale ndërgjegjësuese mbi rreziqet dhe pasojat e krimit të organizuar, si dhe promovimi i modeleve pozitive të përshtatur për rininë dhe grupet e cenueshme, përfshirë mesazhe të ndjeshme ndaj gjinisë.</w:t>
            </w:r>
          </w:p>
        </w:tc>
        <w:tc>
          <w:tcPr>
            <w:tcW w:w="0" w:type="auto"/>
            <w:tcBorders>
              <w:top w:val="nil"/>
              <w:left w:val="nil"/>
              <w:bottom w:val="single" w:sz="4" w:space="0" w:color="auto"/>
              <w:right w:val="single" w:sz="4" w:space="0" w:color="auto"/>
            </w:tcBorders>
            <w:shd w:val="clear" w:color="000000" w:fill="FFFFFF"/>
            <w:vAlign w:val="center"/>
            <w:hideMark/>
          </w:tcPr>
          <w:p w14:paraId="5C98E4DE" w14:textId="2240FCB8" w:rsidR="00DB1B67" w:rsidRPr="002128A6" w:rsidRDefault="00F54824"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w:t>
            </w:r>
            <w:r w:rsidR="00DB1B67"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7090F0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03601A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OJF</w:t>
            </w:r>
          </w:p>
        </w:tc>
        <w:tc>
          <w:tcPr>
            <w:tcW w:w="0" w:type="auto"/>
            <w:tcBorders>
              <w:top w:val="nil"/>
              <w:left w:val="nil"/>
              <w:bottom w:val="single" w:sz="4" w:space="0" w:color="auto"/>
              <w:right w:val="single" w:sz="4" w:space="0" w:color="auto"/>
            </w:tcBorders>
            <w:shd w:val="clear" w:color="000000" w:fill="FFFFFF"/>
            <w:vAlign w:val="center"/>
            <w:hideMark/>
          </w:tcPr>
          <w:p w14:paraId="18F23B4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FD86A0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C6895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634CFA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3859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5BC850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2ED075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E2776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1B0737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7EF1AC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7ADF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3CCF1D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70B164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06E9A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0E227B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5BDA5D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34E7A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1,116,104</w:t>
            </w:r>
          </w:p>
        </w:tc>
        <w:tc>
          <w:tcPr>
            <w:tcW w:w="0" w:type="auto"/>
            <w:tcBorders>
              <w:top w:val="nil"/>
              <w:left w:val="nil"/>
              <w:bottom w:val="single" w:sz="4" w:space="0" w:color="auto"/>
              <w:right w:val="single" w:sz="4" w:space="0" w:color="auto"/>
            </w:tcBorders>
            <w:shd w:val="clear" w:color="000000" w:fill="FFFFFF"/>
            <w:vAlign w:val="center"/>
            <w:hideMark/>
          </w:tcPr>
          <w:p w14:paraId="54C76D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5,580,520</w:t>
            </w:r>
          </w:p>
        </w:tc>
        <w:tc>
          <w:tcPr>
            <w:tcW w:w="0" w:type="auto"/>
            <w:tcBorders>
              <w:top w:val="nil"/>
              <w:left w:val="nil"/>
              <w:bottom w:val="single" w:sz="4" w:space="0" w:color="auto"/>
              <w:right w:val="single" w:sz="4" w:space="0" w:color="auto"/>
            </w:tcBorders>
            <w:shd w:val="clear" w:color="000000" w:fill="FFFFFF"/>
            <w:vAlign w:val="center"/>
            <w:hideMark/>
          </w:tcPr>
          <w:p w14:paraId="01C603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784D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5,580,520</w:t>
            </w:r>
          </w:p>
        </w:tc>
        <w:tc>
          <w:tcPr>
            <w:tcW w:w="0" w:type="auto"/>
            <w:tcBorders>
              <w:top w:val="nil"/>
              <w:left w:val="nil"/>
              <w:bottom w:val="single" w:sz="4" w:space="0" w:color="auto"/>
              <w:right w:val="single" w:sz="4" w:space="0" w:color="auto"/>
            </w:tcBorders>
            <w:shd w:val="clear" w:color="000000" w:fill="FFFFFF"/>
            <w:noWrap/>
            <w:vAlign w:val="center"/>
            <w:hideMark/>
          </w:tcPr>
          <w:p w14:paraId="365436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3,348,312</w:t>
            </w:r>
          </w:p>
        </w:tc>
        <w:tc>
          <w:tcPr>
            <w:tcW w:w="0" w:type="auto"/>
            <w:tcBorders>
              <w:top w:val="nil"/>
              <w:left w:val="nil"/>
              <w:bottom w:val="single" w:sz="4" w:space="0" w:color="auto"/>
              <w:right w:val="single" w:sz="4" w:space="0" w:color="auto"/>
            </w:tcBorders>
            <w:shd w:val="clear" w:color="000000" w:fill="FFFFFF"/>
            <w:noWrap/>
            <w:vAlign w:val="center"/>
            <w:hideMark/>
          </w:tcPr>
          <w:p w14:paraId="57BAE2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83BB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3,348,312</w:t>
            </w:r>
          </w:p>
        </w:tc>
        <w:tc>
          <w:tcPr>
            <w:tcW w:w="0" w:type="auto"/>
            <w:tcBorders>
              <w:top w:val="nil"/>
              <w:left w:val="nil"/>
              <w:bottom w:val="single" w:sz="4" w:space="0" w:color="auto"/>
              <w:right w:val="single" w:sz="4" w:space="0" w:color="auto"/>
            </w:tcBorders>
            <w:shd w:val="clear" w:color="000000" w:fill="FFFFFF"/>
            <w:noWrap/>
            <w:vAlign w:val="center"/>
            <w:hideMark/>
          </w:tcPr>
          <w:p w14:paraId="53CA7C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2,232,208</w:t>
            </w:r>
          </w:p>
        </w:tc>
        <w:tc>
          <w:tcPr>
            <w:tcW w:w="0" w:type="auto"/>
            <w:tcBorders>
              <w:top w:val="nil"/>
              <w:left w:val="nil"/>
              <w:bottom w:val="single" w:sz="4" w:space="0" w:color="auto"/>
              <w:right w:val="single" w:sz="4" w:space="0" w:color="auto"/>
            </w:tcBorders>
            <w:shd w:val="clear" w:color="000000" w:fill="FFFFFF"/>
            <w:noWrap/>
            <w:vAlign w:val="center"/>
            <w:hideMark/>
          </w:tcPr>
          <w:p w14:paraId="1A1440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5F9A0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2,232,208</w:t>
            </w:r>
          </w:p>
        </w:tc>
        <w:tc>
          <w:tcPr>
            <w:tcW w:w="0" w:type="auto"/>
            <w:tcBorders>
              <w:top w:val="nil"/>
              <w:left w:val="nil"/>
              <w:bottom w:val="single" w:sz="4" w:space="0" w:color="auto"/>
              <w:right w:val="single" w:sz="4" w:space="0" w:color="auto"/>
            </w:tcBorders>
            <w:shd w:val="clear" w:color="000000" w:fill="FFFFFF"/>
            <w:vAlign w:val="center"/>
            <w:hideMark/>
          </w:tcPr>
          <w:p w14:paraId="24969E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4AE2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0DB42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6A0BE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FB620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ED480F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64ECAE6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1.1.4</w:t>
            </w:r>
          </w:p>
        </w:tc>
        <w:tc>
          <w:tcPr>
            <w:tcW w:w="0" w:type="auto"/>
            <w:tcBorders>
              <w:top w:val="nil"/>
              <w:left w:val="nil"/>
              <w:bottom w:val="single" w:sz="4" w:space="0" w:color="auto"/>
              <w:right w:val="single" w:sz="4" w:space="0" w:color="auto"/>
            </w:tcBorders>
            <w:shd w:val="clear" w:color="F1F5F9" w:fill="FFFFFF"/>
            <w:vAlign w:val="center"/>
            <w:hideMark/>
          </w:tcPr>
          <w:p w14:paraId="66EC1EB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Botimi i praktikave më të mira, manualeve dhe studimeve të përbashkëta mbi krimin financiar, korrupsionin dhe efektet e tyre negative në shoqëri.</w:t>
            </w:r>
          </w:p>
        </w:tc>
        <w:tc>
          <w:tcPr>
            <w:tcW w:w="0" w:type="auto"/>
            <w:tcBorders>
              <w:top w:val="nil"/>
              <w:left w:val="nil"/>
              <w:bottom w:val="single" w:sz="4" w:space="0" w:color="auto"/>
              <w:right w:val="single" w:sz="4" w:space="0" w:color="auto"/>
            </w:tcBorders>
            <w:shd w:val="clear" w:color="000000" w:fill="FFFFFF"/>
            <w:vAlign w:val="center"/>
            <w:hideMark/>
          </w:tcPr>
          <w:p w14:paraId="0B62C5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91604AM</w:t>
            </w:r>
          </w:p>
        </w:tc>
        <w:tc>
          <w:tcPr>
            <w:tcW w:w="0" w:type="auto"/>
            <w:tcBorders>
              <w:top w:val="nil"/>
              <w:left w:val="nil"/>
              <w:bottom w:val="single" w:sz="4" w:space="0" w:color="auto"/>
              <w:right w:val="single" w:sz="4" w:space="0" w:color="auto"/>
            </w:tcBorders>
            <w:shd w:val="clear" w:color="000000" w:fill="FFFFFF"/>
            <w:vAlign w:val="center"/>
            <w:hideMark/>
          </w:tcPr>
          <w:p w14:paraId="673D69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Shtetit/Akademia e Sigurisë</w:t>
            </w:r>
          </w:p>
        </w:tc>
        <w:tc>
          <w:tcPr>
            <w:tcW w:w="0" w:type="auto"/>
            <w:tcBorders>
              <w:top w:val="nil"/>
              <w:left w:val="nil"/>
              <w:bottom w:val="single" w:sz="4" w:space="0" w:color="auto"/>
              <w:right w:val="single" w:sz="4" w:space="0" w:color="auto"/>
            </w:tcBorders>
            <w:shd w:val="clear" w:color="000000" w:fill="FFFFFF"/>
            <w:vAlign w:val="center"/>
            <w:hideMark/>
          </w:tcPr>
          <w:p w14:paraId="39F2F7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90902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9BD660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1FF5E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1CD468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ADAE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71145B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3509FF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BADF1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3B07B0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310991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7175F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36A4A0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649FC1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D49E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7AD159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4C7214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8C7E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11,129,536</w:t>
            </w:r>
          </w:p>
        </w:tc>
        <w:tc>
          <w:tcPr>
            <w:tcW w:w="0" w:type="auto"/>
            <w:tcBorders>
              <w:top w:val="nil"/>
              <w:left w:val="nil"/>
              <w:bottom w:val="single" w:sz="4" w:space="0" w:color="auto"/>
              <w:right w:val="single" w:sz="4" w:space="0" w:color="auto"/>
            </w:tcBorders>
            <w:shd w:val="clear" w:color="000000" w:fill="FFFFFF"/>
            <w:vAlign w:val="center"/>
            <w:hideMark/>
          </w:tcPr>
          <w:p w14:paraId="5BCEB3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55,647,680</w:t>
            </w:r>
          </w:p>
        </w:tc>
        <w:tc>
          <w:tcPr>
            <w:tcW w:w="0" w:type="auto"/>
            <w:tcBorders>
              <w:top w:val="nil"/>
              <w:left w:val="nil"/>
              <w:bottom w:val="single" w:sz="4" w:space="0" w:color="auto"/>
              <w:right w:val="single" w:sz="4" w:space="0" w:color="auto"/>
            </w:tcBorders>
            <w:shd w:val="clear" w:color="000000" w:fill="FFFFFF"/>
            <w:vAlign w:val="center"/>
            <w:hideMark/>
          </w:tcPr>
          <w:p w14:paraId="23D522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2A7F6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55,647,680</w:t>
            </w:r>
          </w:p>
        </w:tc>
        <w:tc>
          <w:tcPr>
            <w:tcW w:w="0" w:type="auto"/>
            <w:tcBorders>
              <w:top w:val="nil"/>
              <w:left w:val="nil"/>
              <w:bottom w:val="single" w:sz="4" w:space="0" w:color="auto"/>
              <w:right w:val="single" w:sz="4" w:space="0" w:color="auto"/>
            </w:tcBorders>
            <w:shd w:val="clear" w:color="000000" w:fill="FFFFFF"/>
            <w:noWrap/>
            <w:vAlign w:val="center"/>
            <w:hideMark/>
          </w:tcPr>
          <w:p w14:paraId="40A06B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33,388,608</w:t>
            </w:r>
          </w:p>
        </w:tc>
        <w:tc>
          <w:tcPr>
            <w:tcW w:w="0" w:type="auto"/>
            <w:tcBorders>
              <w:top w:val="nil"/>
              <w:left w:val="nil"/>
              <w:bottom w:val="single" w:sz="4" w:space="0" w:color="auto"/>
              <w:right w:val="single" w:sz="4" w:space="0" w:color="auto"/>
            </w:tcBorders>
            <w:shd w:val="clear" w:color="000000" w:fill="FFFFFF"/>
            <w:noWrap/>
            <w:vAlign w:val="center"/>
            <w:hideMark/>
          </w:tcPr>
          <w:p w14:paraId="6559EE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1D42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33,388,608</w:t>
            </w:r>
          </w:p>
        </w:tc>
        <w:tc>
          <w:tcPr>
            <w:tcW w:w="0" w:type="auto"/>
            <w:tcBorders>
              <w:top w:val="nil"/>
              <w:left w:val="nil"/>
              <w:bottom w:val="single" w:sz="4" w:space="0" w:color="auto"/>
              <w:right w:val="single" w:sz="4" w:space="0" w:color="auto"/>
            </w:tcBorders>
            <w:shd w:val="clear" w:color="000000" w:fill="FFFFFF"/>
            <w:noWrap/>
            <w:vAlign w:val="center"/>
            <w:hideMark/>
          </w:tcPr>
          <w:p w14:paraId="6B8C7C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22,259,072</w:t>
            </w:r>
          </w:p>
        </w:tc>
        <w:tc>
          <w:tcPr>
            <w:tcW w:w="0" w:type="auto"/>
            <w:tcBorders>
              <w:top w:val="nil"/>
              <w:left w:val="nil"/>
              <w:bottom w:val="single" w:sz="4" w:space="0" w:color="auto"/>
              <w:right w:val="single" w:sz="4" w:space="0" w:color="auto"/>
            </w:tcBorders>
            <w:shd w:val="clear" w:color="000000" w:fill="FFFFFF"/>
            <w:noWrap/>
            <w:vAlign w:val="center"/>
            <w:hideMark/>
          </w:tcPr>
          <w:p w14:paraId="07891C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21C9F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22,259,072</w:t>
            </w:r>
          </w:p>
        </w:tc>
        <w:tc>
          <w:tcPr>
            <w:tcW w:w="0" w:type="auto"/>
            <w:tcBorders>
              <w:top w:val="nil"/>
              <w:left w:val="nil"/>
              <w:bottom w:val="single" w:sz="4" w:space="0" w:color="auto"/>
              <w:right w:val="single" w:sz="4" w:space="0" w:color="auto"/>
            </w:tcBorders>
            <w:shd w:val="clear" w:color="000000" w:fill="FFFFFF"/>
            <w:vAlign w:val="center"/>
            <w:hideMark/>
          </w:tcPr>
          <w:p w14:paraId="0F2DA4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0993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6BC42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04FF5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6950B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1BAB7B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0DE1BB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1.1.5</w:t>
            </w:r>
          </w:p>
        </w:tc>
        <w:tc>
          <w:tcPr>
            <w:tcW w:w="0" w:type="auto"/>
            <w:tcBorders>
              <w:top w:val="nil"/>
              <w:left w:val="nil"/>
              <w:bottom w:val="single" w:sz="4" w:space="0" w:color="auto"/>
              <w:right w:val="single" w:sz="4" w:space="0" w:color="auto"/>
            </w:tcBorders>
            <w:shd w:val="clear" w:color="F1F5F9" w:fill="FFFFFF"/>
            <w:vAlign w:val="center"/>
            <w:hideMark/>
          </w:tcPr>
          <w:p w14:paraId="27DC76C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kapaciteteve të personelit të specializuar përgjegjës në luftën kundër trafikimit të pasurive kulturore, përmes trajnimit dhe shkëmbimit të njohurive.</w:t>
            </w:r>
          </w:p>
        </w:tc>
        <w:tc>
          <w:tcPr>
            <w:tcW w:w="0" w:type="auto"/>
            <w:tcBorders>
              <w:top w:val="nil"/>
              <w:left w:val="nil"/>
              <w:bottom w:val="single" w:sz="4" w:space="0" w:color="auto"/>
              <w:right w:val="single" w:sz="4" w:space="0" w:color="auto"/>
            </w:tcBorders>
            <w:shd w:val="clear" w:color="000000" w:fill="FFFFFF"/>
            <w:vAlign w:val="center"/>
            <w:hideMark/>
          </w:tcPr>
          <w:p w14:paraId="4FC6AF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91202AB</w:t>
            </w:r>
          </w:p>
        </w:tc>
        <w:tc>
          <w:tcPr>
            <w:tcW w:w="0" w:type="auto"/>
            <w:tcBorders>
              <w:top w:val="nil"/>
              <w:left w:val="nil"/>
              <w:bottom w:val="single" w:sz="4" w:space="0" w:color="auto"/>
              <w:right w:val="single" w:sz="4" w:space="0" w:color="auto"/>
            </w:tcBorders>
            <w:shd w:val="clear" w:color="000000" w:fill="FFFFFF"/>
            <w:vAlign w:val="center"/>
            <w:hideMark/>
          </w:tcPr>
          <w:p w14:paraId="143E12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Turizmit, Kulturës dhe Sportit/Instituti Kombëtar I Regjistrimit të Trashëgimisë Kulturore</w:t>
            </w:r>
          </w:p>
        </w:tc>
        <w:tc>
          <w:tcPr>
            <w:tcW w:w="0" w:type="auto"/>
            <w:tcBorders>
              <w:top w:val="nil"/>
              <w:left w:val="nil"/>
              <w:bottom w:val="single" w:sz="4" w:space="0" w:color="auto"/>
              <w:right w:val="single" w:sz="4" w:space="0" w:color="auto"/>
            </w:tcBorders>
            <w:shd w:val="clear" w:color="000000" w:fill="FFFFFF"/>
            <w:vAlign w:val="center"/>
            <w:hideMark/>
          </w:tcPr>
          <w:p w14:paraId="2C493F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123177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A48DD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87838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w:t>
            </w:r>
          </w:p>
        </w:tc>
        <w:tc>
          <w:tcPr>
            <w:tcW w:w="0" w:type="auto"/>
            <w:tcBorders>
              <w:top w:val="nil"/>
              <w:left w:val="nil"/>
              <w:bottom w:val="single" w:sz="4" w:space="0" w:color="auto"/>
              <w:right w:val="single" w:sz="4" w:space="0" w:color="auto"/>
            </w:tcBorders>
            <w:shd w:val="clear" w:color="000000" w:fill="FFFFFF"/>
            <w:vAlign w:val="center"/>
            <w:hideMark/>
          </w:tcPr>
          <w:p w14:paraId="271B81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4F7B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w:t>
            </w:r>
          </w:p>
        </w:tc>
        <w:tc>
          <w:tcPr>
            <w:tcW w:w="0" w:type="auto"/>
            <w:tcBorders>
              <w:top w:val="nil"/>
              <w:left w:val="nil"/>
              <w:bottom w:val="single" w:sz="4" w:space="0" w:color="auto"/>
              <w:right w:val="single" w:sz="4" w:space="0" w:color="auto"/>
            </w:tcBorders>
            <w:shd w:val="clear" w:color="000000" w:fill="FFFFFF"/>
            <w:vAlign w:val="center"/>
            <w:hideMark/>
          </w:tcPr>
          <w:p w14:paraId="353CEC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w:t>
            </w:r>
          </w:p>
        </w:tc>
        <w:tc>
          <w:tcPr>
            <w:tcW w:w="0" w:type="auto"/>
            <w:tcBorders>
              <w:top w:val="nil"/>
              <w:left w:val="nil"/>
              <w:bottom w:val="single" w:sz="4" w:space="0" w:color="auto"/>
              <w:right w:val="single" w:sz="4" w:space="0" w:color="auto"/>
            </w:tcBorders>
            <w:shd w:val="clear" w:color="000000" w:fill="FFFFFF"/>
            <w:vAlign w:val="center"/>
            <w:hideMark/>
          </w:tcPr>
          <w:p w14:paraId="7D599B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19F58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w:t>
            </w:r>
          </w:p>
        </w:tc>
        <w:tc>
          <w:tcPr>
            <w:tcW w:w="0" w:type="auto"/>
            <w:tcBorders>
              <w:top w:val="nil"/>
              <w:left w:val="nil"/>
              <w:bottom w:val="single" w:sz="4" w:space="0" w:color="auto"/>
              <w:right w:val="single" w:sz="4" w:space="0" w:color="auto"/>
            </w:tcBorders>
            <w:shd w:val="clear" w:color="000000" w:fill="FFFFFF"/>
            <w:vAlign w:val="center"/>
            <w:hideMark/>
          </w:tcPr>
          <w:p w14:paraId="091ED1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E57B5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5EC09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B3C79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A14F2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0B1E1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26DF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60AB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8FB1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9D26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900,000</w:t>
            </w:r>
          </w:p>
        </w:tc>
        <w:tc>
          <w:tcPr>
            <w:tcW w:w="0" w:type="auto"/>
            <w:tcBorders>
              <w:top w:val="nil"/>
              <w:left w:val="nil"/>
              <w:bottom w:val="single" w:sz="4" w:space="0" w:color="auto"/>
              <w:right w:val="single" w:sz="4" w:space="0" w:color="auto"/>
            </w:tcBorders>
            <w:shd w:val="clear" w:color="000000" w:fill="FFFFFF"/>
            <w:vAlign w:val="center"/>
            <w:hideMark/>
          </w:tcPr>
          <w:p w14:paraId="06CE2A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E3778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900,000</w:t>
            </w:r>
          </w:p>
        </w:tc>
        <w:tc>
          <w:tcPr>
            <w:tcW w:w="0" w:type="auto"/>
            <w:tcBorders>
              <w:top w:val="nil"/>
              <w:left w:val="nil"/>
              <w:bottom w:val="single" w:sz="4" w:space="0" w:color="auto"/>
              <w:right w:val="single" w:sz="4" w:space="0" w:color="auto"/>
            </w:tcBorders>
            <w:shd w:val="clear" w:color="000000" w:fill="FFFFFF"/>
            <w:noWrap/>
            <w:vAlign w:val="center"/>
            <w:hideMark/>
          </w:tcPr>
          <w:p w14:paraId="211C2F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900,000</w:t>
            </w:r>
          </w:p>
        </w:tc>
        <w:tc>
          <w:tcPr>
            <w:tcW w:w="0" w:type="auto"/>
            <w:tcBorders>
              <w:top w:val="nil"/>
              <w:left w:val="nil"/>
              <w:bottom w:val="single" w:sz="4" w:space="0" w:color="auto"/>
              <w:right w:val="single" w:sz="4" w:space="0" w:color="auto"/>
            </w:tcBorders>
            <w:shd w:val="clear" w:color="000000" w:fill="FFFFFF"/>
            <w:noWrap/>
            <w:vAlign w:val="center"/>
            <w:hideMark/>
          </w:tcPr>
          <w:p w14:paraId="516682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49E54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900,000</w:t>
            </w:r>
          </w:p>
        </w:tc>
        <w:tc>
          <w:tcPr>
            <w:tcW w:w="0" w:type="auto"/>
            <w:tcBorders>
              <w:top w:val="nil"/>
              <w:left w:val="nil"/>
              <w:bottom w:val="single" w:sz="4" w:space="0" w:color="auto"/>
              <w:right w:val="single" w:sz="4" w:space="0" w:color="auto"/>
            </w:tcBorders>
            <w:shd w:val="clear" w:color="000000" w:fill="FFFFFF"/>
            <w:noWrap/>
            <w:vAlign w:val="center"/>
            <w:hideMark/>
          </w:tcPr>
          <w:p w14:paraId="292B91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7FCA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C7FBD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8317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F20A3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306C1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6AF63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18837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46A1EE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54D262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2621B324" w14:textId="6B847168"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1.1</w:t>
            </w:r>
          </w:p>
        </w:tc>
        <w:tc>
          <w:tcPr>
            <w:tcW w:w="0" w:type="auto"/>
            <w:tcBorders>
              <w:top w:val="nil"/>
              <w:left w:val="nil"/>
              <w:bottom w:val="single" w:sz="4" w:space="0" w:color="auto"/>
              <w:right w:val="single" w:sz="4" w:space="0" w:color="auto"/>
            </w:tcBorders>
            <w:shd w:val="clear" w:color="000000" w:fill="5B9BD5"/>
            <w:vAlign w:val="center"/>
            <w:hideMark/>
          </w:tcPr>
          <w:p w14:paraId="75E22971"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05CCB3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2EBC31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29A7E3E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28DE22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CDE07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16,771,541</w:t>
            </w:r>
          </w:p>
        </w:tc>
        <w:tc>
          <w:tcPr>
            <w:tcW w:w="0" w:type="auto"/>
            <w:tcBorders>
              <w:top w:val="nil"/>
              <w:left w:val="nil"/>
              <w:bottom w:val="single" w:sz="4" w:space="0" w:color="auto"/>
              <w:right w:val="single" w:sz="4" w:space="0" w:color="auto"/>
            </w:tcBorders>
            <w:shd w:val="clear" w:color="000000" w:fill="5B9BD5"/>
            <w:vAlign w:val="center"/>
            <w:hideMark/>
          </w:tcPr>
          <w:p w14:paraId="1CDAC1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F45B38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16,771,541</w:t>
            </w:r>
          </w:p>
        </w:tc>
        <w:tc>
          <w:tcPr>
            <w:tcW w:w="0" w:type="auto"/>
            <w:tcBorders>
              <w:top w:val="nil"/>
              <w:left w:val="nil"/>
              <w:bottom w:val="single" w:sz="4" w:space="0" w:color="auto"/>
              <w:right w:val="single" w:sz="4" w:space="0" w:color="auto"/>
            </w:tcBorders>
            <w:shd w:val="clear" w:color="000000" w:fill="5B9BD5"/>
            <w:vAlign w:val="center"/>
            <w:hideMark/>
          </w:tcPr>
          <w:p w14:paraId="000581D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16,771,541</w:t>
            </w:r>
          </w:p>
        </w:tc>
        <w:tc>
          <w:tcPr>
            <w:tcW w:w="0" w:type="auto"/>
            <w:tcBorders>
              <w:top w:val="nil"/>
              <w:left w:val="nil"/>
              <w:bottom w:val="single" w:sz="4" w:space="0" w:color="auto"/>
              <w:right w:val="single" w:sz="4" w:space="0" w:color="auto"/>
            </w:tcBorders>
            <w:shd w:val="clear" w:color="000000" w:fill="5B9BD5"/>
            <w:vAlign w:val="center"/>
            <w:hideMark/>
          </w:tcPr>
          <w:p w14:paraId="6E53AEC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B64408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16,771,541</w:t>
            </w:r>
          </w:p>
        </w:tc>
        <w:tc>
          <w:tcPr>
            <w:tcW w:w="0" w:type="auto"/>
            <w:tcBorders>
              <w:top w:val="nil"/>
              <w:left w:val="nil"/>
              <w:bottom w:val="single" w:sz="4" w:space="0" w:color="auto"/>
              <w:right w:val="single" w:sz="4" w:space="0" w:color="auto"/>
            </w:tcBorders>
            <w:shd w:val="clear" w:color="000000" w:fill="5B9BD5"/>
            <w:vAlign w:val="center"/>
            <w:hideMark/>
          </w:tcPr>
          <w:p w14:paraId="700BC8E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16,321,541</w:t>
            </w:r>
          </w:p>
        </w:tc>
        <w:tc>
          <w:tcPr>
            <w:tcW w:w="0" w:type="auto"/>
            <w:tcBorders>
              <w:top w:val="nil"/>
              <w:left w:val="nil"/>
              <w:bottom w:val="single" w:sz="4" w:space="0" w:color="auto"/>
              <w:right w:val="single" w:sz="4" w:space="0" w:color="auto"/>
            </w:tcBorders>
            <w:shd w:val="clear" w:color="000000" w:fill="5B9BD5"/>
            <w:vAlign w:val="center"/>
            <w:hideMark/>
          </w:tcPr>
          <w:p w14:paraId="0F27A55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EFF60B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16,321,541</w:t>
            </w:r>
          </w:p>
        </w:tc>
        <w:tc>
          <w:tcPr>
            <w:tcW w:w="0" w:type="auto"/>
            <w:tcBorders>
              <w:top w:val="nil"/>
              <w:left w:val="nil"/>
              <w:bottom w:val="single" w:sz="4" w:space="0" w:color="auto"/>
              <w:right w:val="single" w:sz="4" w:space="0" w:color="auto"/>
            </w:tcBorders>
            <w:shd w:val="clear" w:color="000000" w:fill="5B9BD5"/>
            <w:vAlign w:val="center"/>
            <w:hideMark/>
          </w:tcPr>
          <w:p w14:paraId="262DF8F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16,321,541</w:t>
            </w:r>
          </w:p>
        </w:tc>
        <w:tc>
          <w:tcPr>
            <w:tcW w:w="0" w:type="auto"/>
            <w:tcBorders>
              <w:top w:val="nil"/>
              <w:left w:val="nil"/>
              <w:bottom w:val="single" w:sz="4" w:space="0" w:color="auto"/>
              <w:right w:val="single" w:sz="4" w:space="0" w:color="auto"/>
            </w:tcBorders>
            <w:shd w:val="clear" w:color="000000" w:fill="5B9BD5"/>
            <w:vAlign w:val="center"/>
            <w:hideMark/>
          </w:tcPr>
          <w:p w14:paraId="4CB5D7D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726AD2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16,321,541</w:t>
            </w:r>
          </w:p>
        </w:tc>
        <w:tc>
          <w:tcPr>
            <w:tcW w:w="0" w:type="auto"/>
            <w:tcBorders>
              <w:top w:val="nil"/>
              <w:left w:val="nil"/>
              <w:bottom w:val="single" w:sz="4" w:space="0" w:color="auto"/>
              <w:right w:val="single" w:sz="4" w:space="0" w:color="auto"/>
            </w:tcBorders>
            <w:shd w:val="clear" w:color="000000" w:fill="5B9BD5"/>
            <w:vAlign w:val="center"/>
            <w:hideMark/>
          </w:tcPr>
          <w:p w14:paraId="21CD545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16,321,541</w:t>
            </w:r>
          </w:p>
        </w:tc>
        <w:tc>
          <w:tcPr>
            <w:tcW w:w="0" w:type="auto"/>
            <w:tcBorders>
              <w:top w:val="nil"/>
              <w:left w:val="nil"/>
              <w:bottom w:val="single" w:sz="4" w:space="0" w:color="auto"/>
              <w:right w:val="single" w:sz="4" w:space="0" w:color="auto"/>
            </w:tcBorders>
            <w:shd w:val="clear" w:color="000000" w:fill="5B9BD5"/>
            <w:vAlign w:val="center"/>
            <w:hideMark/>
          </w:tcPr>
          <w:p w14:paraId="5D283BE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B8E172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16,321,541</w:t>
            </w:r>
          </w:p>
        </w:tc>
        <w:tc>
          <w:tcPr>
            <w:tcW w:w="0" w:type="auto"/>
            <w:tcBorders>
              <w:top w:val="nil"/>
              <w:left w:val="nil"/>
              <w:bottom w:val="single" w:sz="4" w:space="0" w:color="auto"/>
              <w:right w:val="single" w:sz="4" w:space="0" w:color="auto"/>
            </w:tcBorders>
            <w:shd w:val="clear" w:color="000000" w:fill="5B9BD5"/>
            <w:vAlign w:val="center"/>
            <w:hideMark/>
          </w:tcPr>
          <w:p w14:paraId="451A388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82,507,705</w:t>
            </w:r>
          </w:p>
        </w:tc>
        <w:tc>
          <w:tcPr>
            <w:tcW w:w="0" w:type="auto"/>
            <w:tcBorders>
              <w:top w:val="nil"/>
              <w:left w:val="nil"/>
              <w:bottom w:val="single" w:sz="4" w:space="0" w:color="auto"/>
              <w:right w:val="single" w:sz="4" w:space="0" w:color="auto"/>
            </w:tcBorders>
            <w:shd w:val="clear" w:color="000000" w:fill="5B9BD5"/>
            <w:vAlign w:val="center"/>
            <w:hideMark/>
          </w:tcPr>
          <w:p w14:paraId="19F6C63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B200B6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82,507,705</w:t>
            </w:r>
          </w:p>
        </w:tc>
        <w:tc>
          <w:tcPr>
            <w:tcW w:w="0" w:type="auto"/>
            <w:tcBorders>
              <w:top w:val="nil"/>
              <w:left w:val="nil"/>
              <w:bottom w:val="single" w:sz="4" w:space="0" w:color="auto"/>
              <w:right w:val="single" w:sz="4" w:space="0" w:color="auto"/>
            </w:tcBorders>
            <w:shd w:val="clear" w:color="000000" w:fill="5B9BD5"/>
            <w:vAlign w:val="center"/>
            <w:hideMark/>
          </w:tcPr>
          <w:p w14:paraId="0761F77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49,864,623</w:t>
            </w:r>
          </w:p>
        </w:tc>
        <w:tc>
          <w:tcPr>
            <w:tcW w:w="0" w:type="auto"/>
            <w:tcBorders>
              <w:top w:val="nil"/>
              <w:left w:val="nil"/>
              <w:bottom w:val="single" w:sz="4" w:space="0" w:color="auto"/>
              <w:right w:val="single" w:sz="4" w:space="0" w:color="auto"/>
            </w:tcBorders>
            <w:shd w:val="clear" w:color="000000" w:fill="5B9BD5"/>
            <w:vAlign w:val="center"/>
            <w:hideMark/>
          </w:tcPr>
          <w:p w14:paraId="5460291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8141C9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49,864,623</w:t>
            </w:r>
          </w:p>
        </w:tc>
        <w:tc>
          <w:tcPr>
            <w:tcW w:w="0" w:type="auto"/>
            <w:tcBorders>
              <w:top w:val="nil"/>
              <w:left w:val="nil"/>
              <w:bottom w:val="single" w:sz="4" w:space="0" w:color="auto"/>
              <w:right w:val="single" w:sz="4" w:space="0" w:color="auto"/>
            </w:tcBorders>
            <w:shd w:val="clear" w:color="000000" w:fill="5B9BD5"/>
            <w:vAlign w:val="center"/>
            <w:hideMark/>
          </w:tcPr>
          <w:p w14:paraId="06987A5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32,643,082</w:t>
            </w:r>
          </w:p>
        </w:tc>
        <w:tc>
          <w:tcPr>
            <w:tcW w:w="0" w:type="auto"/>
            <w:tcBorders>
              <w:top w:val="nil"/>
              <w:left w:val="nil"/>
              <w:bottom w:val="single" w:sz="4" w:space="0" w:color="auto"/>
              <w:right w:val="single" w:sz="4" w:space="0" w:color="auto"/>
            </w:tcBorders>
            <w:shd w:val="clear" w:color="000000" w:fill="5B9BD5"/>
            <w:vAlign w:val="center"/>
            <w:hideMark/>
          </w:tcPr>
          <w:p w14:paraId="2298F2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0A794F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32,643,082</w:t>
            </w:r>
          </w:p>
        </w:tc>
        <w:tc>
          <w:tcPr>
            <w:tcW w:w="0" w:type="auto"/>
            <w:tcBorders>
              <w:top w:val="nil"/>
              <w:left w:val="nil"/>
              <w:bottom w:val="single" w:sz="4" w:space="0" w:color="auto"/>
              <w:right w:val="single" w:sz="4" w:space="0" w:color="auto"/>
            </w:tcBorders>
            <w:shd w:val="clear" w:color="000000" w:fill="5B9BD5"/>
            <w:vAlign w:val="center"/>
            <w:hideMark/>
          </w:tcPr>
          <w:p w14:paraId="180A90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84A4D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5943BE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2C9C46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180C74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5C5033B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3F76C63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w:t>
            </w:r>
          </w:p>
        </w:tc>
        <w:tc>
          <w:tcPr>
            <w:tcW w:w="0" w:type="auto"/>
            <w:tcBorders>
              <w:top w:val="nil"/>
              <w:left w:val="nil"/>
              <w:bottom w:val="single" w:sz="4" w:space="0" w:color="auto"/>
              <w:right w:val="nil"/>
            </w:tcBorders>
            <w:shd w:val="clear" w:color="000000" w:fill="FCE4D6"/>
            <w:vAlign w:val="center"/>
            <w:hideMark/>
          </w:tcPr>
          <w:p w14:paraId="4A9F5026"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Reduktimi i cenueshmërisë së komuniteteve me rrezik duke përmirësuar aksesin në mekanizmat e mbështetjes sociale, ekonomike dhe të riintegrimit</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CD29AA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6847C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3A131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A021B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DD9D3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89AB2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1CBF3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83F65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31AEB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AB896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6804B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2E864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85F37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7EB87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1C04B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91726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82C7A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D552F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80B5B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6B1B6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AA7BB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FD53D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2B435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6655D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9D39A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5D3BC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6E0AD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479B0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B63BD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C5F90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943A2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2CF3C3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346C2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6CA3A0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AE3740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1837AE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1.2.1</w:t>
            </w:r>
          </w:p>
        </w:tc>
        <w:tc>
          <w:tcPr>
            <w:tcW w:w="0" w:type="auto"/>
            <w:tcBorders>
              <w:top w:val="nil"/>
              <w:left w:val="nil"/>
              <w:bottom w:val="single" w:sz="4" w:space="0" w:color="auto"/>
              <w:right w:val="single" w:sz="4" w:space="0" w:color="auto"/>
            </w:tcBorders>
            <w:shd w:val="clear" w:color="F1F5F9" w:fill="FFFFFF"/>
            <w:vAlign w:val="center"/>
            <w:hideMark/>
          </w:tcPr>
          <w:p w14:paraId="2B3DEB0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Identifikimi dhe analizimi i zonave gjeografike, komuniteteve dhe grupeve sociale që janë të prekura dhe të cenueshme nga strukturat e paligjshme dhe aktivitetet kriminale, duke përdorur të dhëna të ndara sipas gjinisë.</w:t>
            </w:r>
          </w:p>
        </w:tc>
        <w:tc>
          <w:tcPr>
            <w:tcW w:w="0" w:type="auto"/>
            <w:tcBorders>
              <w:top w:val="nil"/>
              <w:left w:val="nil"/>
              <w:bottom w:val="single" w:sz="4" w:space="0" w:color="auto"/>
              <w:right w:val="single" w:sz="4" w:space="0" w:color="auto"/>
            </w:tcBorders>
            <w:shd w:val="clear" w:color="000000" w:fill="FFFFFF"/>
            <w:vAlign w:val="center"/>
            <w:hideMark/>
          </w:tcPr>
          <w:p w14:paraId="016F135D" w14:textId="65FAA860"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noWrap/>
            <w:vAlign w:val="center"/>
            <w:hideMark/>
          </w:tcPr>
          <w:p w14:paraId="1D468E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36DF76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br/>
              <w:t xml:space="preserve">Bashkitë; </w:t>
            </w:r>
            <w:r w:rsidRPr="002128A6">
              <w:rPr>
                <w:rFonts w:ascii="Garamond" w:eastAsia="Times New Roman" w:hAnsi="Garamond" w:cs="Times New Roman"/>
                <w:kern w:val="0"/>
                <w:sz w:val="4"/>
                <w:szCs w:val="8"/>
                <w14:ligatures w14:val="none"/>
              </w:rPr>
              <w:br/>
              <w:t>Prefekti i Qarkut</w:t>
            </w:r>
          </w:p>
        </w:tc>
        <w:tc>
          <w:tcPr>
            <w:tcW w:w="0" w:type="auto"/>
            <w:tcBorders>
              <w:top w:val="nil"/>
              <w:left w:val="nil"/>
              <w:bottom w:val="single" w:sz="4" w:space="0" w:color="auto"/>
              <w:right w:val="single" w:sz="4" w:space="0" w:color="auto"/>
            </w:tcBorders>
            <w:shd w:val="clear" w:color="000000" w:fill="FFFFFF"/>
            <w:vAlign w:val="center"/>
            <w:hideMark/>
          </w:tcPr>
          <w:p w14:paraId="35C86F6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5674F4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7588C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2B1A23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D04D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663243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314575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0BD1B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01DC16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734934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A80FC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2169BA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7027C2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04FBB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4DC65D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4DFDB1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839F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FFFFFF"/>
            <w:vAlign w:val="center"/>
            <w:hideMark/>
          </w:tcPr>
          <w:p w14:paraId="0C94B2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13,992,975</w:t>
            </w:r>
          </w:p>
        </w:tc>
        <w:tc>
          <w:tcPr>
            <w:tcW w:w="0" w:type="auto"/>
            <w:tcBorders>
              <w:top w:val="nil"/>
              <w:left w:val="nil"/>
              <w:bottom w:val="single" w:sz="4" w:space="0" w:color="auto"/>
              <w:right w:val="single" w:sz="4" w:space="0" w:color="auto"/>
            </w:tcBorders>
            <w:shd w:val="clear" w:color="000000" w:fill="FFFFFF"/>
            <w:vAlign w:val="center"/>
            <w:hideMark/>
          </w:tcPr>
          <w:p w14:paraId="3F80E3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E9D4E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13,992,975</w:t>
            </w:r>
          </w:p>
        </w:tc>
        <w:tc>
          <w:tcPr>
            <w:tcW w:w="0" w:type="auto"/>
            <w:tcBorders>
              <w:top w:val="nil"/>
              <w:left w:val="nil"/>
              <w:bottom w:val="single" w:sz="4" w:space="0" w:color="auto"/>
              <w:right w:val="single" w:sz="4" w:space="0" w:color="auto"/>
            </w:tcBorders>
            <w:shd w:val="clear" w:color="000000" w:fill="FFFFFF"/>
            <w:noWrap/>
            <w:vAlign w:val="center"/>
            <w:hideMark/>
          </w:tcPr>
          <w:p w14:paraId="03D687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8,395,785</w:t>
            </w:r>
          </w:p>
        </w:tc>
        <w:tc>
          <w:tcPr>
            <w:tcW w:w="0" w:type="auto"/>
            <w:tcBorders>
              <w:top w:val="nil"/>
              <w:left w:val="nil"/>
              <w:bottom w:val="single" w:sz="4" w:space="0" w:color="auto"/>
              <w:right w:val="single" w:sz="4" w:space="0" w:color="auto"/>
            </w:tcBorders>
            <w:shd w:val="clear" w:color="000000" w:fill="FFFFFF"/>
            <w:noWrap/>
            <w:vAlign w:val="center"/>
            <w:hideMark/>
          </w:tcPr>
          <w:p w14:paraId="582027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4976A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8,395,785</w:t>
            </w:r>
          </w:p>
        </w:tc>
        <w:tc>
          <w:tcPr>
            <w:tcW w:w="0" w:type="auto"/>
            <w:tcBorders>
              <w:top w:val="nil"/>
              <w:left w:val="nil"/>
              <w:bottom w:val="single" w:sz="4" w:space="0" w:color="auto"/>
              <w:right w:val="single" w:sz="4" w:space="0" w:color="auto"/>
            </w:tcBorders>
            <w:shd w:val="clear" w:color="000000" w:fill="FFFFFF"/>
            <w:noWrap/>
            <w:vAlign w:val="center"/>
            <w:hideMark/>
          </w:tcPr>
          <w:p w14:paraId="1FDEBC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5,597,190</w:t>
            </w:r>
          </w:p>
        </w:tc>
        <w:tc>
          <w:tcPr>
            <w:tcW w:w="0" w:type="auto"/>
            <w:tcBorders>
              <w:top w:val="nil"/>
              <w:left w:val="nil"/>
              <w:bottom w:val="single" w:sz="4" w:space="0" w:color="auto"/>
              <w:right w:val="single" w:sz="4" w:space="0" w:color="auto"/>
            </w:tcBorders>
            <w:shd w:val="clear" w:color="000000" w:fill="FFFFFF"/>
            <w:noWrap/>
            <w:vAlign w:val="center"/>
            <w:hideMark/>
          </w:tcPr>
          <w:p w14:paraId="3F008C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0F94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5,597,190</w:t>
            </w:r>
          </w:p>
        </w:tc>
        <w:tc>
          <w:tcPr>
            <w:tcW w:w="0" w:type="auto"/>
            <w:tcBorders>
              <w:top w:val="nil"/>
              <w:left w:val="nil"/>
              <w:bottom w:val="single" w:sz="4" w:space="0" w:color="auto"/>
              <w:right w:val="single" w:sz="4" w:space="0" w:color="auto"/>
            </w:tcBorders>
            <w:shd w:val="clear" w:color="000000" w:fill="FFFFFF"/>
            <w:vAlign w:val="center"/>
            <w:hideMark/>
          </w:tcPr>
          <w:p w14:paraId="57CF94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18CF3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75E1DC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A9F2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2CDC3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7B4457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7F0EB96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1.2.2</w:t>
            </w:r>
          </w:p>
        </w:tc>
        <w:tc>
          <w:tcPr>
            <w:tcW w:w="0" w:type="auto"/>
            <w:tcBorders>
              <w:top w:val="nil"/>
              <w:left w:val="nil"/>
              <w:bottom w:val="single" w:sz="4" w:space="0" w:color="auto"/>
              <w:right w:val="single" w:sz="4" w:space="0" w:color="auto"/>
            </w:tcBorders>
            <w:shd w:val="clear" w:color="F1F5F9" w:fill="FFFFFF"/>
            <w:vAlign w:val="center"/>
            <w:hideMark/>
          </w:tcPr>
          <w:p w14:paraId="72EAE7A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Inkurajimi dhe nxitja e transferimit të pronave/aseteve të konfiskuara në pronësi të njësive të qeverisjes vendore, në mënyrë që të përdoren për qëllime sociale dhe në dobi të komuniteteve.</w:t>
            </w:r>
          </w:p>
        </w:tc>
        <w:tc>
          <w:tcPr>
            <w:tcW w:w="0" w:type="auto"/>
            <w:tcBorders>
              <w:top w:val="nil"/>
              <w:left w:val="nil"/>
              <w:bottom w:val="single" w:sz="4" w:space="0" w:color="auto"/>
              <w:right w:val="single" w:sz="4" w:space="0" w:color="auto"/>
            </w:tcBorders>
            <w:shd w:val="clear" w:color="000000" w:fill="FFFFFF"/>
            <w:vAlign w:val="center"/>
            <w:hideMark/>
          </w:tcPr>
          <w:p w14:paraId="38C5BF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91603AA</w:t>
            </w:r>
          </w:p>
        </w:tc>
        <w:tc>
          <w:tcPr>
            <w:tcW w:w="0" w:type="auto"/>
            <w:tcBorders>
              <w:top w:val="nil"/>
              <w:left w:val="nil"/>
              <w:bottom w:val="single" w:sz="4" w:space="0" w:color="auto"/>
              <w:right w:val="single" w:sz="4" w:space="0" w:color="auto"/>
            </w:tcBorders>
            <w:shd w:val="clear" w:color="000000" w:fill="FFFFFF"/>
            <w:vAlign w:val="center"/>
            <w:hideMark/>
          </w:tcPr>
          <w:p w14:paraId="1556E0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Pasurive të Sekuestruara dhe Konfiskuara</w:t>
            </w:r>
          </w:p>
        </w:tc>
        <w:tc>
          <w:tcPr>
            <w:tcW w:w="0" w:type="auto"/>
            <w:tcBorders>
              <w:top w:val="nil"/>
              <w:left w:val="nil"/>
              <w:bottom w:val="single" w:sz="4" w:space="0" w:color="auto"/>
              <w:right w:val="single" w:sz="4" w:space="0" w:color="auto"/>
            </w:tcBorders>
            <w:shd w:val="clear" w:color="000000" w:fill="FFFFFF"/>
            <w:noWrap/>
            <w:vAlign w:val="center"/>
            <w:hideMark/>
          </w:tcPr>
          <w:p w14:paraId="40EBD5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Punëve të Brendshme; </w:t>
            </w:r>
          </w:p>
        </w:tc>
        <w:tc>
          <w:tcPr>
            <w:tcW w:w="0" w:type="auto"/>
            <w:tcBorders>
              <w:top w:val="nil"/>
              <w:left w:val="nil"/>
              <w:bottom w:val="single" w:sz="4" w:space="0" w:color="auto"/>
              <w:right w:val="single" w:sz="4" w:space="0" w:color="auto"/>
            </w:tcBorders>
            <w:shd w:val="clear" w:color="000000" w:fill="FFFFFF"/>
            <w:vAlign w:val="center"/>
            <w:hideMark/>
          </w:tcPr>
          <w:p w14:paraId="325AAEF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BF825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9CC60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9F32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200,000,000</w:t>
            </w:r>
          </w:p>
        </w:tc>
        <w:tc>
          <w:tcPr>
            <w:tcW w:w="0" w:type="auto"/>
            <w:tcBorders>
              <w:top w:val="nil"/>
              <w:left w:val="nil"/>
              <w:bottom w:val="single" w:sz="4" w:space="0" w:color="auto"/>
              <w:right w:val="single" w:sz="4" w:space="0" w:color="auto"/>
            </w:tcBorders>
            <w:shd w:val="clear" w:color="000000" w:fill="FFFFFF"/>
            <w:noWrap/>
            <w:vAlign w:val="center"/>
            <w:hideMark/>
          </w:tcPr>
          <w:p w14:paraId="465F03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200,000,000</w:t>
            </w:r>
          </w:p>
        </w:tc>
        <w:tc>
          <w:tcPr>
            <w:tcW w:w="0" w:type="auto"/>
            <w:tcBorders>
              <w:top w:val="nil"/>
              <w:left w:val="nil"/>
              <w:bottom w:val="single" w:sz="4" w:space="0" w:color="auto"/>
              <w:right w:val="single" w:sz="4" w:space="0" w:color="auto"/>
            </w:tcBorders>
            <w:shd w:val="clear" w:color="000000" w:fill="FFFFFF"/>
            <w:noWrap/>
            <w:vAlign w:val="center"/>
            <w:hideMark/>
          </w:tcPr>
          <w:p w14:paraId="46114A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05295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200,000,000</w:t>
            </w:r>
          </w:p>
        </w:tc>
        <w:tc>
          <w:tcPr>
            <w:tcW w:w="0" w:type="auto"/>
            <w:tcBorders>
              <w:top w:val="nil"/>
              <w:left w:val="nil"/>
              <w:bottom w:val="single" w:sz="4" w:space="0" w:color="auto"/>
              <w:right w:val="single" w:sz="4" w:space="0" w:color="auto"/>
            </w:tcBorders>
            <w:shd w:val="clear" w:color="000000" w:fill="FFFFFF"/>
            <w:noWrap/>
            <w:vAlign w:val="center"/>
            <w:hideMark/>
          </w:tcPr>
          <w:p w14:paraId="1B4B06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200,000,000</w:t>
            </w:r>
          </w:p>
        </w:tc>
        <w:tc>
          <w:tcPr>
            <w:tcW w:w="0" w:type="auto"/>
            <w:tcBorders>
              <w:top w:val="nil"/>
              <w:left w:val="nil"/>
              <w:bottom w:val="single" w:sz="4" w:space="0" w:color="auto"/>
              <w:right w:val="single" w:sz="4" w:space="0" w:color="auto"/>
            </w:tcBorders>
            <w:shd w:val="clear" w:color="000000" w:fill="FFFFFF"/>
            <w:noWrap/>
            <w:vAlign w:val="center"/>
            <w:hideMark/>
          </w:tcPr>
          <w:p w14:paraId="284B6C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07BC1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200,000,000</w:t>
            </w:r>
          </w:p>
        </w:tc>
        <w:tc>
          <w:tcPr>
            <w:tcW w:w="0" w:type="auto"/>
            <w:tcBorders>
              <w:top w:val="nil"/>
              <w:left w:val="nil"/>
              <w:bottom w:val="single" w:sz="4" w:space="0" w:color="auto"/>
              <w:right w:val="single" w:sz="4" w:space="0" w:color="auto"/>
            </w:tcBorders>
            <w:shd w:val="clear" w:color="000000" w:fill="FFFFFF"/>
            <w:noWrap/>
            <w:vAlign w:val="center"/>
            <w:hideMark/>
          </w:tcPr>
          <w:p w14:paraId="56BB22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200,000,000</w:t>
            </w:r>
          </w:p>
        </w:tc>
        <w:tc>
          <w:tcPr>
            <w:tcW w:w="0" w:type="auto"/>
            <w:tcBorders>
              <w:top w:val="nil"/>
              <w:left w:val="nil"/>
              <w:bottom w:val="single" w:sz="4" w:space="0" w:color="auto"/>
              <w:right w:val="single" w:sz="4" w:space="0" w:color="auto"/>
            </w:tcBorders>
            <w:shd w:val="clear" w:color="000000" w:fill="FFFFFF"/>
            <w:noWrap/>
            <w:vAlign w:val="center"/>
            <w:hideMark/>
          </w:tcPr>
          <w:p w14:paraId="642711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9CE41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8A870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0F023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79E53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FF51A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9112B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C338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600,000,000</w:t>
            </w:r>
          </w:p>
        </w:tc>
        <w:tc>
          <w:tcPr>
            <w:tcW w:w="0" w:type="auto"/>
            <w:tcBorders>
              <w:top w:val="nil"/>
              <w:left w:val="nil"/>
              <w:bottom w:val="single" w:sz="4" w:space="0" w:color="auto"/>
              <w:right w:val="single" w:sz="4" w:space="0" w:color="auto"/>
            </w:tcBorders>
            <w:shd w:val="clear" w:color="000000" w:fill="FFFFFF"/>
            <w:vAlign w:val="center"/>
            <w:hideMark/>
          </w:tcPr>
          <w:p w14:paraId="6667A3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600,000,000</w:t>
            </w:r>
          </w:p>
        </w:tc>
        <w:tc>
          <w:tcPr>
            <w:tcW w:w="0" w:type="auto"/>
            <w:tcBorders>
              <w:top w:val="nil"/>
              <w:left w:val="nil"/>
              <w:bottom w:val="single" w:sz="4" w:space="0" w:color="auto"/>
              <w:right w:val="single" w:sz="4" w:space="0" w:color="auto"/>
            </w:tcBorders>
            <w:shd w:val="clear" w:color="000000" w:fill="FFFFFF"/>
            <w:noWrap/>
            <w:vAlign w:val="center"/>
            <w:hideMark/>
          </w:tcPr>
          <w:p w14:paraId="310230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C1155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600,000,000</w:t>
            </w:r>
          </w:p>
        </w:tc>
        <w:tc>
          <w:tcPr>
            <w:tcW w:w="0" w:type="auto"/>
            <w:tcBorders>
              <w:top w:val="nil"/>
              <w:left w:val="nil"/>
              <w:bottom w:val="single" w:sz="4" w:space="0" w:color="auto"/>
              <w:right w:val="single" w:sz="4" w:space="0" w:color="auto"/>
            </w:tcBorders>
            <w:shd w:val="clear" w:color="000000" w:fill="FFFFFF"/>
            <w:noWrap/>
            <w:vAlign w:val="center"/>
            <w:hideMark/>
          </w:tcPr>
          <w:p w14:paraId="7FF9B5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600,000,000</w:t>
            </w:r>
          </w:p>
        </w:tc>
        <w:tc>
          <w:tcPr>
            <w:tcW w:w="0" w:type="auto"/>
            <w:tcBorders>
              <w:top w:val="nil"/>
              <w:left w:val="nil"/>
              <w:bottom w:val="single" w:sz="4" w:space="0" w:color="auto"/>
              <w:right w:val="single" w:sz="4" w:space="0" w:color="auto"/>
            </w:tcBorders>
            <w:shd w:val="clear" w:color="000000" w:fill="FFFFFF"/>
            <w:noWrap/>
            <w:vAlign w:val="center"/>
            <w:hideMark/>
          </w:tcPr>
          <w:p w14:paraId="29A1F8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BE7A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7468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C9BA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01EE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231C91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AFD5D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4FF0D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EDDD3C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1FAA738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1.2.3</w:t>
            </w:r>
          </w:p>
        </w:tc>
        <w:tc>
          <w:tcPr>
            <w:tcW w:w="0" w:type="auto"/>
            <w:tcBorders>
              <w:top w:val="nil"/>
              <w:left w:val="nil"/>
              <w:bottom w:val="single" w:sz="4" w:space="0" w:color="auto"/>
              <w:right w:val="single" w:sz="4" w:space="0" w:color="auto"/>
            </w:tcBorders>
            <w:shd w:val="clear" w:color="F1F5F9" w:fill="FFFFFF"/>
            <w:vAlign w:val="center"/>
            <w:hideMark/>
          </w:tcPr>
          <w:p w14:paraId="691E9659" w14:textId="672B1545"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Planifikimi dhe organizimi takimeve ndërgjegjësuese mbi procedurat për transferimin e aseteve të konfiskuara të aktivitetit kriminal, te</w:t>
            </w:r>
            <w:r w:rsidR="009F2103" w:rsidRPr="002128A6">
              <w:rPr>
                <w:rFonts w:ascii="Garamond" w:eastAsia="Times New Roman" w:hAnsi="Garamond" w:cs="Times New Roman"/>
                <w:kern w:val="0"/>
                <w:sz w:val="4"/>
                <w:szCs w:val="8"/>
                <w14:ligatures w14:val="none"/>
              </w:rPr>
              <w:t>k</w:t>
            </w:r>
            <w:r w:rsidRPr="002128A6">
              <w:rPr>
                <w:rFonts w:ascii="Garamond" w:eastAsia="Times New Roman" w:hAnsi="Garamond" w:cs="Times New Roman"/>
                <w:kern w:val="0"/>
                <w:sz w:val="4"/>
                <w:szCs w:val="8"/>
                <w14:ligatures w14:val="none"/>
              </w:rPr>
              <w:t xml:space="preserve"> institucionet qendrore dhe vendore, me qëllim lehtësimin e ripërdorimit social të tyre.</w:t>
            </w:r>
          </w:p>
        </w:tc>
        <w:tc>
          <w:tcPr>
            <w:tcW w:w="0" w:type="auto"/>
            <w:tcBorders>
              <w:top w:val="nil"/>
              <w:left w:val="nil"/>
              <w:bottom w:val="single" w:sz="4" w:space="0" w:color="auto"/>
              <w:right w:val="single" w:sz="4" w:space="0" w:color="auto"/>
            </w:tcBorders>
            <w:shd w:val="clear" w:color="000000" w:fill="FFFFFF"/>
            <w:vAlign w:val="center"/>
            <w:hideMark/>
          </w:tcPr>
          <w:p w14:paraId="557AB6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91601AG</w:t>
            </w:r>
          </w:p>
        </w:tc>
        <w:tc>
          <w:tcPr>
            <w:tcW w:w="0" w:type="auto"/>
            <w:tcBorders>
              <w:top w:val="nil"/>
              <w:left w:val="nil"/>
              <w:bottom w:val="single" w:sz="4" w:space="0" w:color="auto"/>
              <w:right w:val="single" w:sz="4" w:space="0" w:color="auto"/>
            </w:tcBorders>
            <w:shd w:val="clear" w:color="000000" w:fill="FFFFFF"/>
            <w:vAlign w:val="center"/>
            <w:hideMark/>
          </w:tcPr>
          <w:p w14:paraId="5FC330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Pasurive të Sekuestruara dhe Konfiskuara</w:t>
            </w:r>
          </w:p>
        </w:tc>
        <w:tc>
          <w:tcPr>
            <w:tcW w:w="0" w:type="auto"/>
            <w:tcBorders>
              <w:top w:val="nil"/>
              <w:left w:val="nil"/>
              <w:bottom w:val="single" w:sz="4" w:space="0" w:color="auto"/>
              <w:right w:val="single" w:sz="4" w:space="0" w:color="auto"/>
            </w:tcBorders>
            <w:shd w:val="clear" w:color="000000" w:fill="FFFFFF"/>
            <w:vAlign w:val="center"/>
            <w:hideMark/>
          </w:tcPr>
          <w:p w14:paraId="5E335AD8" w14:textId="7EF2A39D"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Ministritë relevante të</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linjës;</w:t>
            </w:r>
          </w:p>
        </w:tc>
        <w:tc>
          <w:tcPr>
            <w:tcW w:w="0" w:type="auto"/>
            <w:tcBorders>
              <w:top w:val="nil"/>
              <w:left w:val="nil"/>
              <w:bottom w:val="single" w:sz="4" w:space="0" w:color="auto"/>
              <w:right w:val="single" w:sz="4" w:space="0" w:color="auto"/>
            </w:tcBorders>
            <w:shd w:val="clear" w:color="000000" w:fill="FFFFFF"/>
            <w:vAlign w:val="center"/>
            <w:hideMark/>
          </w:tcPr>
          <w:p w14:paraId="733109C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B50F4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BAF92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985DC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noWrap/>
            <w:vAlign w:val="center"/>
            <w:hideMark/>
          </w:tcPr>
          <w:p w14:paraId="6F578C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vAlign w:val="center"/>
            <w:hideMark/>
          </w:tcPr>
          <w:p w14:paraId="0CC749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5209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noWrap/>
            <w:vAlign w:val="center"/>
            <w:hideMark/>
          </w:tcPr>
          <w:p w14:paraId="6A4600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vAlign w:val="center"/>
            <w:hideMark/>
          </w:tcPr>
          <w:p w14:paraId="1A8A4B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7F76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noWrap/>
            <w:vAlign w:val="center"/>
            <w:hideMark/>
          </w:tcPr>
          <w:p w14:paraId="22FC34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vAlign w:val="center"/>
            <w:hideMark/>
          </w:tcPr>
          <w:p w14:paraId="40739F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CCE8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60616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9254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2B9D1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A774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C3B40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196B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6,000,000</w:t>
            </w:r>
          </w:p>
        </w:tc>
        <w:tc>
          <w:tcPr>
            <w:tcW w:w="0" w:type="auto"/>
            <w:tcBorders>
              <w:top w:val="nil"/>
              <w:left w:val="nil"/>
              <w:bottom w:val="single" w:sz="4" w:space="0" w:color="auto"/>
              <w:right w:val="single" w:sz="4" w:space="0" w:color="auto"/>
            </w:tcBorders>
            <w:shd w:val="clear" w:color="000000" w:fill="FFFFFF"/>
            <w:vAlign w:val="center"/>
            <w:hideMark/>
          </w:tcPr>
          <w:p w14:paraId="122E37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6,000,000</w:t>
            </w:r>
          </w:p>
        </w:tc>
        <w:tc>
          <w:tcPr>
            <w:tcW w:w="0" w:type="auto"/>
            <w:tcBorders>
              <w:top w:val="nil"/>
              <w:left w:val="nil"/>
              <w:bottom w:val="single" w:sz="4" w:space="0" w:color="auto"/>
              <w:right w:val="single" w:sz="4" w:space="0" w:color="auto"/>
            </w:tcBorders>
            <w:shd w:val="clear" w:color="000000" w:fill="FFFFFF"/>
            <w:noWrap/>
            <w:vAlign w:val="center"/>
            <w:hideMark/>
          </w:tcPr>
          <w:p w14:paraId="121079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1BCD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EA034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30FD1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0EB44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9E39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0C20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554D9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6,000,000</w:t>
            </w:r>
          </w:p>
        </w:tc>
        <w:tc>
          <w:tcPr>
            <w:tcW w:w="0" w:type="auto"/>
            <w:tcBorders>
              <w:top w:val="nil"/>
              <w:left w:val="nil"/>
              <w:bottom w:val="single" w:sz="4" w:space="0" w:color="auto"/>
              <w:right w:val="single" w:sz="4" w:space="0" w:color="auto"/>
            </w:tcBorders>
            <w:shd w:val="clear" w:color="000000" w:fill="FFFFFF"/>
            <w:vAlign w:val="center"/>
            <w:hideMark/>
          </w:tcPr>
          <w:p w14:paraId="33349DDC" w14:textId="500A12CD"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Banka të Nivelit të dytë</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me marrëveshje sponsorizimi</w:t>
            </w:r>
          </w:p>
        </w:tc>
        <w:tc>
          <w:tcPr>
            <w:tcW w:w="0" w:type="auto"/>
            <w:tcBorders>
              <w:top w:val="nil"/>
              <w:left w:val="nil"/>
              <w:bottom w:val="single" w:sz="4" w:space="0" w:color="auto"/>
              <w:right w:val="single" w:sz="4" w:space="0" w:color="auto"/>
            </w:tcBorders>
            <w:shd w:val="clear" w:color="000000" w:fill="FFFFFF"/>
            <w:vAlign w:val="center"/>
            <w:hideMark/>
          </w:tcPr>
          <w:p w14:paraId="0498DB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6,000,000</w:t>
            </w:r>
          </w:p>
        </w:tc>
        <w:tc>
          <w:tcPr>
            <w:tcW w:w="0" w:type="auto"/>
            <w:tcBorders>
              <w:top w:val="nil"/>
              <w:left w:val="nil"/>
              <w:bottom w:val="single" w:sz="4" w:space="0" w:color="auto"/>
              <w:right w:val="single" w:sz="8" w:space="0" w:color="auto"/>
            </w:tcBorders>
            <w:shd w:val="clear" w:color="000000" w:fill="FFFFFF"/>
            <w:vAlign w:val="center"/>
            <w:hideMark/>
          </w:tcPr>
          <w:p w14:paraId="772CDB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91BF70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2BEC9D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1.2.4</w:t>
            </w:r>
          </w:p>
        </w:tc>
        <w:tc>
          <w:tcPr>
            <w:tcW w:w="0" w:type="auto"/>
            <w:tcBorders>
              <w:top w:val="nil"/>
              <w:left w:val="nil"/>
              <w:bottom w:val="single" w:sz="4" w:space="0" w:color="auto"/>
              <w:right w:val="single" w:sz="4" w:space="0" w:color="auto"/>
            </w:tcBorders>
            <w:shd w:val="clear" w:color="F1F5F9" w:fill="FFFFFF"/>
            <w:vAlign w:val="center"/>
            <w:hideMark/>
          </w:tcPr>
          <w:p w14:paraId="2F748FA7" w14:textId="4D6EBF2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Përmirësimi i trajtimit të të burgosurve për sa </w:t>
            </w:r>
            <w:r w:rsidR="00043DE4" w:rsidRPr="002128A6">
              <w:rPr>
                <w:rFonts w:ascii="Garamond" w:eastAsia="Times New Roman" w:hAnsi="Garamond" w:cs="Times New Roman"/>
                <w:kern w:val="0"/>
                <w:sz w:val="4"/>
                <w:szCs w:val="8"/>
                <w14:ligatures w14:val="none"/>
              </w:rPr>
              <w:t>u</w:t>
            </w:r>
            <w:r w:rsidRPr="002128A6">
              <w:rPr>
                <w:rFonts w:ascii="Garamond" w:eastAsia="Times New Roman" w:hAnsi="Garamond" w:cs="Times New Roman"/>
                <w:kern w:val="0"/>
                <w:sz w:val="4"/>
                <w:szCs w:val="8"/>
                <w14:ligatures w14:val="none"/>
              </w:rPr>
              <w:t xml:space="preserve"> përket aspekteve </w:t>
            </w:r>
            <w:r w:rsidR="00EF05E1" w:rsidRPr="002128A6">
              <w:rPr>
                <w:rFonts w:ascii="Garamond" w:eastAsia="Times New Roman" w:hAnsi="Garamond" w:cs="Times New Roman"/>
                <w:kern w:val="0"/>
                <w:sz w:val="4"/>
                <w:szCs w:val="8"/>
                <w14:ligatures w14:val="none"/>
              </w:rPr>
              <w:t>psikosociale</w:t>
            </w:r>
            <w:r w:rsidRPr="002128A6">
              <w:rPr>
                <w:rFonts w:ascii="Garamond" w:eastAsia="Times New Roman" w:hAnsi="Garamond" w:cs="Times New Roman"/>
                <w:kern w:val="0"/>
                <w:sz w:val="4"/>
                <w:szCs w:val="8"/>
                <w14:ligatures w14:val="none"/>
              </w:rPr>
              <w:t xml:space="preserve"> dhe kulturore, si dhe i kushteve të strukturave dhe infrastrukturës së burgjeve, përfshirë përmes hartimit dhe zbatimit të programeve sociale dhe trajnimeve ose kurseve profesionale.</w:t>
            </w:r>
          </w:p>
        </w:tc>
        <w:tc>
          <w:tcPr>
            <w:tcW w:w="0" w:type="auto"/>
            <w:tcBorders>
              <w:top w:val="nil"/>
              <w:left w:val="nil"/>
              <w:bottom w:val="single" w:sz="4" w:space="0" w:color="auto"/>
              <w:right w:val="single" w:sz="4" w:space="0" w:color="auto"/>
            </w:tcBorders>
            <w:shd w:val="clear" w:color="000000" w:fill="FFFFFF"/>
            <w:noWrap/>
            <w:vAlign w:val="center"/>
            <w:hideMark/>
          </w:tcPr>
          <w:p w14:paraId="25B7D6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91408AB</w:t>
            </w:r>
          </w:p>
        </w:tc>
        <w:tc>
          <w:tcPr>
            <w:tcW w:w="0" w:type="auto"/>
            <w:tcBorders>
              <w:top w:val="nil"/>
              <w:left w:val="nil"/>
              <w:bottom w:val="single" w:sz="4" w:space="0" w:color="auto"/>
              <w:right w:val="single" w:sz="4" w:space="0" w:color="auto"/>
            </w:tcBorders>
            <w:shd w:val="clear" w:color="000000" w:fill="FFFFFF"/>
            <w:vAlign w:val="center"/>
            <w:hideMark/>
          </w:tcPr>
          <w:p w14:paraId="18B58E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Drejtoria e Pergjithshme e Burgjeve </w:t>
            </w:r>
          </w:p>
        </w:tc>
        <w:tc>
          <w:tcPr>
            <w:tcW w:w="0" w:type="auto"/>
            <w:tcBorders>
              <w:top w:val="nil"/>
              <w:left w:val="nil"/>
              <w:bottom w:val="single" w:sz="4" w:space="0" w:color="auto"/>
              <w:right w:val="single" w:sz="4" w:space="0" w:color="auto"/>
            </w:tcBorders>
            <w:shd w:val="clear" w:color="000000" w:fill="FFFFFF"/>
            <w:vAlign w:val="center"/>
            <w:hideMark/>
          </w:tcPr>
          <w:p w14:paraId="082261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Drejtësisë; </w:t>
            </w:r>
          </w:p>
        </w:tc>
        <w:tc>
          <w:tcPr>
            <w:tcW w:w="0" w:type="auto"/>
            <w:tcBorders>
              <w:top w:val="nil"/>
              <w:left w:val="nil"/>
              <w:bottom w:val="single" w:sz="4" w:space="0" w:color="auto"/>
              <w:right w:val="single" w:sz="4" w:space="0" w:color="auto"/>
            </w:tcBorders>
            <w:shd w:val="clear" w:color="000000" w:fill="FFFFFF"/>
            <w:vAlign w:val="center"/>
            <w:hideMark/>
          </w:tcPr>
          <w:p w14:paraId="29F965D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FC576B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56779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8,918,240,000</w:t>
            </w:r>
          </w:p>
        </w:tc>
        <w:tc>
          <w:tcPr>
            <w:tcW w:w="0" w:type="auto"/>
            <w:tcBorders>
              <w:top w:val="nil"/>
              <w:left w:val="nil"/>
              <w:bottom w:val="single" w:sz="4" w:space="0" w:color="auto"/>
              <w:right w:val="single" w:sz="4" w:space="0" w:color="auto"/>
            </w:tcBorders>
            <w:shd w:val="clear" w:color="000000" w:fill="FFFFFF"/>
            <w:vAlign w:val="center"/>
            <w:hideMark/>
          </w:tcPr>
          <w:p w14:paraId="5DA696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418,287,000</w:t>
            </w:r>
          </w:p>
        </w:tc>
        <w:tc>
          <w:tcPr>
            <w:tcW w:w="0" w:type="auto"/>
            <w:tcBorders>
              <w:top w:val="nil"/>
              <w:left w:val="nil"/>
              <w:bottom w:val="single" w:sz="4" w:space="0" w:color="auto"/>
              <w:right w:val="single" w:sz="4" w:space="0" w:color="auto"/>
            </w:tcBorders>
            <w:shd w:val="clear" w:color="000000" w:fill="FFFFFF"/>
            <w:noWrap/>
            <w:vAlign w:val="center"/>
            <w:hideMark/>
          </w:tcPr>
          <w:p w14:paraId="5AEBB0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9,336,527,000</w:t>
            </w:r>
          </w:p>
        </w:tc>
        <w:tc>
          <w:tcPr>
            <w:tcW w:w="0" w:type="auto"/>
            <w:tcBorders>
              <w:top w:val="nil"/>
              <w:left w:val="nil"/>
              <w:bottom w:val="single" w:sz="4" w:space="0" w:color="auto"/>
              <w:right w:val="single" w:sz="4" w:space="0" w:color="auto"/>
            </w:tcBorders>
            <w:shd w:val="clear" w:color="000000" w:fill="FFFFFF"/>
            <w:vAlign w:val="center"/>
            <w:hideMark/>
          </w:tcPr>
          <w:p w14:paraId="1EE912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E7723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9D64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2253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F503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9B3D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8875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18EE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8882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405BE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B77AA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DAB3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91FE9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8,918,240,000</w:t>
            </w:r>
          </w:p>
        </w:tc>
        <w:tc>
          <w:tcPr>
            <w:tcW w:w="0" w:type="auto"/>
            <w:tcBorders>
              <w:top w:val="nil"/>
              <w:left w:val="nil"/>
              <w:bottom w:val="single" w:sz="4" w:space="0" w:color="auto"/>
              <w:right w:val="single" w:sz="4" w:space="0" w:color="auto"/>
            </w:tcBorders>
            <w:shd w:val="clear" w:color="000000" w:fill="FFFFFF"/>
            <w:vAlign w:val="center"/>
            <w:hideMark/>
          </w:tcPr>
          <w:p w14:paraId="185930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418,287,000</w:t>
            </w:r>
          </w:p>
        </w:tc>
        <w:tc>
          <w:tcPr>
            <w:tcW w:w="0" w:type="auto"/>
            <w:tcBorders>
              <w:top w:val="nil"/>
              <w:left w:val="nil"/>
              <w:bottom w:val="single" w:sz="4" w:space="0" w:color="auto"/>
              <w:right w:val="single" w:sz="4" w:space="0" w:color="auto"/>
            </w:tcBorders>
            <w:shd w:val="clear" w:color="000000" w:fill="FFFFFF"/>
            <w:vAlign w:val="center"/>
            <w:hideMark/>
          </w:tcPr>
          <w:p w14:paraId="30A075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9,336,527,000</w:t>
            </w:r>
          </w:p>
        </w:tc>
        <w:tc>
          <w:tcPr>
            <w:tcW w:w="0" w:type="auto"/>
            <w:tcBorders>
              <w:top w:val="nil"/>
              <w:left w:val="nil"/>
              <w:bottom w:val="single" w:sz="4" w:space="0" w:color="auto"/>
              <w:right w:val="single" w:sz="4" w:space="0" w:color="auto"/>
            </w:tcBorders>
            <w:shd w:val="clear" w:color="000000" w:fill="FFFFFF"/>
            <w:noWrap/>
            <w:vAlign w:val="center"/>
            <w:hideMark/>
          </w:tcPr>
          <w:p w14:paraId="16D292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8,918,240,000</w:t>
            </w:r>
          </w:p>
        </w:tc>
        <w:tc>
          <w:tcPr>
            <w:tcW w:w="0" w:type="auto"/>
            <w:tcBorders>
              <w:top w:val="nil"/>
              <w:left w:val="nil"/>
              <w:bottom w:val="single" w:sz="4" w:space="0" w:color="auto"/>
              <w:right w:val="single" w:sz="4" w:space="0" w:color="auto"/>
            </w:tcBorders>
            <w:shd w:val="clear" w:color="000000" w:fill="FFFFFF"/>
            <w:noWrap/>
            <w:vAlign w:val="center"/>
            <w:hideMark/>
          </w:tcPr>
          <w:p w14:paraId="2758AD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418,287,000</w:t>
            </w:r>
          </w:p>
        </w:tc>
        <w:tc>
          <w:tcPr>
            <w:tcW w:w="0" w:type="auto"/>
            <w:tcBorders>
              <w:top w:val="nil"/>
              <w:left w:val="nil"/>
              <w:bottom w:val="single" w:sz="4" w:space="0" w:color="auto"/>
              <w:right w:val="single" w:sz="4" w:space="0" w:color="auto"/>
            </w:tcBorders>
            <w:shd w:val="clear" w:color="000000" w:fill="FFFFFF"/>
            <w:noWrap/>
            <w:vAlign w:val="center"/>
            <w:hideMark/>
          </w:tcPr>
          <w:p w14:paraId="0FFD69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9,336,527,000</w:t>
            </w:r>
          </w:p>
        </w:tc>
        <w:tc>
          <w:tcPr>
            <w:tcW w:w="0" w:type="auto"/>
            <w:tcBorders>
              <w:top w:val="nil"/>
              <w:left w:val="nil"/>
              <w:bottom w:val="single" w:sz="4" w:space="0" w:color="auto"/>
              <w:right w:val="single" w:sz="4" w:space="0" w:color="auto"/>
            </w:tcBorders>
            <w:shd w:val="clear" w:color="000000" w:fill="FFFFFF"/>
            <w:noWrap/>
            <w:vAlign w:val="center"/>
            <w:hideMark/>
          </w:tcPr>
          <w:p w14:paraId="07CC9B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80A0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A195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5E292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01C8E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94951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927F7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D4B34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A8633C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39DCF25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1.2.5</w:t>
            </w:r>
          </w:p>
        </w:tc>
        <w:tc>
          <w:tcPr>
            <w:tcW w:w="0" w:type="auto"/>
            <w:tcBorders>
              <w:top w:val="nil"/>
              <w:left w:val="nil"/>
              <w:bottom w:val="single" w:sz="4" w:space="0" w:color="auto"/>
              <w:right w:val="single" w:sz="4" w:space="0" w:color="auto"/>
            </w:tcBorders>
            <w:shd w:val="clear" w:color="F1F5F9" w:fill="FFFFFF"/>
            <w:vAlign w:val="center"/>
            <w:hideMark/>
          </w:tcPr>
          <w:p w14:paraId="6C495542" w14:textId="0D791278"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Hartimi i analizave dhe studimeve në bashkëpunim ndërmjet Akademisë së Sigurisë, specialistëve të fushës, psikologëve dhe shoqërisë civile, për të analizuar arsyet, shkaqet dhe faktorët kontribuues që çojnë në vrasje, si edhe prezantimi i opinioneve dhe alternative për trajtimin e problematikave </w:t>
            </w:r>
            <w:r w:rsidR="00822D6F" w:rsidRPr="002128A6">
              <w:rPr>
                <w:rFonts w:ascii="Garamond" w:eastAsia="Times New Roman" w:hAnsi="Garamond" w:cs="Times New Roman"/>
                <w:kern w:val="0"/>
                <w:sz w:val="4"/>
                <w:szCs w:val="8"/>
                <w14:ligatures w14:val="none"/>
              </w:rPr>
              <w:t>përkatëse</w:t>
            </w:r>
            <w:r w:rsidRPr="002128A6">
              <w:rPr>
                <w:rFonts w:ascii="Garamond" w:eastAsia="Times New Roman" w:hAnsi="Garamond" w:cs="Times New Roman"/>
                <w:kern w:val="0"/>
                <w:sz w:val="4"/>
                <w:szCs w:val="8"/>
                <w14:ligatures w14:val="none"/>
              </w:rPr>
              <w:t xml:space="preserve">, si edhe luftimi i shkaqeve rrënjësore që çojnë në vrasje. </w:t>
            </w:r>
          </w:p>
        </w:tc>
        <w:tc>
          <w:tcPr>
            <w:tcW w:w="0" w:type="auto"/>
            <w:tcBorders>
              <w:top w:val="nil"/>
              <w:left w:val="nil"/>
              <w:bottom w:val="single" w:sz="4" w:space="0" w:color="auto"/>
              <w:right w:val="single" w:sz="4" w:space="0" w:color="auto"/>
            </w:tcBorders>
            <w:shd w:val="clear" w:color="000000" w:fill="FFFFFF"/>
            <w:noWrap/>
            <w:vAlign w:val="center"/>
            <w:hideMark/>
          </w:tcPr>
          <w:p w14:paraId="5458AF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single" w:sz="4" w:space="0" w:color="auto"/>
            </w:tcBorders>
            <w:shd w:val="clear" w:color="000000" w:fill="FFFFFF"/>
            <w:vAlign w:val="center"/>
            <w:hideMark/>
          </w:tcPr>
          <w:p w14:paraId="69528C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Shtetit/Akademia e Sigurisë</w:t>
            </w:r>
          </w:p>
        </w:tc>
        <w:tc>
          <w:tcPr>
            <w:tcW w:w="0" w:type="auto"/>
            <w:tcBorders>
              <w:top w:val="nil"/>
              <w:left w:val="nil"/>
              <w:bottom w:val="single" w:sz="4" w:space="0" w:color="auto"/>
              <w:right w:val="single" w:sz="4" w:space="0" w:color="auto"/>
            </w:tcBorders>
            <w:shd w:val="clear" w:color="000000" w:fill="FFFFFF"/>
            <w:vAlign w:val="center"/>
            <w:hideMark/>
          </w:tcPr>
          <w:p w14:paraId="1EF489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Prokuroria e Përgjithshme; Ministria e Drejtësisë; Ministria e Shëndetësisë dhe Mirëqenies Sociale; </w:t>
            </w:r>
          </w:p>
        </w:tc>
        <w:tc>
          <w:tcPr>
            <w:tcW w:w="0" w:type="auto"/>
            <w:tcBorders>
              <w:top w:val="nil"/>
              <w:left w:val="nil"/>
              <w:bottom w:val="single" w:sz="4" w:space="0" w:color="auto"/>
              <w:right w:val="single" w:sz="4" w:space="0" w:color="auto"/>
            </w:tcBorders>
            <w:shd w:val="clear" w:color="000000" w:fill="FFFFFF"/>
            <w:vAlign w:val="center"/>
            <w:hideMark/>
          </w:tcPr>
          <w:p w14:paraId="26454EA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4BE84A0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96C6F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8,473,678</w:t>
            </w:r>
          </w:p>
        </w:tc>
        <w:tc>
          <w:tcPr>
            <w:tcW w:w="0" w:type="auto"/>
            <w:tcBorders>
              <w:top w:val="nil"/>
              <w:left w:val="nil"/>
              <w:bottom w:val="single" w:sz="4" w:space="0" w:color="auto"/>
              <w:right w:val="single" w:sz="4" w:space="0" w:color="auto"/>
            </w:tcBorders>
            <w:shd w:val="clear" w:color="000000" w:fill="FFFFFF"/>
            <w:vAlign w:val="center"/>
            <w:hideMark/>
          </w:tcPr>
          <w:p w14:paraId="3FF942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888D5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8,473,678</w:t>
            </w:r>
          </w:p>
        </w:tc>
        <w:tc>
          <w:tcPr>
            <w:tcW w:w="0" w:type="auto"/>
            <w:tcBorders>
              <w:top w:val="nil"/>
              <w:left w:val="nil"/>
              <w:bottom w:val="single" w:sz="4" w:space="0" w:color="auto"/>
              <w:right w:val="single" w:sz="4" w:space="0" w:color="auto"/>
            </w:tcBorders>
            <w:shd w:val="clear" w:color="000000" w:fill="FFFFFF"/>
            <w:noWrap/>
            <w:vAlign w:val="center"/>
            <w:hideMark/>
          </w:tcPr>
          <w:p w14:paraId="147B84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9BE2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446F2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0E082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F462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7F12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EEB77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A5D75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7A92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F56E7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FFC7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9A26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BC6E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8,473,678</w:t>
            </w:r>
          </w:p>
        </w:tc>
        <w:tc>
          <w:tcPr>
            <w:tcW w:w="0" w:type="auto"/>
            <w:tcBorders>
              <w:top w:val="nil"/>
              <w:left w:val="nil"/>
              <w:bottom w:val="single" w:sz="4" w:space="0" w:color="auto"/>
              <w:right w:val="single" w:sz="4" w:space="0" w:color="auto"/>
            </w:tcBorders>
            <w:shd w:val="clear" w:color="000000" w:fill="FFFFFF"/>
            <w:vAlign w:val="center"/>
            <w:hideMark/>
          </w:tcPr>
          <w:p w14:paraId="61F0C1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C2C82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8,473,678</w:t>
            </w:r>
          </w:p>
        </w:tc>
        <w:tc>
          <w:tcPr>
            <w:tcW w:w="0" w:type="auto"/>
            <w:tcBorders>
              <w:top w:val="nil"/>
              <w:left w:val="nil"/>
              <w:bottom w:val="single" w:sz="4" w:space="0" w:color="auto"/>
              <w:right w:val="single" w:sz="4" w:space="0" w:color="auto"/>
            </w:tcBorders>
            <w:shd w:val="clear" w:color="000000" w:fill="FFFFFF"/>
            <w:noWrap/>
            <w:vAlign w:val="center"/>
            <w:hideMark/>
          </w:tcPr>
          <w:p w14:paraId="028F69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8,473,678</w:t>
            </w:r>
          </w:p>
        </w:tc>
        <w:tc>
          <w:tcPr>
            <w:tcW w:w="0" w:type="auto"/>
            <w:tcBorders>
              <w:top w:val="nil"/>
              <w:left w:val="nil"/>
              <w:bottom w:val="single" w:sz="4" w:space="0" w:color="auto"/>
              <w:right w:val="single" w:sz="4" w:space="0" w:color="auto"/>
            </w:tcBorders>
            <w:shd w:val="clear" w:color="000000" w:fill="FFFFFF"/>
            <w:noWrap/>
            <w:vAlign w:val="center"/>
            <w:hideMark/>
          </w:tcPr>
          <w:p w14:paraId="52CFA0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2502D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8,473,678</w:t>
            </w:r>
          </w:p>
        </w:tc>
        <w:tc>
          <w:tcPr>
            <w:tcW w:w="0" w:type="auto"/>
            <w:tcBorders>
              <w:top w:val="nil"/>
              <w:left w:val="nil"/>
              <w:bottom w:val="single" w:sz="4" w:space="0" w:color="auto"/>
              <w:right w:val="single" w:sz="4" w:space="0" w:color="auto"/>
            </w:tcBorders>
            <w:shd w:val="clear" w:color="000000" w:fill="FFFFFF"/>
            <w:noWrap/>
            <w:vAlign w:val="center"/>
            <w:hideMark/>
          </w:tcPr>
          <w:p w14:paraId="58E9A4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4666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D54C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2EB6F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D15D6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9C00CC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7B811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B93A7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DC744B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2CCFAA4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1.2.6</w:t>
            </w:r>
          </w:p>
        </w:tc>
        <w:tc>
          <w:tcPr>
            <w:tcW w:w="0" w:type="auto"/>
            <w:tcBorders>
              <w:top w:val="nil"/>
              <w:left w:val="nil"/>
              <w:bottom w:val="single" w:sz="4" w:space="0" w:color="auto"/>
              <w:right w:val="single" w:sz="4" w:space="0" w:color="auto"/>
            </w:tcBorders>
            <w:shd w:val="clear" w:color="F1F5F9" w:fill="FFFFFF"/>
            <w:vAlign w:val="center"/>
            <w:hideMark/>
          </w:tcPr>
          <w:p w14:paraId="35C479C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Përgatitja dhe zbatimi i programeve të rezistencës komunitare në të paktën 5 zona gjeografike me rrezik të lartë të identifikuara nga të dhënat e autoriteteve ligjzbatuese, që përfshijnë module të përgjegjshme ndaj gjinisë dhe që adresojnë rreziqet e diferencuara.</w:t>
            </w:r>
          </w:p>
        </w:tc>
        <w:tc>
          <w:tcPr>
            <w:tcW w:w="0" w:type="auto"/>
            <w:tcBorders>
              <w:top w:val="nil"/>
              <w:left w:val="nil"/>
              <w:bottom w:val="single" w:sz="4" w:space="0" w:color="auto"/>
              <w:right w:val="single" w:sz="4" w:space="0" w:color="auto"/>
            </w:tcBorders>
            <w:shd w:val="clear" w:color="000000" w:fill="FFFFFF"/>
            <w:noWrap/>
            <w:vAlign w:val="center"/>
            <w:hideMark/>
          </w:tcPr>
          <w:p w14:paraId="4D8097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593418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000000" w:fill="FFFFFF"/>
            <w:vAlign w:val="center"/>
            <w:hideMark/>
          </w:tcPr>
          <w:p w14:paraId="3E9227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7F3464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ADCA56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DC156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350,000</w:t>
            </w:r>
          </w:p>
        </w:tc>
        <w:tc>
          <w:tcPr>
            <w:tcW w:w="0" w:type="auto"/>
            <w:tcBorders>
              <w:top w:val="nil"/>
              <w:left w:val="nil"/>
              <w:bottom w:val="single" w:sz="4" w:space="0" w:color="auto"/>
              <w:right w:val="single" w:sz="4" w:space="0" w:color="auto"/>
            </w:tcBorders>
            <w:shd w:val="clear" w:color="000000" w:fill="FFFFFF"/>
            <w:noWrap/>
            <w:vAlign w:val="center"/>
            <w:hideMark/>
          </w:tcPr>
          <w:p w14:paraId="1D3090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120C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350,000</w:t>
            </w:r>
          </w:p>
        </w:tc>
        <w:tc>
          <w:tcPr>
            <w:tcW w:w="0" w:type="auto"/>
            <w:tcBorders>
              <w:top w:val="nil"/>
              <w:left w:val="nil"/>
              <w:bottom w:val="single" w:sz="4" w:space="0" w:color="auto"/>
              <w:right w:val="single" w:sz="4" w:space="0" w:color="auto"/>
            </w:tcBorders>
            <w:shd w:val="clear" w:color="000000" w:fill="FFFFFF"/>
            <w:vAlign w:val="center"/>
            <w:hideMark/>
          </w:tcPr>
          <w:p w14:paraId="2E7367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350,000</w:t>
            </w:r>
          </w:p>
        </w:tc>
        <w:tc>
          <w:tcPr>
            <w:tcW w:w="0" w:type="auto"/>
            <w:tcBorders>
              <w:top w:val="nil"/>
              <w:left w:val="nil"/>
              <w:bottom w:val="single" w:sz="4" w:space="0" w:color="auto"/>
              <w:right w:val="single" w:sz="4" w:space="0" w:color="auto"/>
            </w:tcBorders>
            <w:shd w:val="clear" w:color="000000" w:fill="FFFFFF"/>
            <w:noWrap/>
            <w:vAlign w:val="center"/>
            <w:hideMark/>
          </w:tcPr>
          <w:p w14:paraId="1C5DF7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E129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350,000</w:t>
            </w:r>
          </w:p>
        </w:tc>
        <w:tc>
          <w:tcPr>
            <w:tcW w:w="0" w:type="auto"/>
            <w:tcBorders>
              <w:top w:val="nil"/>
              <w:left w:val="nil"/>
              <w:bottom w:val="single" w:sz="4" w:space="0" w:color="auto"/>
              <w:right w:val="single" w:sz="4" w:space="0" w:color="auto"/>
            </w:tcBorders>
            <w:shd w:val="clear" w:color="F1F5F9" w:fill="FFFFFF"/>
            <w:noWrap/>
            <w:vAlign w:val="center"/>
            <w:hideMark/>
          </w:tcPr>
          <w:p w14:paraId="6809D7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5CAA8A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159150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02B922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136679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5D5322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5951CE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326005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28B034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0AE090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700,000</w:t>
            </w:r>
          </w:p>
        </w:tc>
        <w:tc>
          <w:tcPr>
            <w:tcW w:w="0" w:type="auto"/>
            <w:tcBorders>
              <w:top w:val="nil"/>
              <w:left w:val="nil"/>
              <w:bottom w:val="single" w:sz="4" w:space="0" w:color="auto"/>
              <w:right w:val="single" w:sz="4" w:space="0" w:color="auto"/>
            </w:tcBorders>
            <w:shd w:val="clear" w:color="F1F5F9" w:fill="FFFFFF"/>
            <w:vAlign w:val="center"/>
            <w:hideMark/>
          </w:tcPr>
          <w:p w14:paraId="640EDA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28F0ED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700,000</w:t>
            </w:r>
          </w:p>
        </w:tc>
        <w:tc>
          <w:tcPr>
            <w:tcW w:w="0" w:type="auto"/>
            <w:tcBorders>
              <w:top w:val="nil"/>
              <w:left w:val="nil"/>
              <w:bottom w:val="single" w:sz="4" w:space="0" w:color="auto"/>
              <w:right w:val="single" w:sz="4" w:space="0" w:color="auto"/>
            </w:tcBorders>
            <w:shd w:val="clear" w:color="F1F5F9" w:fill="FFFFFF"/>
            <w:noWrap/>
            <w:vAlign w:val="center"/>
            <w:hideMark/>
          </w:tcPr>
          <w:p w14:paraId="3DC295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700,000</w:t>
            </w:r>
          </w:p>
        </w:tc>
        <w:tc>
          <w:tcPr>
            <w:tcW w:w="0" w:type="auto"/>
            <w:tcBorders>
              <w:top w:val="nil"/>
              <w:left w:val="nil"/>
              <w:bottom w:val="single" w:sz="4" w:space="0" w:color="auto"/>
              <w:right w:val="single" w:sz="4" w:space="0" w:color="auto"/>
            </w:tcBorders>
            <w:shd w:val="clear" w:color="F1F5F9" w:fill="FFFFFF"/>
            <w:noWrap/>
            <w:vAlign w:val="center"/>
            <w:hideMark/>
          </w:tcPr>
          <w:p w14:paraId="6CDB82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3C1772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700,000</w:t>
            </w:r>
          </w:p>
        </w:tc>
        <w:tc>
          <w:tcPr>
            <w:tcW w:w="0" w:type="auto"/>
            <w:tcBorders>
              <w:top w:val="nil"/>
              <w:left w:val="nil"/>
              <w:bottom w:val="single" w:sz="4" w:space="0" w:color="auto"/>
              <w:right w:val="single" w:sz="4" w:space="0" w:color="auto"/>
            </w:tcBorders>
            <w:shd w:val="clear" w:color="F1F5F9" w:fill="FFFFFF"/>
            <w:noWrap/>
            <w:vAlign w:val="center"/>
            <w:hideMark/>
          </w:tcPr>
          <w:p w14:paraId="6A8F6D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1B6C07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1A621A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40A62D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4232FC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3912312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F1F5F9" w:fill="FFFFFF"/>
            <w:vAlign w:val="center"/>
            <w:hideMark/>
          </w:tcPr>
          <w:p w14:paraId="09F3C9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F1F5F9" w:fill="FFFFFF"/>
            <w:vAlign w:val="center"/>
            <w:hideMark/>
          </w:tcPr>
          <w:p w14:paraId="687BBB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349F0C9"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6110D84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1.2.7</w:t>
            </w:r>
          </w:p>
        </w:tc>
        <w:tc>
          <w:tcPr>
            <w:tcW w:w="0" w:type="auto"/>
            <w:tcBorders>
              <w:top w:val="nil"/>
              <w:left w:val="nil"/>
              <w:bottom w:val="single" w:sz="4" w:space="0" w:color="auto"/>
              <w:right w:val="single" w:sz="4" w:space="0" w:color="auto"/>
            </w:tcBorders>
            <w:shd w:val="clear" w:color="F1F5F9" w:fill="FFFFFF"/>
            <w:vAlign w:val="center"/>
            <w:hideMark/>
          </w:tcPr>
          <w:p w14:paraId="5E46B69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Përgatitja dhe shpërndarja e materialeve parandaluese me ndjeshmëri gjinore dhe programeve të riintegrimit që ofrojnë mbështetje të përshtatur për gratë, burrat dhe të rinjtë.</w:t>
            </w:r>
          </w:p>
        </w:tc>
        <w:tc>
          <w:tcPr>
            <w:tcW w:w="0" w:type="auto"/>
            <w:tcBorders>
              <w:top w:val="nil"/>
              <w:left w:val="nil"/>
              <w:bottom w:val="single" w:sz="4" w:space="0" w:color="auto"/>
              <w:right w:val="single" w:sz="4" w:space="0" w:color="auto"/>
            </w:tcBorders>
            <w:shd w:val="clear" w:color="000000" w:fill="FFFFFF"/>
            <w:noWrap/>
            <w:vAlign w:val="center"/>
            <w:hideMark/>
          </w:tcPr>
          <w:p w14:paraId="59D6EC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253C1F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000000" w:fill="FFFFFF"/>
            <w:vAlign w:val="center"/>
            <w:hideMark/>
          </w:tcPr>
          <w:p w14:paraId="0E9251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E5C551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73A501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31E72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w:t>
            </w:r>
          </w:p>
        </w:tc>
        <w:tc>
          <w:tcPr>
            <w:tcW w:w="0" w:type="auto"/>
            <w:tcBorders>
              <w:top w:val="nil"/>
              <w:left w:val="nil"/>
              <w:bottom w:val="single" w:sz="4" w:space="0" w:color="auto"/>
              <w:right w:val="single" w:sz="4" w:space="0" w:color="auto"/>
            </w:tcBorders>
            <w:shd w:val="clear" w:color="000000" w:fill="FFFFFF"/>
            <w:noWrap/>
            <w:vAlign w:val="center"/>
            <w:hideMark/>
          </w:tcPr>
          <w:p w14:paraId="7226AE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10860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w:t>
            </w:r>
          </w:p>
        </w:tc>
        <w:tc>
          <w:tcPr>
            <w:tcW w:w="0" w:type="auto"/>
            <w:tcBorders>
              <w:top w:val="nil"/>
              <w:left w:val="nil"/>
              <w:bottom w:val="single" w:sz="4" w:space="0" w:color="auto"/>
              <w:right w:val="single" w:sz="4" w:space="0" w:color="auto"/>
            </w:tcBorders>
            <w:shd w:val="clear" w:color="000000" w:fill="FFFFFF"/>
            <w:vAlign w:val="center"/>
            <w:hideMark/>
          </w:tcPr>
          <w:p w14:paraId="497610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w:t>
            </w:r>
          </w:p>
        </w:tc>
        <w:tc>
          <w:tcPr>
            <w:tcW w:w="0" w:type="auto"/>
            <w:tcBorders>
              <w:top w:val="nil"/>
              <w:left w:val="nil"/>
              <w:bottom w:val="single" w:sz="4" w:space="0" w:color="auto"/>
              <w:right w:val="single" w:sz="4" w:space="0" w:color="auto"/>
            </w:tcBorders>
            <w:shd w:val="clear" w:color="000000" w:fill="FFFFFF"/>
            <w:noWrap/>
            <w:vAlign w:val="center"/>
            <w:hideMark/>
          </w:tcPr>
          <w:p w14:paraId="517360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57A3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w:t>
            </w:r>
          </w:p>
        </w:tc>
        <w:tc>
          <w:tcPr>
            <w:tcW w:w="0" w:type="auto"/>
            <w:tcBorders>
              <w:top w:val="nil"/>
              <w:left w:val="nil"/>
              <w:bottom w:val="single" w:sz="4" w:space="0" w:color="auto"/>
              <w:right w:val="single" w:sz="4" w:space="0" w:color="auto"/>
            </w:tcBorders>
            <w:shd w:val="clear" w:color="F1F5F9" w:fill="FFFFFF"/>
            <w:noWrap/>
            <w:vAlign w:val="center"/>
            <w:hideMark/>
          </w:tcPr>
          <w:p w14:paraId="0734AF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0B4026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370AC6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337569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3A541D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480D37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3E194B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6B7A21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476A58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55D0A1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1,100,000</w:t>
            </w:r>
          </w:p>
        </w:tc>
        <w:tc>
          <w:tcPr>
            <w:tcW w:w="0" w:type="auto"/>
            <w:tcBorders>
              <w:top w:val="nil"/>
              <w:left w:val="nil"/>
              <w:bottom w:val="single" w:sz="4" w:space="0" w:color="auto"/>
              <w:right w:val="single" w:sz="4" w:space="0" w:color="auto"/>
            </w:tcBorders>
            <w:shd w:val="clear" w:color="F1F5F9" w:fill="FFFFFF"/>
            <w:vAlign w:val="center"/>
            <w:hideMark/>
          </w:tcPr>
          <w:p w14:paraId="3FD738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3EA03B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1,100,000</w:t>
            </w:r>
          </w:p>
        </w:tc>
        <w:tc>
          <w:tcPr>
            <w:tcW w:w="0" w:type="auto"/>
            <w:tcBorders>
              <w:top w:val="nil"/>
              <w:left w:val="nil"/>
              <w:bottom w:val="single" w:sz="4" w:space="0" w:color="auto"/>
              <w:right w:val="single" w:sz="4" w:space="0" w:color="auto"/>
            </w:tcBorders>
            <w:shd w:val="clear" w:color="F1F5F9" w:fill="FFFFFF"/>
            <w:noWrap/>
            <w:vAlign w:val="center"/>
            <w:hideMark/>
          </w:tcPr>
          <w:p w14:paraId="242600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1,100,000</w:t>
            </w:r>
          </w:p>
        </w:tc>
        <w:tc>
          <w:tcPr>
            <w:tcW w:w="0" w:type="auto"/>
            <w:tcBorders>
              <w:top w:val="nil"/>
              <w:left w:val="nil"/>
              <w:bottom w:val="single" w:sz="4" w:space="0" w:color="auto"/>
              <w:right w:val="single" w:sz="4" w:space="0" w:color="auto"/>
            </w:tcBorders>
            <w:shd w:val="clear" w:color="F1F5F9" w:fill="FFFFFF"/>
            <w:noWrap/>
            <w:vAlign w:val="center"/>
            <w:hideMark/>
          </w:tcPr>
          <w:p w14:paraId="60E85F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4DB107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1,100,000</w:t>
            </w:r>
          </w:p>
        </w:tc>
        <w:tc>
          <w:tcPr>
            <w:tcW w:w="0" w:type="auto"/>
            <w:tcBorders>
              <w:top w:val="nil"/>
              <w:left w:val="nil"/>
              <w:bottom w:val="single" w:sz="4" w:space="0" w:color="auto"/>
              <w:right w:val="single" w:sz="4" w:space="0" w:color="auto"/>
            </w:tcBorders>
            <w:shd w:val="clear" w:color="F1F5F9" w:fill="FFFFFF"/>
            <w:noWrap/>
            <w:vAlign w:val="center"/>
            <w:hideMark/>
          </w:tcPr>
          <w:p w14:paraId="1B75ED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1633CD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noWrap/>
            <w:vAlign w:val="center"/>
            <w:hideMark/>
          </w:tcPr>
          <w:p w14:paraId="5C5C65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5FA716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280CDE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F1F5F9" w:fill="FFFFFF"/>
            <w:vAlign w:val="center"/>
            <w:hideMark/>
          </w:tcPr>
          <w:p w14:paraId="10CB501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F1F5F9" w:fill="FFFFFF"/>
            <w:vAlign w:val="center"/>
            <w:hideMark/>
          </w:tcPr>
          <w:p w14:paraId="62CD17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F1F5F9" w:fill="FFFFFF"/>
            <w:vAlign w:val="center"/>
            <w:hideMark/>
          </w:tcPr>
          <w:p w14:paraId="710BF8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00B14B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0C3DC7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92CB33C" w14:textId="31D209AD"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1.2</w:t>
            </w:r>
          </w:p>
        </w:tc>
        <w:tc>
          <w:tcPr>
            <w:tcW w:w="0" w:type="auto"/>
            <w:tcBorders>
              <w:top w:val="nil"/>
              <w:left w:val="nil"/>
              <w:bottom w:val="single" w:sz="4" w:space="0" w:color="auto"/>
              <w:right w:val="single" w:sz="4" w:space="0" w:color="auto"/>
            </w:tcBorders>
            <w:shd w:val="clear" w:color="000000" w:fill="5B9BD5"/>
            <w:vAlign w:val="center"/>
            <w:hideMark/>
          </w:tcPr>
          <w:p w14:paraId="02E4C53D"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D6F70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574478E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8DFCF0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D16ECF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38E292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8,930,412,273</w:t>
            </w:r>
          </w:p>
        </w:tc>
        <w:tc>
          <w:tcPr>
            <w:tcW w:w="0" w:type="auto"/>
            <w:tcBorders>
              <w:top w:val="nil"/>
              <w:left w:val="nil"/>
              <w:bottom w:val="single" w:sz="4" w:space="0" w:color="auto"/>
              <w:right w:val="single" w:sz="4" w:space="0" w:color="auto"/>
            </w:tcBorders>
            <w:shd w:val="clear" w:color="000000" w:fill="5B9BD5"/>
            <w:vAlign w:val="center"/>
            <w:hideMark/>
          </w:tcPr>
          <w:p w14:paraId="6FCCCFE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620,287,000</w:t>
            </w:r>
          </w:p>
        </w:tc>
        <w:tc>
          <w:tcPr>
            <w:tcW w:w="0" w:type="auto"/>
            <w:tcBorders>
              <w:top w:val="nil"/>
              <w:left w:val="nil"/>
              <w:bottom w:val="single" w:sz="4" w:space="0" w:color="auto"/>
              <w:right w:val="single" w:sz="4" w:space="0" w:color="auto"/>
            </w:tcBorders>
            <w:shd w:val="clear" w:color="000000" w:fill="5B9BD5"/>
            <w:vAlign w:val="center"/>
            <w:hideMark/>
          </w:tcPr>
          <w:p w14:paraId="1F51710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9,550,699,273</w:t>
            </w:r>
          </w:p>
        </w:tc>
        <w:tc>
          <w:tcPr>
            <w:tcW w:w="0" w:type="auto"/>
            <w:tcBorders>
              <w:top w:val="nil"/>
              <w:left w:val="nil"/>
              <w:bottom w:val="single" w:sz="4" w:space="0" w:color="auto"/>
              <w:right w:val="single" w:sz="4" w:space="0" w:color="auto"/>
            </w:tcBorders>
            <w:shd w:val="clear" w:color="000000" w:fill="5B9BD5"/>
            <w:vAlign w:val="center"/>
            <w:hideMark/>
          </w:tcPr>
          <w:p w14:paraId="1269900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3,698,595</w:t>
            </w:r>
          </w:p>
        </w:tc>
        <w:tc>
          <w:tcPr>
            <w:tcW w:w="0" w:type="auto"/>
            <w:tcBorders>
              <w:top w:val="nil"/>
              <w:left w:val="nil"/>
              <w:bottom w:val="single" w:sz="4" w:space="0" w:color="auto"/>
              <w:right w:val="single" w:sz="4" w:space="0" w:color="auto"/>
            </w:tcBorders>
            <w:shd w:val="clear" w:color="000000" w:fill="5B9BD5"/>
            <w:vAlign w:val="center"/>
            <w:hideMark/>
          </w:tcPr>
          <w:p w14:paraId="76C733C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202,000,000</w:t>
            </w:r>
          </w:p>
        </w:tc>
        <w:tc>
          <w:tcPr>
            <w:tcW w:w="0" w:type="auto"/>
            <w:tcBorders>
              <w:top w:val="nil"/>
              <w:left w:val="nil"/>
              <w:bottom w:val="single" w:sz="4" w:space="0" w:color="auto"/>
              <w:right w:val="single" w:sz="4" w:space="0" w:color="auto"/>
            </w:tcBorders>
            <w:shd w:val="clear" w:color="000000" w:fill="5B9BD5"/>
            <w:vAlign w:val="center"/>
            <w:hideMark/>
          </w:tcPr>
          <w:p w14:paraId="531983C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205,698,595</w:t>
            </w:r>
          </w:p>
        </w:tc>
        <w:tc>
          <w:tcPr>
            <w:tcW w:w="0" w:type="auto"/>
            <w:tcBorders>
              <w:top w:val="nil"/>
              <w:left w:val="nil"/>
              <w:bottom w:val="single" w:sz="4" w:space="0" w:color="auto"/>
              <w:right w:val="single" w:sz="4" w:space="0" w:color="auto"/>
            </w:tcBorders>
            <w:shd w:val="clear" w:color="000000" w:fill="5B9BD5"/>
            <w:vAlign w:val="center"/>
            <w:hideMark/>
          </w:tcPr>
          <w:p w14:paraId="14E21FB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5B9BD5"/>
            <w:vAlign w:val="center"/>
            <w:hideMark/>
          </w:tcPr>
          <w:p w14:paraId="41E7C44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202,000,000</w:t>
            </w:r>
          </w:p>
        </w:tc>
        <w:tc>
          <w:tcPr>
            <w:tcW w:w="0" w:type="auto"/>
            <w:tcBorders>
              <w:top w:val="nil"/>
              <w:left w:val="nil"/>
              <w:bottom w:val="single" w:sz="4" w:space="0" w:color="auto"/>
              <w:right w:val="single" w:sz="4" w:space="0" w:color="auto"/>
            </w:tcBorders>
            <w:shd w:val="clear" w:color="000000" w:fill="5B9BD5"/>
            <w:vAlign w:val="center"/>
            <w:hideMark/>
          </w:tcPr>
          <w:p w14:paraId="73621AA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204,798,595</w:t>
            </w:r>
          </w:p>
        </w:tc>
        <w:tc>
          <w:tcPr>
            <w:tcW w:w="0" w:type="auto"/>
            <w:tcBorders>
              <w:top w:val="nil"/>
              <w:left w:val="nil"/>
              <w:bottom w:val="single" w:sz="4" w:space="0" w:color="auto"/>
              <w:right w:val="single" w:sz="4" w:space="0" w:color="auto"/>
            </w:tcBorders>
            <w:shd w:val="clear" w:color="000000" w:fill="5B9BD5"/>
            <w:vAlign w:val="center"/>
            <w:hideMark/>
          </w:tcPr>
          <w:p w14:paraId="15A6703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5B9BD5"/>
            <w:vAlign w:val="center"/>
            <w:hideMark/>
          </w:tcPr>
          <w:p w14:paraId="2D2B89C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A51800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5B9BD5"/>
            <w:vAlign w:val="center"/>
            <w:hideMark/>
          </w:tcPr>
          <w:p w14:paraId="23A9FD4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5B9BD5"/>
            <w:vAlign w:val="center"/>
            <w:hideMark/>
          </w:tcPr>
          <w:p w14:paraId="4B66CAE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182397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2,798,595</w:t>
            </w:r>
          </w:p>
        </w:tc>
        <w:tc>
          <w:tcPr>
            <w:tcW w:w="0" w:type="auto"/>
            <w:tcBorders>
              <w:top w:val="nil"/>
              <w:left w:val="nil"/>
              <w:bottom w:val="single" w:sz="4" w:space="0" w:color="auto"/>
              <w:right w:val="single" w:sz="4" w:space="0" w:color="auto"/>
            </w:tcBorders>
            <w:shd w:val="clear" w:color="000000" w:fill="5B9BD5"/>
            <w:vAlign w:val="center"/>
            <w:hideMark/>
          </w:tcPr>
          <w:p w14:paraId="3BE42DC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8,942,506,653</w:t>
            </w:r>
          </w:p>
        </w:tc>
        <w:tc>
          <w:tcPr>
            <w:tcW w:w="0" w:type="auto"/>
            <w:tcBorders>
              <w:top w:val="nil"/>
              <w:left w:val="nil"/>
              <w:bottom w:val="single" w:sz="4" w:space="0" w:color="auto"/>
              <w:right w:val="single" w:sz="4" w:space="0" w:color="auto"/>
            </w:tcBorders>
            <w:shd w:val="clear" w:color="000000" w:fill="5B9BD5"/>
            <w:vAlign w:val="center"/>
            <w:hideMark/>
          </w:tcPr>
          <w:p w14:paraId="3BBCFC1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1,024,287,000</w:t>
            </w:r>
          </w:p>
        </w:tc>
        <w:tc>
          <w:tcPr>
            <w:tcW w:w="0" w:type="auto"/>
            <w:tcBorders>
              <w:top w:val="nil"/>
              <w:left w:val="nil"/>
              <w:bottom w:val="single" w:sz="4" w:space="0" w:color="auto"/>
              <w:right w:val="single" w:sz="4" w:space="0" w:color="auto"/>
            </w:tcBorders>
            <w:shd w:val="clear" w:color="000000" w:fill="5B9BD5"/>
            <w:vAlign w:val="center"/>
            <w:hideMark/>
          </w:tcPr>
          <w:p w14:paraId="5C1EEAA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9,966,793,653</w:t>
            </w:r>
          </w:p>
        </w:tc>
        <w:tc>
          <w:tcPr>
            <w:tcW w:w="0" w:type="auto"/>
            <w:tcBorders>
              <w:top w:val="nil"/>
              <w:left w:val="nil"/>
              <w:bottom w:val="single" w:sz="4" w:space="0" w:color="auto"/>
              <w:right w:val="single" w:sz="4" w:space="0" w:color="auto"/>
            </w:tcBorders>
            <w:shd w:val="clear" w:color="000000" w:fill="5B9BD5"/>
            <w:vAlign w:val="center"/>
            <w:hideMark/>
          </w:tcPr>
          <w:p w14:paraId="291DA1C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8,936,909,463</w:t>
            </w:r>
          </w:p>
        </w:tc>
        <w:tc>
          <w:tcPr>
            <w:tcW w:w="0" w:type="auto"/>
            <w:tcBorders>
              <w:top w:val="nil"/>
              <w:left w:val="nil"/>
              <w:bottom w:val="single" w:sz="4" w:space="0" w:color="auto"/>
              <w:right w:val="single" w:sz="4" w:space="0" w:color="auto"/>
            </w:tcBorders>
            <w:shd w:val="clear" w:color="000000" w:fill="5B9BD5"/>
            <w:vAlign w:val="center"/>
            <w:hideMark/>
          </w:tcPr>
          <w:p w14:paraId="70D4FCB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1,018,287,000</w:t>
            </w:r>
          </w:p>
        </w:tc>
        <w:tc>
          <w:tcPr>
            <w:tcW w:w="0" w:type="auto"/>
            <w:tcBorders>
              <w:top w:val="nil"/>
              <w:left w:val="nil"/>
              <w:bottom w:val="single" w:sz="4" w:space="0" w:color="auto"/>
              <w:right w:val="single" w:sz="4" w:space="0" w:color="auto"/>
            </w:tcBorders>
            <w:shd w:val="clear" w:color="000000" w:fill="5B9BD5"/>
            <w:vAlign w:val="center"/>
            <w:hideMark/>
          </w:tcPr>
          <w:p w14:paraId="35F061C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9,955,196,463</w:t>
            </w:r>
          </w:p>
        </w:tc>
        <w:tc>
          <w:tcPr>
            <w:tcW w:w="0" w:type="auto"/>
            <w:tcBorders>
              <w:top w:val="nil"/>
              <w:left w:val="nil"/>
              <w:bottom w:val="single" w:sz="4" w:space="0" w:color="auto"/>
              <w:right w:val="single" w:sz="4" w:space="0" w:color="auto"/>
            </w:tcBorders>
            <w:shd w:val="clear" w:color="000000" w:fill="5B9BD5"/>
            <w:vAlign w:val="center"/>
            <w:hideMark/>
          </w:tcPr>
          <w:p w14:paraId="61E50D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5,597,190</w:t>
            </w:r>
          </w:p>
        </w:tc>
        <w:tc>
          <w:tcPr>
            <w:tcW w:w="0" w:type="auto"/>
            <w:tcBorders>
              <w:top w:val="nil"/>
              <w:left w:val="nil"/>
              <w:bottom w:val="single" w:sz="4" w:space="0" w:color="auto"/>
              <w:right w:val="single" w:sz="4" w:space="0" w:color="auto"/>
            </w:tcBorders>
            <w:shd w:val="clear" w:color="000000" w:fill="5B9BD5"/>
            <w:vAlign w:val="center"/>
            <w:hideMark/>
          </w:tcPr>
          <w:p w14:paraId="2B55159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A2B2F4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5,597,190</w:t>
            </w:r>
          </w:p>
        </w:tc>
        <w:tc>
          <w:tcPr>
            <w:tcW w:w="0" w:type="auto"/>
            <w:tcBorders>
              <w:top w:val="nil"/>
              <w:left w:val="nil"/>
              <w:bottom w:val="single" w:sz="4" w:space="0" w:color="auto"/>
              <w:right w:val="single" w:sz="4" w:space="0" w:color="auto"/>
            </w:tcBorders>
            <w:shd w:val="clear" w:color="000000" w:fill="5B9BD5"/>
            <w:vAlign w:val="center"/>
            <w:hideMark/>
          </w:tcPr>
          <w:p w14:paraId="65C1B1A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2CA0F7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6,000,000</w:t>
            </w:r>
          </w:p>
        </w:tc>
        <w:tc>
          <w:tcPr>
            <w:tcW w:w="0" w:type="auto"/>
            <w:tcBorders>
              <w:top w:val="nil"/>
              <w:left w:val="nil"/>
              <w:bottom w:val="single" w:sz="4" w:space="0" w:color="auto"/>
              <w:right w:val="single" w:sz="4" w:space="0" w:color="auto"/>
            </w:tcBorders>
            <w:shd w:val="clear" w:color="000000" w:fill="5B9BD5"/>
            <w:vAlign w:val="center"/>
            <w:hideMark/>
          </w:tcPr>
          <w:p w14:paraId="2CC11FD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7EFC8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6,000,000</w:t>
            </w:r>
          </w:p>
        </w:tc>
        <w:tc>
          <w:tcPr>
            <w:tcW w:w="0" w:type="auto"/>
            <w:tcBorders>
              <w:top w:val="nil"/>
              <w:left w:val="nil"/>
              <w:bottom w:val="single" w:sz="4" w:space="0" w:color="auto"/>
              <w:right w:val="single" w:sz="4" w:space="0" w:color="auto"/>
            </w:tcBorders>
            <w:shd w:val="clear" w:color="000000" w:fill="5B9BD5"/>
            <w:vAlign w:val="center"/>
            <w:hideMark/>
          </w:tcPr>
          <w:p w14:paraId="14DF92B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0075851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7F73EBC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w:t>
            </w:r>
          </w:p>
        </w:tc>
        <w:tc>
          <w:tcPr>
            <w:tcW w:w="0" w:type="auto"/>
            <w:tcBorders>
              <w:top w:val="nil"/>
              <w:left w:val="nil"/>
              <w:bottom w:val="single" w:sz="4" w:space="0" w:color="auto"/>
              <w:right w:val="nil"/>
            </w:tcBorders>
            <w:shd w:val="clear" w:color="000000" w:fill="FCE4D6"/>
            <w:hideMark/>
          </w:tcPr>
          <w:p w14:paraId="1D29472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Forcimi i sigurisë dhe i mbrojtjes së individëve me rrezik, përfshirë dëshmitarët, bashkëpunëtorët e drejtësisë, përmes standardeve të mbrojtjes të harmonizuara me ato të BE-së</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39B616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AF5B6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F79F5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4D2F20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B9B938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A77FA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7C9A4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DBC78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275BD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9E39F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C7284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04E05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C449E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F76B2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7AA78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D1E9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CFCD3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A3891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74412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98224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0B1AA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AF57B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684C2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E1440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9F138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61B20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9C626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1BBED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18B59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9E4E6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D7BE5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51A335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92F75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7CC72F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4B4EA027"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5032A82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1.3.1</w:t>
            </w:r>
          </w:p>
        </w:tc>
        <w:tc>
          <w:tcPr>
            <w:tcW w:w="0" w:type="auto"/>
            <w:tcBorders>
              <w:top w:val="nil"/>
              <w:left w:val="nil"/>
              <w:bottom w:val="single" w:sz="4" w:space="0" w:color="auto"/>
              <w:right w:val="single" w:sz="4" w:space="0" w:color="auto"/>
            </w:tcBorders>
            <w:shd w:val="clear" w:color="auto" w:fill="auto"/>
            <w:vAlign w:val="center"/>
            <w:hideMark/>
          </w:tcPr>
          <w:p w14:paraId="42697500"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Garantimi i jetës dhe sigurisë fizike të dëshmitarëve, bashkëpunëtorëve të drejtësisë, viktimave të trafikimit dhe zyrtarëve të ngarkuar me luftimin e krimit të organizuar.</w:t>
            </w:r>
          </w:p>
        </w:tc>
        <w:tc>
          <w:tcPr>
            <w:tcW w:w="0" w:type="auto"/>
            <w:tcBorders>
              <w:top w:val="nil"/>
              <w:left w:val="nil"/>
              <w:bottom w:val="single" w:sz="4" w:space="0" w:color="auto"/>
              <w:right w:val="single" w:sz="4" w:space="0" w:color="auto"/>
            </w:tcBorders>
            <w:shd w:val="clear" w:color="000000" w:fill="FFFFFF"/>
            <w:vAlign w:val="center"/>
            <w:hideMark/>
          </w:tcPr>
          <w:p w14:paraId="62BA4781" w14:textId="2535ACF9" w:rsidR="00DB1B67" w:rsidRPr="002128A6" w:rsidRDefault="00F54824"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w:t>
            </w:r>
            <w:r w:rsidR="00DB1B67" w:rsidRPr="002128A6">
              <w:rPr>
                <w:rFonts w:ascii="Garamond" w:eastAsia="Times New Roman" w:hAnsi="Garamond" w:cs="Times New Roman"/>
                <w:kern w:val="0"/>
                <w:sz w:val="4"/>
                <w:szCs w:val="8"/>
                <w14:ligatures w14:val="none"/>
              </w:rPr>
              <w:t>91604AD</w:t>
            </w:r>
          </w:p>
        </w:tc>
        <w:tc>
          <w:tcPr>
            <w:tcW w:w="0" w:type="auto"/>
            <w:tcBorders>
              <w:top w:val="nil"/>
              <w:left w:val="nil"/>
              <w:bottom w:val="single" w:sz="4" w:space="0" w:color="auto"/>
              <w:right w:val="single" w:sz="4" w:space="0" w:color="auto"/>
            </w:tcBorders>
            <w:shd w:val="clear" w:color="auto" w:fill="auto"/>
            <w:vAlign w:val="center"/>
            <w:hideMark/>
          </w:tcPr>
          <w:p w14:paraId="1F561D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45A8E2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7B15257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754BEC0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vAlign w:val="center"/>
            <w:hideMark/>
          </w:tcPr>
          <w:p w14:paraId="7CAA84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auto" w:fill="auto"/>
            <w:vAlign w:val="center"/>
            <w:hideMark/>
          </w:tcPr>
          <w:p w14:paraId="34A0CF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83EFD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auto" w:fill="auto"/>
            <w:vAlign w:val="center"/>
            <w:hideMark/>
          </w:tcPr>
          <w:p w14:paraId="43984F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19,835,000</w:t>
            </w:r>
          </w:p>
        </w:tc>
        <w:tc>
          <w:tcPr>
            <w:tcW w:w="0" w:type="auto"/>
            <w:tcBorders>
              <w:top w:val="nil"/>
              <w:left w:val="nil"/>
              <w:bottom w:val="single" w:sz="4" w:space="0" w:color="auto"/>
              <w:right w:val="single" w:sz="4" w:space="0" w:color="auto"/>
            </w:tcBorders>
            <w:shd w:val="clear" w:color="auto" w:fill="auto"/>
            <w:vAlign w:val="center"/>
            <w:hideMark/>
          </w:tcPr>
          <w:p w14:paraId="4538D6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308858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19,835,000</w:t>
            </w:r>
          </w:p>
        </w:tc>
        <w:tc>
          <w:tcPr>
            <w:tcW w:w="0" w:type="auto"/>
            <w:tcBorders>
              <w:top w:val="nil"/>
              <w:left w:val="nil"/>
              <w:bottom w:val="single" w:sz="4" w:space="0" w:color="auto"/>
              <w:right w:val="single" w:sz="4" w:space="0" w:color="auto"/>
            </w:tcBorders>
            <w:shd w:val="clear" w:color="auto" w:fill="auto"/>
            <w:vAlign w:val="center"/>
            <w:hideMark/>
          </w:tcPr>
          <w:p w14:paraId="79C7DF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22,000,000</w:t>
            </w:r>
          </w:p>
        </w:tc>
        <w:tc>
          <w:tcPr>
            <w:tcW w:w="0" w:type="auto"/>
            <w:tcBorders>
              <w:top w:val="nil"/>
              <w:left w:val="nil"/>
              <w:bottom w:val="single" w:sz="4" w:space="0" w:color="auto"/>
              <w:right w:val="single" w:sz="4" w:space="0" w:color="auto"/>
            </w:tcBorders>
            <w:shd w:val="clear" w:color="auto" w:fill="auto"/>
            <w:vAlign w:val="center"/>
            <w:hideMark/>
          </w:tcPr>
          <w:p w14:paraId="03E935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4B326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22,000,000</w:t>
            </w:r>
          </w:p>
        </w:tc>
        <w:tc>
          <w:tcPr>
            <w:tcW w:w="0" w:type="auto"/>
            <w:tcBorders>
              <w:top w:val="nil"/>
              <w:left w:val="nil"/>
              <w:bottom w:val="single" w:sz="4" w:space="0" w:color="auto"/>
              <w:right w:val="single" w:sz="4" w:space="0" w:color="auto"/>
            </w:tcBorders>
            <w:shd w:val="clear" w:color="auto" w:fill="auto"/>
            <w:vAlign w:val="center"/>
            <w:hideMark/>
          </w:tcPr>
          <w:p w14:paraId="07D54A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C89D8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6F5065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50F9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F8315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32D14A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224E0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56,835,000</w:t>
            </w:r>
          </w:p>
        </w:tc>
        <w:tc>
          <w:tcPr>
            <w:tcW w:w="0" w:type="auto"/>
            <w:tcBorders>
              <w:top w:val="nil"/>
              <w:left w:val="nil"/>
              <w:bottom w:val="single" w:sz="4" w:space="0" w:color="auto"/>
              <w:right w:val="single" w:sz="4" w:space="0" w:color="auto"/>
            </w:tcBorders>
            <w:shd w:val="clear" w:color="000000" w:fill="FFFFFF"/>
            <w:vAlign w:val="center"/>
            <w:hideMark/>
          </w:tcPr>
          <w:p w14:paraId="7BBED4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F2BD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56,835,000</w:t>
            </w:r>
          </w:p>
        </w:tc>
        <w:tc>
          <w:tcPr>
            <w:tcW w:w="0" w:type="auto"/>
            <w:tcBorders>
              <w:top w:val="nil"/>
              <w:left w:val="nil"/>
              <w:bottom w:val="single" w:sz="4" w:space="0" w:color="auto"/>
              <w:right w:val="single" w:sz="4" w:space="0" w:color="auto"/>
            </w:tcBorders>
            <w:shd w:val="clear" w:color="000000" w:fill="FFFFFF"/>
            <w:noWrap/>
            <w:vAlign w:val="center"/>
            <w:hideMark/>
          </w:tcPr>
          <w:p w14:paraId="155250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56,835,000</w:t>
            </w:r>
          </w:p>
        </w:tc>
        <w:tc>
          <w:tcPr>
            <w:tcW w:w="0" w:type="auto"/>
            <w:tcBorders>
              <w:top w:val="nil"/>
              <w:left w:val="nil"/>
              <w:bottom w:val="single" w:sz="4" w:space="0" w:color="auto"/>
              <w:right w:val="single" w:sz="4" w:space="0" w:color="auto"/>
            </w:tcBorders>
            <w:shd w:val="clear" w:color="000000" w:fill="FFFFFF"/>
            <w:noWrap/>
            <w:vAlign w:val="center"/>
            <w:hideMark/>
          </w:tcPr>
          <w:p w14:paraId="11F991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41D1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56,835,000</w:t>
            </w:r>
          </w:p>
        </w:tc>
        <w:tc>
          <w:tcPr>
            <w:tcW w:w="0" w:type="auto"/>
            <w:tcBorders>
              <w:top w:val="nil"/>
              <w:left w:val="nil"/>
              <w:bottom w:val="single" w:sz="4" w:space="0" w:color="auto"/>
              <w:right w:val="single" w:sz="4" w:space="0" w:color="auto"/>
            </w:tcBorders>
            <w:shd w:val="clear" w:color="000000" w:fill="FFFFFF"/>
            <w:noWrap/>
            <w:vAlign w:val="center"/>
            <w:hideMark/>
          </w:tcPr>
          <w:p w14:paraId="2E0AD5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0B9DA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F087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A87A6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0FB2C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E41F4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0918E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B0D60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46D257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4486E3B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1.3.2</w:t>
            </w:r>
          </w:p>
        </w:tc>
        <w:tc>
          <w:tcPr>
            <w:tcW w:w="0" w:type="auto"/>
            <w:tcBorders>
              <w:top w:val="nil"/>
              <w:left w:val="nil"/>
              <w:bottom w:val="single" w:sz="4" w:space="0" w:color="auto"/>
              <w:right w:val="single" w:sz="4" w:space="0" w:color="auto"/>
            </w:tcBorders>
            <w:shd w:val="clear" w:color="auto" w:fill="auto"/>
            <w:vAlign w:val="center"/>
            <w:hideMark/>
          </w:tcPr>
          <w:p w14:paraId="05DBCE83"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Nënshkrimi i marrëveshjeve me njësitë homologe për rialokimin jashtë të programeve të mbrojtjes me qëllim përforcimin e mekanizmave të sigurimit të jetës së bashkëpunëtorëve dhe dëshmitarëve të drejtësisë.</w:t>
            </w:r>
          </w:p>
        </w:tc>
        <w:tc>
          <w:tcPr>
            <w:tcW w:w="0" w:type="auto"/>
            <w:tcBorders>
              <w:top w:val="nil"/>
              <w:left w:val="nil"/>
              <w:bottom w:val="single" w:sz="4" w:space="0" w:color="auto"/>
              <w:right w:val="single" w:sz="4" w:space="0" w:color="auto"/>
            </w:tcBorders>
            <w:shd w:val="clear" w:color="000000" w:fill="FFFFFF"/>
            <w:vAlign w:val="center"/>
            <w:hideMark/>
          </w:tcPr>
          <w:p w14:paraId="5C8E2C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auto" w:fill="auto"/>
            <w:vAlign w:val="center"/>
            <w:hideMark/>
          </w:tcPr>
          <w:p w14:paraId="555ED9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32CF41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5410300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0C0E56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1D24D8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6,130,000</w:t>
            </w:r>
          </w:p>
        </w:tc>
        <w:tc>
          <w:tcPr>
            <w:tcW w:w="0" w:type="auto"/>
            <w:tcBorders>
              <w:top w:val="nil"/>
              <w:left w:val="nil"/>
              <w:bottom w:val="single" w:sz="4" w:space="0" w:color="auto"/>
              <w:right w:val="single" w:sz="4" w:space="0" w:color="auto"/>
            </w:tcBorders>
            <w:shd w:val="clear" w:color="auto" w:fill="auto"/>
            <w:vAlign w:val="center"/>
            <w:hideMark/>
          </w:tcPr>
          <w:p w14:paraId="298ED0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66EBD7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6,130,000</w:t>
            </w:r>
          </w:p>
        </w:tc>
        <w:tc>
          <w:tcPr>
            <w:tcW w:w="0" w:type="auto"/>
            <w:tcBorders>
              <w:top w:val="nil"/>
              <w:left w:val="nil"/>
              <w:bottom w:val="single" w:sz="4" w:space="0" w:color="auto"/>
              <w:right w:val="single" w:sz="4" w:space="0" w:color="auto"/>
            </w:tcBorders>
            <w:shd w:val="clear" w:color="auto" w:fill="auto"/>
            <w:vAlign w:val="center"/>
            <w:hideMark/>
          </w:tcPr>
          <w:p w14:paraId="00C5A3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6,200,000</w:t>
            </w:r>
          </w:p>
        </w:tc>
        <w:tc>
          <w:tcPr>
            <w:tcW w:w="0" w:type="auto"/>
            <w:tcBorders>
              <w:top w:val="nil"/>
              <w:left w:val="nil"/>
              <w:bottom w:val="single" w:sz="4" w:space="0" w:color="auto"/>
              <w:right w:val="single" w:sz="4" w:space="0" w:color="auto"/>
            </w:tcBorders>
            <w:shd w:val="clear" w:color="auto" w:fill="auto"/>
            <w:vAlign w:val="center"/>
            <w:hideMark/>
          </w:tcPr>
          <w:p w14:paraId="390D6B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52EFC8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6,200,000</w:t>
            </w:r>
          </w:p>
        </w:tc>
        <w:tc>
          <w:tcPr>
            <w:tcW w:w="0" w:type="auto"/>
            <w:tcBorders>
              <w:top w:val="nil"/>
              <w:left w:val="nil"/>
              <w:bottom w:val="single" w:sz="4" w:space="0" w:color="auto"/>
              <w:right w:val="single" w:sz="4" w:space="0" w:color="auto"/>
            </w:tcBorders>
            <w:shd w:val="clear" w:color="auto" w:fill="auto"/>
            <w:vAlign w:val="center"/>
            <w:hideMark/>
          </w:tcPr>
          <w:p w14:paraId="53FD7C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7,000,000</w:t>
            </w:r>
          </w:p>
        </w:tc>
        <w:tc>
          <w:tcPr>
            <w:tcW w:w="0" w:type="auto"/>
            <w:tcBorders>
              <w:top w:val="nil"/>
              <w:left w:val="nil"/>
              <w:bottom w:val="single" w:sz="4" w:space="0" w:color="auto"/>
              <w:right w:val="single" w:sz="4" w:space="0" w:color="auto"/>
            </w:tcBorders>
            <w:shd w:val="clear" w:color="auto" w:fill="auto"/>
            <w:vAlign w:val="center"/>
            <w:hideMark/>
          </w:tcPr>
          <w:p w14:paraId="3E92B3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D0B82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7,000,000</w:t>
            </w:r>
          </w:p>
        </w:tc>
        <w:tc>
          <w:tcPr>
            <w:tcW w:w="0" w:type="auto"/>
            <w:tcBorders>
              <w:top w:val="nil"/>
              <w:left w:val="nil"/>
              <w:bottom w:val="single" w:sz="4" w:space="0" w:color="auto"/>
              <w:right w:val="single" w:sz="4" w:space="0" w:color="auto"/>
            </w:tcBorders>
            <w:shd w:val="clear" w:color="auto" w:fill="auto"/>
            <w:vAlign w:val="center"/>
            <w:hideMark/>
          </w:tcPr>
          <w:p w14:paraId="5D8DBE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1C2EF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4E7529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FD3E0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E4CC0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6194C0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2AD45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19,330,000</w:t>
            </w:r>
          </w:p>
        </w:tc>
        <w:tc>
          <w:tcPr>
            <w:tcW w:w="0" w:type="auto"/>
            <w:tcBorders>
              <w:top w:val="nil"/>
              <w:left w:val="nil"/>
              <w:bottom w:val="single" w:sz="4" w:space="0" w:color="auto"/>
              <w:right w:val="single" w:sz="4" w:space="0" w:color="auto"/>
            </w:tcBorders>
            <w:shd w:val="clear" w:color="000000" w:fill="FFFFFF"/>
            <w:vAlign w:val="center"/>
            <w:hideMark/>
          </w:tcPr>
          <w:p w14:paraId="6C4F7D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0969C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19,330,000</w:t>
            </w:r>
          </w:p>
        </w:tc>
        <w:tc>
          <w:tcPr>
            <w:tcW w:w="0" w:type="auto"/>
            <w:tcBorders>
              <w:top w:val="nil"/>
              <w:left w:val="nil"/>
              <w:bottom w:val="single" w:sz="4" w:space="0" w:color="auto"/>
              <w:right w:val="single" w:sz="4" w:space="0" w:color="auto"/>
            </w:tcBorders>
            <w:shd w:val="clear" w:color="000000" w:fill="FFFFFF"/>
            <w:noWrap/>
            <w:vAlign w:val="center"/>
            <w:hideMark/>
          </w:tcPr>
          <w:p w14:paraId="6D0D8E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19,330,000</w:t>
            </w:r>
          </w:p>
        </w:tc>
        <w:tc>
          <w:tcPr>
            <w:tcW w:w="0" w:type="auto"/>
            <w:tcBorders>
              <w:top w:val="nil"/>
              <w:left w:val="nil"/>
              <w:bottom w:val="single" w:sz="4" w:space="0" w:color="auto"/>
              <w:right w:val="single" w:sz="4" w:space="0" w:color="auto"/>
            </w:tcBorders>
            <w:shd w:val="clear" w:color="000000" w:fill="FFFFFF"/>
            <w:noWrap/>
            <w:vAlign w:val="center"/>
            <w:hideMark/>
          </w:tcPr>
          <w:p w14:paraId="3C1ADD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9E10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19,330,000</w:t>
            </w:r>
          </w:p>
        </w:tc>
        <w:tc>
          <w:tcPr>
            <w:tcW w:w="0" w:type="auto"/>
            <w:tcBorders>
              <w:top w:val="nil"/>
              <w:left w:val="nil"/>
              <w:bottom w:val="single" w:sz="4" w:space="0" w:color="auto"/>
              <w:right w:val="single" w:sz="4" w:space="0" w:color="auto"/>
            </w:tcBorders>
            <w:shd w:val="clear" w:color="000000" w:fill="FFFFFF"/>
            <w:noWrap/>
            <w:vAlign w:val="center"/>
            <w:hideMark/>
          </w:tcPr>
          <w:p w14:paraId="63E0CA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1B508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1223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7F845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A1B2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38B74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2DCD4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CCA35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94F455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16561E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1.3.3</w:t>
            </w:r>
          </w:p>
        </w:tc>
        <w:tc>
          <w:tcPr>
            <w:tcW w:w="0" w:type="auto"/>
            <w:tcBorders>
              <w:top w:val="nil"/>
              <w:left w:val="nil"/>
              <w:bottom w:val="single" w:sz="4" w:space="0" w:color="auto"/>
              <w:right w:val="single" w:sz="4" w:space="0" w:color="auto"/>
            </w:tcBorders>
            <w:shd w:val="clear" w:color="auto" w:fill="auto"/>
            <w:vAlign w:val="bottom"/>
            <w:hideMark/>
          </w:tcPr>
          <w:p w14:paraId="00EA64A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Garantimi i mbrojtjes fizike dhe teknike në vendin e banimit si dhe gjatë lëvizjeve të tyre, për personat e përfshirë në programin e mbrojtjes me Vendim të Komisionit për Vlerësimin e Programit të Mbrojtjes së Dëshmitarëve dhe Bashkëpunëtorëve të Drejtësisë.</w:t>
            </w:r>
          </w:p>
        </w:tc>
        <w:tc>
          <w:tcPr>
            <w:tcW w:w="0" w:type="auto"/>
            <w:tcBorders>
              <w:top w:val="nil"/>
              <w:left w:val="nil"/>
              <w:bottom w:val="single" w:sz="4" w:space="0" w:color="auto"/>
              <w:right w:val="single" w:sz="4" w:space="0" w:color="auto"/>
            </w:tcBorders>
            <w:shd w:val="clear" w:color="000000" w:fill="FFFFFF"/>
            <w:vAlign w:val="center"/>
            <w:hideMark/>
          </w:tcPr>
          <w:p w14:paraId="3B24B4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auto" w:fill="auto"/>
            <w:vAlign w:val="center"/>
            <w:hideMark/>
          </w:tcPr>
          <w:p w14:paraId="0A3E13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0A74C5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3CB699E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443ABA9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1C13EE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auto" w:fill="auto"/>
            <w:vAlign w:val="center"/>
            <w:hideMark/>
          </w:tcPr>
          <w:p w14:paraId="439F09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472E5C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auto" w:fill="auto"/>
            <w:noWrap/>
            <w:vAlign w:val="center"/>
            <w:hideMark/>
          </w:tcPr>
          <w:p w14:paraId="58B0E3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auto" w:fill="auto"/>
            <w:vAlign w:val="center"/>
            <w:hideMark/>
          </w:tcPr>
          <w:p w14:paraId="150C88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CD37D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000000" w:fill="FFFFFF"/>
            <w:noWrap/>
            <w:vAlign w:val="center"/>
            <w:hideMark/>
          </w:tcPr>
          <w:p w14:paraId="788C16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17,000,000</w:t>
            </w:r>
          </w:p>
        </w:tc>
        <w:tc>
          <w:tcPr>
            <w:tcW w:w="0" w:type="auto"/>
            <w:tcBorders>
              <w:top w:val="nil"/>
              <w:left w:val="nil"/>
              <w:bottom w:val="single" w:sz="4" w:space="0" w:color="auto"/>
              <w:right w:val="single" w:sz="4" w:space="0" w:color="auto"/>
            </w:tcBorders>
            <w:shd w:val="clear" w:color="auto" w:fill="auto"/>
            <w:vAlign w:val="center"/>
            <w:hideMark/>
          </w:tcPr>
          <w:p w14:paraId="314EC2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357D8A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17,000,000</w:t>
            </w:r>
          </w:p>
        </w:tc>
        <w:tc>
          <w:tcPr>
            <w:tcW w:w="0" w:type="auto"/>
            <w:tcBorders>
              <w:top w:val="nil"/>
              <w:left w:val="nil"/>
              <w:bottom w:val="single" w:sz="4" w:space="0" w:color="auto"/>
              <w:right w:val="single" w:sz="4" w:space="0" w:color="auto"/>
            </w:tcBorders>
            <w:shd w:val="clear" w:color="auto" w:fill="auto"/>
            <w:vAlign w:val="center"/>
            <w:hideMark/>
          </w:tcPr>
          <w:p w14:paraId="2C2504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32710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CA28F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36C5A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EE2FE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53CD5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9E471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47,000,000</w:t>
            </w:r>
          </w:p>
        </w:tc>
        <w:tc>
          <w:tcPr>
            <w:tcW w:w="0" w:type="auto"/>
            <w:tcBorders>
              <w:top w:val="nil"/>
              <w:left w:val="nil"/>
              <w:bottom w:val="single" w:sz="4" w:space="0" w:color="auto"/>
              <w:right w:val="single" w:sz="4" w:space="0" w:color="auto"/>
            </w:tcBorders>
            <w:shd w:val="clear" w:color="000000" w:fill="FFFFFF"/>
            <w:vAlign w:val="center"/>
            <w:hideMark/>
          </w:tcPr>
          <w:p w14:paraId="1BDE22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D6C7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47,000,000</w:t>
            </w:r>
          </w:p>
        </w:tc>
        <w:tc>
          <w:tcPr>
            <w:tcW w:w="0" w:type="auto"/>
            <w:tcBorders>
              <w:top w:val="nil"/>
              <w:left w:val="nil"/>
              <w:bottom w:val="single" w:sz="4" w:space="0" w:color="auto"/>
              <w:right w:val="single" w:sz="4" w:space="0" w:color="auto"/>
            </w:tcBorders>
            <w:shd w:val="clear" w:color="000000" w:fill="FFFFFF"/>
            <w:noWrap/>
            <w:vAlign w:val="center"/>
            <w:hideMark/>
          </w:tcPr>
          <w:p w14:paraId="51A3F6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47,000,000</w:t>
            </w:r>
          </w:p>
        </w:tc>
        <w:tc>
          <w:tcPr>
            <w:tcW w:w="0" w:type="auto"/>
            <w:tcBorders>
              <w:top w:val="nil"/>
              <w:left w:val="nil"/>
              <w:bottom w:val="single" w:sz="4" w:space="0" w:color="auto"/>
              <w:right w:val="single" w:sz="4" w:space="0" w:color="auto"/>
            </w:tcBorders>
            <w:shd w:val="clear" w:color="000000" w:fill="FFFFFF"/>
            <w:noWrap/>
            <w:vAlign w:val="center"/>
            <w:hideMark/>
          </w:tcPr>
          <w:p w14:paraId="1A23D9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C5C9A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47,000,000</w:t>
            </w:r>
          </w:p>
        </w:tc>
        <w:tc>
          <w:tcPr>
            <w:tcW w:w="0" w:type="auto"/>
            <w:tcBorders>
              <w:top w:val="nil"/>
              <w:left w:val="nil"/>
              <w:bottom w:val="single" w:sz="4" w:space="0" w:color="auto"/>
              <w:right w:val="single" w:sz="4" w:space="0" w:color="auto"/>
            </w:tcBorders>
            <w:shd w:val="clear" w:color="000000" w:fill="FFFFFF"/>
            <w:noWrap/>
            <w:vAlign w:val="center"/>
            <w:hideMark/>
          </w:tcPr>
          <w:p w14:paraId="378D1E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BDD19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C3664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DC85E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AEBD8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4EF5AA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D760A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48DA7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BC95A1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267194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1.3.4</w:t>
            </w:r>
          </w:p>
        </w:tc>
        <w:tc>
          <w:tcPr>
            <w:tcW w:w="0" w:type="auto"/>
            <w:tcBorders>
              <w:top w:val="nil"/>
              <w:left w:val="nil"/>
              <w:bottom w:val="single" w:sz="4" w:space="0" w:color="auto"/>
              <w:right w:val="single" w:sz="4" w:space="0" w:color="auto"/>
            </w:tcBorders>
            <w:shd w:val="clear" w:color="auto" w:fill="auto"/>
            <w:vAlign w:val="bottom"/>
            <w:hideMark/>
          </w:tcPr>
          <w:p w14:paraId="6E625E3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Ofrimi i mbështetjes dhe testimit periodik dhe vjetor psikologjik për personat e përfshirë në programin e mbrojtjes.</w:t>
            </w:r>
          </w:p>
        </w:tc>
        <w:tc>
          <w:tcPr>
            <w:tcW w:w="0" w:type="auto"/>
            <w:tcBorders>
              <w:top w:val="nil"/>
              <w:left w:val="nil"/>
              <w:bottom w:val="single" w:sz="4" w:space="0" w:color="auto"/>
              <w:right w:val="single" w:sz="4" w:space="0" w:color="auto"/>
            </w:tcBorders>
            <w:shd w:val="clear" w:color="000000" w:fill="FFFFFF"/>
            <w:vAlign w:val="center"/>
            <w:hideMark/>
          </w:tcPr>
          <w:p w14:paraId="4EC506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auto" w:fill="auto"/>
            <w:vAlign w:val="center"/>
            <w:hideMark/>
          </w:tcPr>
          <w:p w14:paraId="779812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2009BD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30B0B4F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061AB70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49EC5E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370,000</w:t>
            </w:r>
          </w:p>
        </w:tc>
        <w:tc>
          <w:tcPr>
            <w:tcW w:w="0" w:type="auto"/>
            <w:tcBorders>
              <w:top w:val="nil"/>
              <w:left w:val="nil"/>
              <w:bottom w:val="single" w:sz="4" w:space="0" w:color="auto"/>
              <w:right w:val="single" w:sz="4" w:space="0" w:color="auto"/>
            </w:tcBorders>
            <w:shd w:val="clear" w:color="auto" w:fill="auto"/>
            <w:vAlign w:val="center"/>
            <w:hideMark/>
          </w:tcPr>
          <w:p w14:paraId="0BFF02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51164C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370,000</w:t>
            </w:r>
          </w:p>
        </w:tc>
        <w:tc>
          <w:tcPr>
            <w:tcW w:w="0" w:type="auto"/>
            <w:tcBorders>
              <w:top w:val="nil"/>
              <w:left w:val="nil"/>
              <w:bottom w:val="single" w:sz="4" w:space="0" w:color="auto"/>
              <w:right w:val="single" w:sz="4" w:space="0" w:color="auto"/>
            </w:tcBorders>
            <w:shd w:val="clear" w:color="000000" w:fill="FFFFFF"/>
            <w:vAlign w:val="center"/>
            <w:hideMark/>
          </w:tcPr>
          <w:p w14:paraId="5F830B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375,000</w:t>
            </w:r>
          </w:p>
        </w:tc>
        <w:tc>
          <w:tcPr>
            <w:tcW w:w="0" w:type="auto"/>
            <w:tcBorders>
              <w:top w:val="nil"/>
              <w:left w:val="nil"/>
              <w:bottom w:val="single" w:sz="4" w:space="0" w:color="auto"/>
              <w:right w:val="single" w:sz="4" w:space="0" w:color="auto"/>
            </w:tcBorders>
            <w:shd w:val="clear" w:color="000000" w:fill="FFFFFF"/>
            <w:vAlign w:val="center"/>
            <w:hideMark/>
          </w:tcPr>
          <w:p w14:paraId="4161A3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BD31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375,000</w:t>
            </w:r>
          </w:p>
        </w:tc>
        <w:tc>
          <w:tcPr>
            <w:tcW w:w="0" w:type="auto"/>
            <w:tcBorders>
              <w:top w:val="nil"/>
              <w:left w:val="nil"/>
              <w:bottom w:val="single" w:sz="4" w:space="0" w:color="auto"/>
              <w:right w:val="single" w:sz="4" w:space="0" w:color="auto"/>
            </w:tcBorders>
            <w:shd w:val="clear" w:color="000000" w:fill="FFFFFF"/>
            <w:vAlign w:val="center"/>
            <w:hideMark/>
          </w:tcPr>
          <w:p w14:paraId="4A30A5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380,000</w:t>
            </w:r>
          </w:p>
        </w:tc>
        <w:tc>
          <w:tcPr>
            <w:tcW w:w="0" w:type="auto"/>
            <w:tcBorders>
              <w:top w:val="nil"/>
              <w:left w:val="nil"/>
              <w:bottom w:val="single" w:sz="4" w:space="0" w:color="auto"/>
              <w:right w:val="single" w:sz="4" w:space="0" w:color="auto"/>
            </w:tcBorders>
            <w:shd w:val="clear" w:color="auto" w:fill="auto"/>
            <w:vAlign w:val="center"/>
            <w:hideMark/>
          </w:tcPr>
          <w:p w14:paraId="474C71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5A9A2D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380,000</w:t>
            </w:r>
          </w:p>
        </w:tc>
        <w:tc>
          <w:tcPr>
            <w:tcW w:w="0" w:type="auto"/>
            <w:tcBorders>
              <w:top w:val="nil"/>
              <w:left w:val="nil"/>
              <w:bottom w:val="single" w:sz="4" w:space="0" w:color="auto"/>
              <w:right w:val="single" w:sz="4" w:space="0" w:color="auto"/>
            </w:tcBorders>
            <w:shd w:val="clear" w:color="auto" w:fill="auto"/>
            <w:vAlign w:val="center"/>
            <w:hideMark/>
          </w:tcPr>
          <w:p w14:paraId="67E0E9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A656F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607FBF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FEB26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B3A67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AB375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A50D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1,125,000</w:t>
            </w:r>
          </w:p>
        </w:tc>
        <w:tc>
          <w:tcPr>
            <w:tcW w:w="0" w:type="auto"/>
            <w:tcBorders>
              <w:top w:val="nil"/>
              <w:left w:val="nil"/>
              <w:bottom w:val="single" w:sz="4" w:space="0" w:color="auto"/>
              <w:right w:val="single" w:sz="4" w:space="0" w:color="auto"/>
            </w:tcBorders>
            <w:shd w:val="clear" w:color="000000" w:fill="FFFFFF"/>
            <w:vAlign w:val="center"/>
            <w:hideMark/>
          </w:tcPr>
          <w:p w14:paraId="7408D8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606F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1,125,000</w:t>
            </w:r>
          </w:p>
        </w:tc>
        <w:tc>
          <w:tcPr>
            <w:tcW w:w="0" w:type="auto"/>
            <w:tcBorders>
              <w:top w:val="nil"/>
              <w:left w:val="nil"/>
              <w:bottom w:val="single" w:sz="4" w:space="0" w:color="auto"/>
              <w:right w:val="single" w:sz="4" w:space="0" w:color="auto"/>
            </w:tcBorders>
            <w:shd w:val="clear" w:color="000000" w:fill="FFFFFF"/>
            <w:noWrap/>
            <w:vAlign w:val="center"/>
            <w:hideMark/>
          </w:tcPr>
          <w:p w14:paraId="189AB3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1,125,000</w:t>
            </w:r>
          </w:p>
        </w:tc>
        <w:tc>
          <w:tcPr>
            <w:tcW w:w="0" w:type="auto"/>
            <w:tcBorders>
              <w:top w:val="nil"/>
              <w:left w:val="nil"/>
              <w:bottom w:val="single" w:sz="4" w:space="0" w:color="auto"/>
              <w:right w:val="single" w:sz="4" w:space="0" w:color="auto"/>
            </w:tcBorders>
            <w:shd w:val="clear" w:color="000000" w:fill="FFFFFF"/>
            <w:noWrap/>
            <w:vAlign w:val="center"/>
            <w:hideMark/>
          </w:tcPr>
          <w:p w14:paraId="01F120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A751A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1,125,000</w:t>
            </w:r>
          </w:p>
        </w:tc>
        <w:tc>
          <w:tcPr>
            <w:tcW w:w="0" w:type="auto"/>
            <w:tcBorders>
              <w:top w:val="nil"/>
              <w:left w:val="nil"/>
              <w:bottom w:val="single" w:sz="4" w:space="0" w:color="auto"/>
              <w:right w:val="single" w:sz="4" w:space="0" w:color="auto"/>
            </w:tcBorders>
            <w:shd w:val="clear" w:color="000000" w:fill="FFFFFF"/>
            <w:noWrap/>
            <w:vAlign w:val="center"/>
            <w:hideMark/>
          </w:tcPr>
          <w:p w14:paraId="1988C5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F0FAE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AFF7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4BAD8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1C85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4459B9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D6F61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4FC3D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977302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5F16089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1.3.5</w:t>
            </w:r>
          </w:p>
        </w:tc>
        <w:tc>
          <w:tcPr>
            <w:tcW w:w="0" w:type="auto"/>
            <w:tcBorders>
              <w:top w:val="nil"/>
              <w:left w:val="nil"/>
              <w:bottom w:val="single" w:sz="4" w:space="0" w:color="auto"/>
              <w:right w:val="single" w:sz="4" w:space="0" w:color="auto"/>
            </w:tcBorders>
            <w:shd w:val="clear" w:color="auto" w:fill="auto"/>
            <w:vAlign w:val="center"/>
            <w:hideMark/>
          </w:tcPr>
          <w:p w14:paraId="6B54E73E"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Rehabilitimi social i personave të përfshirë në programin e mbrojtjes me Vendim të Komisionit për Vlerësimin e Programit të Mbrojtjes së Dëshmitarëve dhe Bashkëpunëtorëve të Drejtësisë.</w:t>
            </w:r>
          </w:p>
        </w:tc>
        <w:tc>
          <w:tcPr>
            <w:tcW w:w="0" w:type="auto"/>
            <w:tcBorders>
              <w:top w:val="nil"/>
              <w:left w:val="nil"/>
              <w:bottom w:val="single" w:sz="4" w:space="0" w:color="auto"/>
              <w:right w:val="single" w:sz="4" w:space="0" w:color="auto"/>
            </w:tcBorders>
            <w:shd w:val="clear" w:color="000000" w:fill="FFFFFF"/>
            <w:vAlign w:val="center"/>
            <w:hideMark/>
          </w:tcPr>
          <w:p w14:paraId="333813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auto" w:fill="auto"/>
            <w:vAlign w:val="center"/>
            <w:hideMark/>
          </w:tcPr>
          <w:p w14:paraId="09532D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56FD4F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4EE525A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47E2B17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5EBFF4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auto" w:fill="auto"/>
            <w:vAlign w:val="center"/>
            <w:hideMark/>
          </w:tcPr>
          <w:p w14:paraId="050963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49B6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2AF9D7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4DCDAD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68623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431845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auto" w:fill="auto"/>
            <w:vAlign w:val="center"/>
            <w:hideMark/>
          </w:tcPr>
          <w:p w14:paraId="15319A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AF57E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auto" w:fill="auto"/>
            <w:vAlign w:val="center"/>
            <w:hideMark/>
          </w:tcPr>
          <w:p w14:paraId="26F580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33D48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511582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4145A9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87E1A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8D77D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E03B0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750,000</w:t>
            </w:r>
          </w:p>
        </w:tc>
        <w:tc>
          <w:tcPr>
            <w:tcW w:w="0" w:type="auto"/>
            <w:tcBorders>
              <w:top w:val="nil"/>
              <w:left w:val="nil"/>
              <w:bottom w:val="single" w:sz="4" w:space="0" w:color="auto"/>
              <w:right w:val="single" w:sz="4" w:space="0" w:color="auto"/>
            </w:tcBorders>
            <w:shd w:val="clear" w:color="000000" w:fill="FFFFFF"/>
            <w:vAlign w:val="center"/>
            <w:hideMark/>
          </w:tcPr>
          <w:p w14:paraId="7EA8EA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132FA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750,000</w:t>
            </w:r>
          </w:p>
        </w:tc>
        <w:tc>
          <w:tcPr>
            <w:tcW w:w="0" w:type="auto"/>
            <w:tcBorders>
              <w:top w:val="nil"/>
              <w:left w:val="nil"/>
              <w:bottom w:val="single" w:sz="4" w:space="0" w:color="auto"/>
              <w:right w:val="single" w:sz="4" w:space="0" w:color="auto"/>
            </w:tcBorders>
            <w:shd w:val="clear" w:color="000000" w:fill="FFFFFF"/>
            <w:noWrap/>
            <w:vAlign w:val="center"/>
            <w:hideMark/>
          </w:tcPr>
          <w:p w14:paraId="0BAF94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750,000</w:t>
            </w:r>
          </w:p>
        </w:tc>
        <w:tc>
          <w:tcPr>
            <w:tcW w:w="0" w:type="auto"/>
            <w:tcBorders>
              <w:top w:val="nil"/>
              <w:left w:val="nil"/>
              <w:bottom w:val="single" w:sz="4" w:space="0" w:color="auto"/>
              <w:right w:val="single" w:sz="4" w:space="0" w:color="auto"/>
            </w:tcBorders>
            <w:shd w:val="clear" w:color="000000" w:fill="FFFFFF"/>
            <w:noWrap/>
            <w:vAlign w:val="center"/>
            <w:hideMark/>
          </w:tcPr>
          <w:p w14:paraId="69E75D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E9C2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750,000</w:t>
            </w:r>
          </w:p>
        </w:tc>
        <w:tc>
          <w:tcPr>
            <w:tcW w:w="0" w:type="auto"/>
            <w:tcBorders>
              <w:top w:val="nil"/>
              <w:left w:val="nil"/>
              <w:bottom w:val="single" w:sz="4" w:space="0" w:color="auto"/>
              <w:right w:val="single" w:sz="4" w:space="0" w:color="auto"/>
            </w:tcBorders>
            <w:shd w:val="clear" w:color="000000" w:fill="FFFFFF"/>
            <w:noWrap/>
            <w:vAlign w:val="center"/>
            <w:hideMark/>
          </w:tcPr>
          <w:p w14:paraId="01D279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291A5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88900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AEB86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A3BF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CFC8B8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F8107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40E08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EE02A1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4D43E93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1.3.6</w:t>
            </w:r>
          </w:p>
        </w:tc>
        <w:tc>
          <w:tcPr>
            <w:tcW w:w="0" w:type="auto"/>
            <w:tcBorders>
              <w:top w:val="nil"/>
              <w:left w:val="nil"/>
              <w:bottom w:val="single" w:sz="4" w:space="0" w:color="auto"/>
              <w:right w:val="single" w:sz="4" w:space="0" w:color="auto"/>
            </w:tcBorders>
            <w:shd w:val="clear" w:color="auto" w:fill="auto"/>
            <w:vAlign w:val="center"/>
            <w:hideMark/>
          </w:tcPr>
          <w:p w14:paraId="415734C8"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Ofrimi i ndihmës financiare për personat e përfshirë në programin e mbrojtjes me Vendim të Komisionit për Vlerësimin e Programit të Mbrojtjes së Dëshmitarëve dhe Bashkëpunëtorëve të Drejtësisë.</w:t>
            </w:r>
          </w:p>
        </w:tc>
        <w:tc>
          <w:tcPr>
            <w:tcW w:w="0" w:type="auto"/>
            <w:tcBorders>
              <w:top w:val="nil"/>
              <w:left w:val="nil"/>
              <w:bottom w:val="single" w:sz="4" w:space="0" w:color="auto"/>
              <w:right w:val="single" w:sz="4" w:space="0" w:color="auto"/>
            </w:tcBorders>
            <w:shd w:val="clear" w:color="000000" w:fill="FFFFFF"/>
            <w:vAlign w:val="center"/>
            <w:hideMark/>
          </w:tcPr>
          <w:p w14:paraId="4990A6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auto" w:fill="auto"/>
            <w:vAlign w:val="center"/>
            <w:hideMark/>
          </w:tcPr>
          <w:p w14:paraId="4D6012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79BA90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053FD9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7D9768A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3495D0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25,800,000</w:t>
            </w:r>
          </w:p>
        </w:tc>
        <w:tc>
          <w:tcPr>
            <w:tcW w:w="0" w:type="auto"/>
            <w:tcBorders>
              <w:top w:val="nil"/>
              <w:left w:val="nil"/>
              <w:bottom w:val="single" w:sz="4" w:space="0" w:color="auto"/>
              <w:right w:val="single" w:sz="4" w:space="0" w:color="auto"/>
            </w:tcBorders>
            <w:shd w:val="clear" w:color="auto" w:fill="auto"/>
            <w:vAlign w:val="center"/>
            <w:hideMark/>
          </w:tcPr>
          <w:p w14:paraId="725AEA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4E996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25,800,000</w:t>
            </w:r>
          </w:p>
        </w:tc>
        <w:tc>
          <w:tcPr>
            <w:tcW w:w="0" w:type="auto"/>
            <w:tcBorders>
              <w:top w:val="nil"/>
              <w:left w:val="nil"/>
              <w:bottom w:val="single" w:sz="4" w:space="0" w:color="auto"/>
              <w:right w:val="single" w:sz="4" w:space="0" w:color="auto"/>
            </w:tcBorders>
            <w:shd w:val="clear" w:color="auto" w:fill="auto"/>
            <w:vAlign w:val="center"/>
            <w:hideMark/>
          </w:tcPr>
          <w:p w14:paraId="3041D0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23,000,000</w:t>
            </w:r>
          </w:p>
        </w:tc>
        <w:tc>
          <w:tcPr>
            <w:tcW w:w="0" w:type="auto"/>
            <w:tcBorders>
              <w:top w:val="nil"/>
              <w:left w:val="nil"/>
              <w:bottom w:val="single" w:sz="4" w:space="0" w:color="auto"/>
              <w:right w:val="single" w:sz="4" w:space="0" w:color="auto"/>
            </w:tcBorders>
            <w:shd w:val="clear" w:color="auto" w:fill="auto"/>
            <w:vAlign w:val="center"/>
            <w:hideMark/>
          </w:tcPr>
          <w:p w14:paraId="67E015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AB6E3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23,000,000</w:t>
            </w:r>
          </w:p>
        </w:tc>
        <w:tc>
          <w:tcPr>
            <w:tcW w:w="0" w:type="auto"/>
            <w:tcBorders>
              <w:top w:val="nil"/>
              <w:left w:val="nil"/>
              <w:bottom w:val="single" w:sz="4" w:space="0" w:color="auto"/>
              <w:right w:val="single" w:sz="4" w:space="0" w:color="auto"/>
            </w:tcBorders>
            <w:shd w:val="clear" w:color="auto" w:fill="auto"/>
            <w:noWrap/>
            <w:vAlign w:val="center"/>
            <w:hideMark/>
          </w:tcPr>
          <w:p w14:paraId="7535C4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20,930,000</w:t>
            </w:r>
          </w:p>
        </w:tc>
        <w:tc>
          <w:tcPr>
            <w:tcW w:w="0" w:type="auto"/>
            <w:tcBorders>
              <w:top w:val="nil"/>
              <w:left w:val="nil"/>
              <w:bottom w:val="single" w:sz="4" w:space="0" w:color="auto"/>
              <w:right w:val="single" w:sz="4" w:space="0" w:color="auto"/>
            </w:tcBorders>
            <w:shd w:val="clear" w:color="auto" w:fill="auto"/>
            <w:vAlign w:val="center"/>
            <w:hideMark/>
          </w:tcPr>
          <w:p w14:paraId="2AD0D6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8B8FF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20,930,000</w:t>
            </w:r>
          </w:p>
        </w:tc>
        <w:tc>
          <w:tcPr>
            <w:tcW w:w="0" w:type="auto"/>
            <w:tcBorders>
              <w:top w:val="nil"/>
              <w:left w:val="nil"/>
              <w:bottom w:val="single" w:sz="4" w:space="0" w:color="auto"/>
              <w:right w:val="single" w:sz="4" w:space="0" w:color="auto"/>
            </w:tcBorders>
            <w:shd w:val="clear" w:color="auto" w:fill="auto"/>
            <w:vAlign w:val="center"/>
            <w:hideMark/>
          </w:tcPr>
          <w:p w14:paraId="5C416E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537B8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559E94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FAE82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4C718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50200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CB60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69,730,000</w:t>
            </w:r>
          </w:p>
        </w:tc>
        <w:tc>
          <w:tcPr>
            <w:tcW w:w="0" w:type="auto"/>
            <w:tcBorders>
              <w:top w:val="nil"/>
              <w:left w:val="nil"/>
              <w:bottom w:val="single" w:sz="4" w:space="0" w:color="auto"/>
              <w:right w:val="single" w:sz="4" w:space="0" w:color="auto"/>
            </w:tcBorders>
            <w:shd w:val="clear" w:color="000000" w:fill="FFFFFF"/>
            <w:vAlign w:val="center"/>
            <w:hideMark/>
          </w:tcPr>
          <w:p w14:paraId="6D516E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7FED8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69,730,000</w:t>
            </w:r>
          </w:p>
        </w:tc>
        <w:tc>
          <w:tcPr>
            <w:tcW w:w="0" w:type="auto"/>
            <w:tcBorders>
              <w:top w:val="nil"/>
              <w:left w:val="nil"/>
              <w:bottom w:val="single" w:sz="4" w:space="0" w:color="auto"/>
              <w:right w:val="single" w:sz="4" w:space="0" w:color="auto"/>
            </w:tcBorders>
            <w:shd w:val="clear" w:color="000000" w:fill="FFFFFF"/>
            <w:noWrap/>
            <w:vAlign w:val="center"/>
            <w:hideMark/>
          </w:tcPr>
          <w:p w14:paraId="36BEC5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69,730,000</w:t>
            </w:r>
          </w:p>
        </w:tc>
        <w:tc>
          <w:tcPr>
            <w:tcW w:w="0" w:type="auto"/>
            <w:tcBorders>
              <w:top w:val="nil"/>
              <w:left w:val="nil"/>
              <w:bottom w:val="single" w:sz="4" w:space="0" w:color="auto"/>
              <w:right w:val="single" w:sz="4" w:space="0" w:color="auto"/>
            </w:tcBorders>
            <w:shd w:val="clear" w:color="000000" w:fill="FFFFFF"/>
            <w:noWrap/>
            <w:vAlign w:val="center"/>
            <w:hideMark/>
          </w:tcPr>
          <w:p w14:paraId="4FAD3E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5538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69,730,000</w:t>
            </w:r>
          </w:p>
        </w:tc>
        <w:tc>
          <w:tcPr>
            <w:tcW w:w="0" w:type="auto"/>
            <w:tcBorders>
              <w:top w:val="nil"/>
              <w:left w:val="nil"/>
              <w:bottom w:val="single" w:sz="4" w:space="0" w:color="auto"/>
              <w:right w:val="single" w:sz="4" w:space="0" w:color="auto"/>
            </w:tcBorders>
            <w:shd w:val="clear" w:color="000000" w:fill="FFFFFF"/>
            <w:noWrap/>
            <w:vAlign w:val="center"/>
            <w:hideMark/>
          </w:tcPr>
          <w:p w14:paraId="1467B3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6F17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DC69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3B771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F7A56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36388D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C85AC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F3853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DDE2F9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0EB5195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1.3.7</w:t>
            </w:r>
          </w:p>
        </w:tc>
        <w:tc>
          <w:tcPr>
            <w:tcW w:w="0" w:type="auto"/>
            <w:tcBorders>
              <w:top w:val="nil"/>
              <w:left w:val="nil"/>
              <w:bottom w:val="single" w:sz="4" w:space="0" w:color="auto"/>
              <w:right w:val="single" w:sz="4" w:space="0" w:color="auto"/>
            </w:tcBorders>
            <w:shd w:val="clear" w:color="auto" w:fill="auto"/>
            <w:vAlign w:val="bottom"/>
            <w:hideMark/>
          </w:tcPr>
          <w:p w14:paraId="5499FBE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Ofrimi i rikualifikimeve profesionale, me qëllim integrimin pas përfundimit të programit të mbrojtjes, për personat e përfshirë në programin e mbrojtjes me Vendim të Komisionit për Vlerësimin e Programit të Mbrojtjes së Dëshmitarëve dhe Bashkëpunëtorëve të Drejtësisë.</w:t>
            </w:r>
          </w:p>
        </w:tc>
        <w:tc>
          <w:tcPr>
            <w:tcW w:w="0" w:type="auto"/>
            <w:tcBorders>
              <w:top w:val="nil"/>
              <w:left w:val="nil"/>
              <w:bottom w:val="single" w:sz="4" w:space="0" w:color="auto"/>
              <w:right w:val="single" w:sz="4" w:space="0" w:color="auto"/>
            </w:tcBorders>
            <w:shd w:val="clear" w:color="000000" w:fill="FFFFFF"/>
            <w:vAlign w:val="center"/>
            <w:hideMark/>
          </w:tcPr>
          <w:p w14:paraId="326139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auto" w:fill="auto"/>
            <w:vAlign w:val="center"/>
            <w:hideMark/>
          </w:tcPr>
          <w:p w14:paraId="56D9CF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7CF48F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4D24B4B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1436B45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11B052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auto" w:fill="auto"/>
            <w:vAlign w:val="center"/>
            <w:hideMark/>
          </w:tcPr>
          <w:p w14:paraId="345439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E1FCF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auto" w:fill="auto"/>
            <w:vAlign w:val="center"/>
            <w:hideMark/>
          </w:tcPr>
          <w:p w14:paraId="4555E9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220,000</w:t>
            </w:r>
          </w:p>
        </w:tc>
        <w:tc>
          <w:tcPr>
            <w:tcW w:w="0" w:type="auto"/>
            <w:tcBorders>
              <w:top w:val="nil"/>
              <w:left w:val="nil"/>
              <w:bottom w:val="single" w:sz="4" w:space="0" w:color="auto"/>
              <w:right w:val="single" w:sz="4" w:space="0" w:color="auto"/>
            </w:tcBorders>
            <w:shd w:val="clear" w:color="auto" w:fill="auto"/>
            <w:vAlign w:val="center"/>
            <w:hideMark/>
          </w:tcPr>
          <w:p w14:paraId="0BEEA8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5DCDEE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220,000</w:t>
            </w:r>
          </w:p>
        </w:tc>
        <w:tc>
          <w:tcPr>
            <w:tcW w:w="0" w:type="auto"/>
            <w:tcBorders>
              <w:top w:val="nil"/>
              <w:left w:val="nil"/>
              <w:bottom w:val="single" w:sz="4" w:space="0" w:color="auto"/>
              <w:right w:val="single" w:sz="4" w:space="0" w:color="auto"/>
            </w:tcBorders>
            <w:shd w:val="clear" w:color="000000" w:fill="FFFFFF"/>
            <w:vAlign w:val="center"/>
            <w:hideMark/>
          </w:tcPr>
          <w:p w14:paraId="404669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auto" w:fill="auto"/>
            <w:vAlign w:val="center"/>
            <w:hideMark/>
          </w:tcPr>
          <w:p w14:paraId="683CB8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7C76AE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auto" w:fill="auto"/>
            <w:vAlign w:val="center"/>
            <w:hideMark/>
          </w:tcPr>
          <w:p w14:paraId="700E40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DC48B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82B97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B729C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6D982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41600D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CF50E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670,000</w:t>
            </w:r>
          </w:p>
        </w:tc>
        <w:tc>
          <w:tcPr>
            <w:tcW w:w="0" w:type="auto"/>
            <w:tcBorders>
              <w:top w:val="nil"/>
              <w:left w:val="nil"/>
              <w:bottom w:val="single" w:sz="4" w:space="0" w:color="auto"/>
              <w:right w:val="single" w:sz="4" w:space="0" w:color="auto"/>
            </w:tcBorders>
            <w:shd w:val="clear" w:color="000000" w:fill="FFFFFF"/>
            <w:vAlign w:val="center"/>
            <w:hideMark/>
          </w:tcPr>
          <w:p w14:paraId="0028E0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2C84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670,000</w:t>
            </w:r>
          </w:p>
        </w:tc>
        <w:tc>
          <w:tcPr>
            <w:tcW w:w="0" w:type="auto"/>
            <w:tcBorders>
              <w:top w:val="nil"/>
              <w:left w:val="nil"/>
              <w:bottom w:val="single" w:sz="4" w:space="0" w:color="auto"/>
              <w:right w:val="single" w:sz="4" w:space="0" w:color="auto"/>
            </w:tcBorders>
            <w:shd w:val="clear" w:color="000000" w:fill="FFFFFF"/>
            <w:noWrap/>
            <w:vAlign w:val="center"/>
            <w:hideMark/>
          </w:tcPr>
          <w:p w14:paraId="35D583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670,000</w:t>
            </w:r>
          </w:p>
        </w:tc>
        <w:tc>
          <w:tcPr>
            <w:tcW w:w="0" w:type="auto"/>
            <w:tcBorders>
              <w:top w:val="nil"/>
              <w:left w:val="nil"/>
              <w:bottom w:val="single" w:sz="4" w:space="0" w:color="auto"/>
              <w:right w:val="single" w:sz="4" w:space="0" w:color="auto"/>
            </w:tcBorders>
            <w:shd w:val="clear" w:color="000000" w:fill="FFFFFF"/>
            <w:noWrap/>
            <w:vAlign w:val="center"/>
            <w:hideMark/>
          </w:tcPr>
          <w:p w14:paraId="5B2030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CEA31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670,000</w:t>
            </w:r>
          </w:p>
        </w:tc>
        <w:tc>
          <w:tcPr>
            <w:tcW w:w="0" w:type="auto"/>
            <w:tcBorders>
              <w:top w:val="nil"/>
              <w:left w:val="nil"/>
              <w:bottom w:val="single" w:sz="4" w:space="0" w:color="auto"/>
              <w:right w:val="single" w:sz="4" w:space="0" w:color="auto"/>
            </w:tcBorders>
            <w:shd w:val="clear" w:color="000000" w:fill="FFFFFF"/>
            <w:noWrap/>
            <w:vAlign w:val="center"/>
            <w:hideMark/>
          </w:tcPr>
          <w:p w14:paraId="3F7E82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35A4A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E6DC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89D09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B7F63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11BFB7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98A97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4DF84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853D57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1A0A92B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1.3.8</w:t>
            </w:r>
          </w:p>
        </w:tc>
        <w:tc>
          <w:tcPr>
            <w:tcW w:w="0" w:type="auto"/>
            <w:tcBorders>
              <w:top w:val="nil"/>
              <w:left w:val="nil"/>
              <w:bottom w:val="single" w:sz="4" w:space="0" w:color="auto"/>
              <w:right w:val="single" w:sz="4" w:space="0" w:color="auto"/>
            </w:tcBorders>
            <w:shd w:val="clear" w:color="auto" w:fill="auto"/>
            <w:vAlign w:val="bottom"/>
            <w:hideMark/>
          </w:tcPr>
          <w:p w14:paraId="22AB311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Ofrimi i këshillimit dhe ndihmës ligjore të specializuar për personat e përfshirë në programin e mbrojtjes me Vendim të Komisionit për Vlerësimin e Programit të Mbrojtjes së Dëshmitarëve dhe Bashkëpunëtorëve të Drejtësisë.</w:t>
            </w:r>
          </w:p>
        </w:tc>
        <w:tc>
          <w:tcPr>
            <w:tcW w:w="0" w:type="auto"/>
            <w:tcBorders>
              <w:top w:val="nil"/>
              <w:left w:val="nil"/>
              <w:bottom w:val="single" w:sz="4" w:space="0" w:color="auto"/>
              <w:right w:val="single" w:sz="4" w:space="0" w:color="auto"/>
            </w:tcBorders>
            <w:shd w:val="clear" w:color="000000" w:fill="FFFFFF"/>
            <w:vAlign w:val="center"/>
            <w:hideMark/>
          </w:tcPr>
          <w:p w14:paraId="1C8681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auto" w:fill="auto"/>
            <w:vAlign w:val="center"/>
            <w:hideMark/>
          </w:tcPr>
          <w:p w14:paraId="6F1EAA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068D38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72C30E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401D6C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43E3E9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w:t>
            </w:r>
          </w:p>
        </w:tc>
        <w:tc>
          <w:tcPr>
            <w:tcW w:w="0" w:type="auto"/>
            <w:tcBorders>
              <w:top w:val="nil"/>
              <w:left w:val="nil"/>
              <w:bottom w:val="single" w:sz="4" w:space="0" w:color="auto"/>
              <w:right w:val="single" w:sz="4" w:space="0" w:color="auto"/>
            </w:tcBorders>
            <w:shd w:val="clear" w:color="auto" w:fill="auto"/>
            <w:vAlign w:val="center"/>
            <w:hideMark/>
          </w:tcPr>
          <w:p w14:paraId="199075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55EAD1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w:t>
            </w:r>
          </w:p>
        </w:tc>
        <w:tc>
          <w:tcPr>
            <w:tcW w:w="0" w:type="auto"/>
            <w:tcBorders>
              <w:top w:val="nil"/>
              <w:left w:val="nil"/>
              <w:bottom w:val="single" w:sz="4" w:space="0" w:color="auto"/>
              <w:right w:val="single" w:sz="4" w:space="0" w:color="auto"/>
            </w:tcBorders>
            <w:shd w:val="clear" w:color="auto" w:fill="auto"/>
            <w:vAlign w:val="center"/>
            <w:hideMark/>
          </w:tcPr>
          <w:p w14:paraId="2C720D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120,000</w:t>
            </w:r>
          </w:p>
        </w:tc>
        <w:tc>
          <w:tcPr>
            <w:tcW w:w="0" w:type="auto"/>
            <w:tcBorders>
              <w:top w:val="nil"/>
              <w:left w:val="nil"/>
              <w:bottom w:val="single" w:sz="4" w:space="0" w:color="auto"/>
              <w:right w:val="single" w:sz="4" w:space="0" w:color="auto"/>
            </w:tcBorders>
            <w:shd w:val="clear" w:color="auto" w:fill="auto"/>
            <w:vAlign w:val="center"/>
            <w:hideMark/>
          </w:tcPr>
          <w:p w14:paraId="2E8785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024E2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120,000</w:t>
            </w:r>
          </w:p>
        </w:tc>
        <w:tc>
          <w:tcPr>
            <w:tcW w:w="0" w:type="auto"/>
            <w:tcBorders>
              <w:top w:val="nil"/>
              <w:left w:val="nil"/>
              <w:bottom w:val="single" w:sz="4" w:space="0" w:color="auto"/>
              <w:right w:val="single" w:sz="4" w:space="0" w:color="auto"/>
            </w:tcBorders>
            <w:shd w:val="clear" w:color="auto" w:fill="auto"/>
            <w:vAlign w:val="center"/>
            <w:hideMark/>
          </w:tcPr>
          <w:p w14:paraId="421766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140,000</w:t>
            </w:r>
          </w:p>
        </w:tc>
        <w:tc>
          <w:tcPr>
            <w:tcW w:w="0" w:type="auto"/>
            <w:tcBorders>
              <w:top w:val="nil"/>
              <w:left w:val="nil"/>
              <w:bottom w:val="single" w:sz="4" w:space="0" w:color="auto"/>
              <w:right w:val="single" w:sz="4" w:space="0" w:color="auto"/>
            </w:tcBorders>
            <w:shd w:val="clear" w:color="auto" w:fill="auto"/>
            <w:vAlign w:val="center"/>
            <w:hideMark/>
          </w:tcPr>
          <w:p w14:paraId="16D35D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45BD5A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140,000</w:t>
            </w:r>
          </w:p>
        </w:tc>
        <w:tc>
          <w:tcPr>
            <w:tcW w:w="0" w:type="auto"/>
            <w:tcBorders>
              <w:top w:val="nil"/>
              <w:left w:val="nil"/>
              <w:bottom w:val="single" w:sz="4" w:space="0" w:color="auto"/>
              <w:right w:val="single" w:sz="4" w:space="0" w:color="auto"/>
            </w:tcBorders>
            <w:shd w:val="clear" w:color="auto" w:fill="auto"/>
            <w:vAlign w:val="center"/>
            <w:hideMark/>
          </w:tcPr>
          <w:p w14:paraId="0C3F80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B38CB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4CF379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38F6E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9525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4CEA2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63B55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360,000</w:t>
            </w:r>
          </w:p>
        </w:tc>
        <w:tc>
          <w:tcPr>
            <w:tcW w:w="0" w:type="auto"/>
            <w:tcBorders>
              <w:top w:val="nil"/>
              <w:left w:val="nil"/>
              <w:bottom w:val="single" w:sz="4" w:space="0" w:color="auto"/>
              <w:right w:val="single" w:sz="4" w:space="0" w:color="auto"/>
            </w:tcBorders>
            <w:shd w:val="clear" w:color="000000" w:fill="FFFFFF"/>
            <w:vAlign w:val="center"/>
            <w:hideMark/>
          </w:tcPr>
          <w:p w14:paraId="3D4F82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E3D4B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360,000</w:t>
            </w:r>
          </w:p>
        </w:tc>
        <w:tc>
          <w:tcPr>
            <w:tcW w:w="0" w:type="auto"/>
            <w:tcBorders>
              <w:top w:val="nil"/>
              <w:left w:val="nil"/>
              <w:bottom w:val="single" w:sz="4" w:space="0" w:color="auto"/>
              <w:right w:val="single" w:sz="4" w:space="0" w:color="auto"/>
            </w:tcBorders>
            <w:shd w:val="clear" w:color="000000" w:fill="FFFFFF"/>
            <w:noWrap/>
            <w:vAlign w:val="center"/>
            <w:hideMark/>
          </w:tcPr>
          <w:p w14:paraId="0077BD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360,000</w:t>
            </w:r>
          </w:p>
        </w:tc>
        <w:tc>
          <w:tcPr>
            <w:tcW w:w="0" w:type="auto"/>
            <w:tcBorders>
              <w:top w:val="nil"/>
              <w:left w:val="nil"/>
              <w:bottom w:val="single" w:sz="4" w:space="0" w:color="auto"/>
              <w:right w:val="single" w:sz="4" w:space="0" w:color="auto"/>
            </w:tcBorders>
            <w:shd w:val="clear" w:color="000000" w:fill="FFFFFF"/>
            <w:noWrap/>
            <w:vAlign w:val="center"/>
            <w:hideMark/>
          </w:tcPr>
          <w:p w14:paraId="0CB37D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F185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360,000</w:t>
            </w:r>
          </w:p>
        </w:tc>
        <w:tc>
          <w:tcPr>
            <w:tcW w:w="0" w:type="auto"/>
            <w:tcBorders>
              <w:top w:val="nil"/>
              <w:left w:val="nil"/>
              <w:bottom w:val="single" w:sz="4" w:space="0" w:color="auto"/>
              <w:right w:val="single" w:sz="4" w:space="0" w:color="auto"/>
            </w:tcBorders>
            <w:shd w:val="clear" w:color="000000" w:fill="FFFFFF"/>
            <w:noWrap/>
            <w:vAlign w:val="center"/>
            <w:hideMark/>
          </w:tcPr>
          <w:p w14:paraId="38AC6C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9C727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84F87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1E1A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D9B9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A2522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837B6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C634B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A0EA84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5380116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3276417" w14:textId="1FAACB0D"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1.3</w:t>
            </w:r>
          </w:p>
        </w:tc>
        <w:tc>
          <w:tcPr>
            <w:tcW w:w="0" w:type="auto"/>
            <w:tcBorders>
              <w:top w:val="nil"/>
              <w:left w:val="nil"/>
              <w:bottom w:val="single" w:sz="4" w:space="0" w:color="auto"/>
              <w:right w:val="single" w:sz="4" w:space="0" w:color="auto"/>
            </w:tcBorders>
            <w:shd w:val="clear" w:color="000000" w:fill="5B9BD5"/>
            <w:vAlign w:val="center"/>
            <w:hideMark/>
          </w:tcPr>
          <w:p w14:paraId="4937CCDA"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CBAA2D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F05A4D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6918F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939AD6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4BD6AB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62,800,000</w:t>
            </w:r>
          </w:p>
        </w:tc>
        <w:tc>
          <w:tcPr>
            <w:tcW w:w="0" w:type="auto"/>
            <w:tcBorders>
              <w:top w:val="nil"/>
              <w:left w:val="nil"/>
              <w:bottom w:val="single" w:sz="4" w:space="0" w:color="auto"/>
              <w:right w:val="single" w:sz="4" w:space="0" w:color="auto"/>
            </w:tcBorders>
            <w:shd w:val="clear" w:color="000000" w:fill="5B9BD5"/>
            <w:vAlign w:val="center"/>
            <w:hideMark/>
          </w:tcPr>
          <w:p w14:paraId="71B28C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9C4C49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62,800,000</w:t>
            </w:r>
          </w:p>
        </w:tc>
        <w:tc>
          <w:tcPr>
            <w:tcW w:w="0" w:type="auto"/>
            <w:tcBorders>
              <w:top w:val="nil"/>
              <w:left w:val="nil"/>
              <w:bottom w:val="single" w:sz="4" w:space="0" w:color="auto"/>
              <w:right w:val="single" w:sz="4" w:space="0" w:color="auto"/>
            </w:tcBorders>
            <w:shd w:val="clear" w:color="000000" w:fill="5B9BD5"/>
            <w:vAlign w:val="center"/>
            <w:hideMark/>
          </w:tcPr>
          <w:p w14:paraId="3CB5E6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65,000,000</w:t>
            </w:r>
          </w:p>
        </w:tc>
        <w:tc>
          <w:tcPr>
            <w:tcW w:w="0" w:type="auto"/>
            <w:tcBorders>
              <w:top w:val="nil"/>
              <w:left w:val="nil"/>
              <w:bottom w:val="single" w:sz="4" w:space="0" w:color="auto"/>
              <w:right w:val="single" w:sz="4" w:space="0" w:color="auto"/>
            </w:tcBorders>
            <w:shd w:val="clear" w:color="000000" w:fill="5B9BD5"/>
            <w:vAlign w:val="center"/>
            <w:hideMark/>
          </w:tcPr>
          <w:p w14:paraId="294C8E6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9003D3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65,000,000</w:t>
            </w:r>
          </w:p>
        </w:tc>
        <w:tc>
          <w:tcPr>
            <w:tcW w:w="0" w:type="auto"/>
            <w:tcBorders>
              <w:top w:val="nil"/>
              <w:left w:val="nil"/>
              <w:bottom w:val="single" w:sz="4" w:space="0" w:color="auto"/>
              <w:right w:val="single" w:sz="4" w:space="0" w:color="auto"/>
            </w:tcBorders>
            <w:shd w:val="clear" w:color="000000" w:fill="5B9BD5"/>
            <w:vAlign w:val="center"/>
            <w:hideMark/>
          </w:tcPr>
          <w:p w14:paraId="1939567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68,000,000</w:t>
            </w:r>
          </w:p>
        </w:tc>
        <w:tc>
          <w:tcPr>
            <w:tcW w:w="0" w:type="auto"/>
            <w:tcBorders>
              <w:top w:val="nil"/>
              <w:left w:val="nil"/>
              <w:bottom w:val="single" w:sz="4" w:space="0" w:color="auto"/>
              <w:right w:val="single" w:sz="4" w:space="0" w:color="auto"/>
            </w:tcBorders>
            <w:shd w:val="clear" w:color="000000" w:fill="5B9BD5"/>
            <w:vAlign w:val="center"/>
            <w:hideMark/>
          </w:tcPr>
          <w:p w14:paraId="47B7449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CCF06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68,000,000</w:t>
            </w:r>
          </w:p>
        </w:tc>
        <w:tc>
          <w:tcPr>
            <w:tcW w:w="0" w:type="auto"/>
            <w:tcBorders>
              <w:top w:val="nil"/>
              <w:left w:val="nil"/>
              <w:bottom w:val="single" w:sz="4" w:space="0" w:color="auto"/>
              <w:right w:val="single" w:sz="4" w:space="0" w:color="auto"/>
            </w:tcBorders>
            <w:shd w:val="clear" w:color="000000" w:fill="5B9BD5"/>
            <w:vAlign w:val="center"/>
            <w:hideMark/>
          </w:tcPr>
          <w:p w14:paraId="0D2C1A4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FF9D9C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F24B76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E9BE9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E58634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FE58DF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483D0D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195,800,000</w:t>
            </w:r>
          </w:p>
        </w:tc>
        <w:tc>
          <w:tcPr>
            <w:tcW w:w="0" w:type="auto"/>
            <w:tcBorders>
              <w:top w:val="nil"/>
              <w:left w:val="nil"/>
              <w:bottom w:val="single" w:sz="4" w:space="0" w:color="auto"/>
              <w:right w:val="single" w:sz="4" w:space="0" w:color="auto"/>
            </w:tcBorders>
            <w:shd w:val="clear" w:color="000000" w:fill="5B9BD5"/>
            <w:vAlign w:val="center"/>
            <w:hideMark/>
          </w:tcPr>
          <w:p w14:paraId="6FEE891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D0EF74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195,800,000</w:t>
            </w:r>
          </w:p>
        </w:tc>
        <w:tc>
          <w:tcPr>
            <w:tcW w:w="0" w:type="auto"/>
            <w:tcBorders>
              <w:top w:val="nil"/>
              <w:left w:val="nil"/>
              <w:bottom w:val="single" w:sz="4" w:space="0" w:color="auto"/>
              <w:right w:val="single" w:sz="4" w:space="0" w:color="auto"/>
            </w:tcBorders>
            <w:shd w:val="clear" w:color="000000" w:fill="5B9BD5"/>
            <w:vAlign w:val="center"/>
            <w:hideMark/>
          </w:tcPr>
          <w:p w14:paraId="32320FD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195,800,000</w:t>
            </w:r>
          </w:p>
        </w:tc>
        <w:tc>
          <w:tcPr>
            <w:tcW w:w="0" w:type="auto"/>
            <w:tcBorders>
              <w:top w:val="nil"/>
              <w:left w:val="nil"/>
              <w:bottom w:val="single" w:sz="4" w:space="0" w:color="auto"/>
              <w:right w:val="single" w:sz="4" w:space="0" w:color="auto"/>
            </w:tcBorders>
            <w:shd w:val="clear" w:color="000000" w:fill="5B9BD5"/>
            <w:vAlign w:val="center"/>
            <w:hideMark/>
          </w:tcPr>
          <w:p w14:paraId="4595FD1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61B94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195,800,000</w:t>
            </w:r>
          </w:p>
        </w:tc>
        <w:tc>
          <w:tcPr>
            <w:tcW w:w="0" w:type="auto"/>
            <w:tcBorders>
              <w:top w:val="nil"/>
              <w:left w:val="nil"/>
              <w:bottom w:val="single" w:sz="4" w:space="0" w:color="auto"/>
              <w:right w:val="single" w:sz="4" w:space="0" w:color="auto"/>
            </w:tcBorders>
            <w:shd w:val="clear" w:color="000000" w:fill="5B9BD5"/>
            <w:vAlign w:val="center"/>
            <w:hideMark/>
          </w:tcPr>
          <w:p w14:paraId="0B0BAD1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9FCE4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5DEF64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59AEBA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34FCBD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74C1DA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E1B212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1D3EBE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2EEB71D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noWrap/>
            <w:vAlign w:val="center"/>
            <w:hideMark/>
          </w:tcPr>
          <w:p w14:paraId="7009EB7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w:t>
            </w:r>
          </w:p>
        </w:tc>
        <w:tc>
          <w:tcPr>
            <w:tcW w:w="0" w:type="auto"/>
            <w:tcBorders>
              <w:top w:val="nil"/>
              <w:left w:val="nil"/>
              <w:bottom w:val="single" w:sz="4" w:space="0" w:color="auto"/>
              <w:right w:val="nil"/>
            </w:tcBorders>
            <w:shd w:val="clear" w:color="000000" w:fill="FCE4D6"/>
            <w:vAlign w:val="center"/>
            <w:hideMark/>
          </w:tcPr>
          <w:p w14:paraId="479BF453"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Rritja e profesionalizmit, kapacitetit teknologjik dhe efikasitetit operacional të institucioneve ligjzbatuese dhe të drejtësisë</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F8ECC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CA0FD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71751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48D4E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C0257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0D6A2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52AA3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FD246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0E664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1A692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E3F71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3021D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3452F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042E5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16F12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D142C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A02CC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8639B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0404B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D8CA2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755BF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FA4E5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4171F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614EC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BB17B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2CC8B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C0B06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DF286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C28F9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B0302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D805C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058136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DECFE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7DE1C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0FC68E1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245070B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1.4.1</w:t>
            </w:r>
          </w:p>
        </w:tc>
        <w:tc>
          <w:tcPr>
            <w:tcW w:w="0" w:type="auto"/>
            <w:tcBorders>
              <w:top w:val="nil"/>
              <w:left w:val="nil"/>
              <w:bottom w:val="single" w:sz="4" w:space="0" w:color="auto"/>
              <w:right w:val="single" w:sz="4" w:space="0" w:color="auto"/>
            </w:tcBorders>
            <w:shd w:val="clear" w:color="auto" w:fill="auto"/>
            <w:vAlign w:val="bottom"/>
            <w:hideMark/>
          </w:tcPr>
          <w:p w14:paraId="3D0141B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Reformimi i Policisë Kriminale përmes modernizimit të strukturës organizative, përmirësimit të kapaciteteve teknologjike, trajnimit, zhvillimit profesional të personelit dhe forcimit të bashkëpunimit ndërkombëtar, përfshirë zbatimin e dispozitave të ligjit të ri nr. 82/2024 për Policinë e Shtetit.</w:t>
            </w:r>
          </w:p>
        </w:tc>
        <w:tc>
          <w:tcPr>
            <w:tcW w:w="0" w:type="auto"/>
            <w:tcBorders>
              <w:top w:val="nil"/>
              <w:left w:val="nil"/>
              <w:bottom w:val="single" w:sz="4" w:space="0" w:color="auto"/>
              <w:right w:val="single" w:sz="4" w:space="0" w:color="auto"/>
            </w:tcBorders>
            <w:shd w:val="clear" w:color="000000" w:fill="FFFFFF"/>
            <w:vAlign w:val="center"/>
            <w:hideMark/>
          </w:tcPr>
          <w:p w14:paraId="744237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91604AD</w:t>
            </w:r>
          </w:p>
        </w:tc>
        <w:tc>
          <w:tcPr>
            <w:tcW w:w="0" w:type="auto"/>
            <w:tcBorders>
              <w:top w:val="nil"/>
              <w:left w:val="nil"/>
              <w:bottom w:val="single" w:sz="4" w:space="0" w:color="auto"/>
              <w:right w:val="single" w:sz="4" w:space="0" w:color="auto"/>
            </w:tcBorders>
            <w:shd w:val="clear" w:color="000000" w:fill="FFFFFF"/>
            <w:noWrap/>
            <w:vAlign w:val="center"/>
            <w:hideMark/>
          </w:tcPr>
          <w:p w14:paraId="2B529B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noWrap/>
            <w:vAlign w:val="center"/>
            <w:hideMark/>
          </w:tcPr>
          <w:p w14:paraId="1B1B47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000000" w:fill="FFFFFF"/>
            <w:vAlign w:val="center"/>
            <w:hideMark/>
          </w:tcPr>
          <w:p w14:paraId="00899AB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A018CB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87F21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70421B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329F5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6BC4DA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79FE68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FFA77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36CDBE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0E0883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968A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654ACD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01BC57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16D8D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52CCA7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noWrap/>
            <w:vAlign w:val="center"/>
            <w:hideMark/>
          </w:tcPr>
          <w:p w14:paraId="103FC9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A10EA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100,709,238</w:t>
            </w:r>
          </w:p>
        </w:tc>
        <w:tc>
          <w:tcPr>
            <w:tcW w:w="0" w:type="auto"/>
            <w:tcBorders>
              <w:top w:val="nil"/>
              <w:left w:val="nil"/>
              <w:bottom w:val="single" w:sz="4" w:space="0" w:color="auto"/>
              <w:right w:val="single" w:sz="4" w:space="0" w:color="auto"/>
            </w:tcBorders>
            <w:shd w:val="clear" w:color="000000" w:fill="FFFFFF"/>
            <w:vAlign w:val="center"/>
            <w:hideMark/>
          </w:tcPr>
          <w:p w14:paraId="75FBC8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503,546,190</w:t>
            </w:r>
          </w:p>
        </w:tc>
        <w:tc>
          <w:tcPr>
            <w:tcW w:w="0" w:type="auto"/>
            <w:tcBorders>
              <w:top w:val="nil"/>
              <w:left w:val="nil"/>
              <w:bottom w:val="single" w:sz="4" w:space="0" w:color="auto"/>
              <w:right w:val="single" w:sz="4" w:space="0" w:color="auto"/>
            </w:tcBorders>
            <w:shd w:val="clear" w:color="000000" w:fill="FFFFFF"/>
            <w:vAlign w:val="center"/>
            <w:hideMark/>
          </w:tcPr>
          <w:p w14:paraId="573B50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99866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503,546,190</w:t>
            </w:r>
          </w:p>
        </w:tc>
        <w:tc>
          <w:tcPr>
            <w:tcW w:w="0" w:type="auto"/>
            <w:tcBorders>
              <w:top w:val="nil"/>
              <w:left w:val="nil"/>
              <w:bottom w:val="single" w:sz="4" w:space="0" w:color="auto"/>
              <w:right w:val="single" w:sz="4" w:space="0" w:color="auto"/>
            </w:tcBorders>
            <w:shd w:val="clear" w:color="000000" w:fill="FFFFFF"/>
            <w:noWrap/>
            <w:vAlign w:val="center"/>
            <w:hideMark/>
          </w:tcPr>
          <w:p w14:paraId="06A016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302,127,714</w:t>
            </w:r>
          </w:p>
        </w:tc>
        <w:tc>
          <w:tcPr>
            <w:tcW w:w="0" w:type="auto"/>
            <w:tcBorders>
              <w:top w:val="nil"/>
              <w:left w:val="nil"/>
              <w:bottom w:val="single" w:sz="4" w:space="0" w:color="auto"/>
              <w:right w:val="single" w:sz="4" w:space="0" w:color="auto"/>
            </w:tcBorders>
            <w:shd w:val="clear" w:color="000000" w:fill="FFFFFF"/>
            <w:noWrap/>
            <w:vAlign w:val="center"/>
            <w:hideMark/>
          </w:tcPr>
          <w:p w14:paraId="467EF3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F4E1A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302,127,714</w:t>
            </w:r>
          </w:p>
        </w:tc>
        <w:tc>
          <w:tcPr>
            <w:tcW w:w="0" w:type="auto"/>
            <w:tcBorders>
              <w:top w:val="nil"/>
              <w:left w:val="nil"/>
              <w:bottom w:val="single" w:sz="4" w:space="0" w:color="auto"/>
              <w:right w:val="single" w:sz="4" w:space="0" w:color="auto"/>
            </w:tcBorders>
            <w:shd w:val="clear" w:color="000000" w:fill="FFFFFF"/>
            <w:noWrap/>
            <w:vAlign w:val="center"/>
            <w:hideMark/>
          </w:tcPr>
          <w:p w14:paraId="42487E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201,418,476</w:t>
            </w:r>
          </w:p>
        </w:tc>
        <w:tc>
          <w:tcPr>
            <w:tcW w:w="0" w:type="auto"/>
            <w:tcBorders>
              <w:top w:val="nil"/>
              <w:left w:val="nil"/>
              <w:bottom w:val="single" w:sz="4" w:space="0" w:color="auto"/>
              <w:right w:val="single" w:sz="4" w:space="0" w:color="auto"/>
            </w:tcBorders>
            <w:shd w:val="clear" w:color="000000" w:fill="FFFFFF"/>
            <w:noWrap/>
            <w:vAlign w:val="center"/>
            <w:hideMark/>
          </w:tcPr>
          <w:p w14:paraId="721832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47F6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201,418,476</w:t>
            </w:r>
          </w:p>
        </w:tc>
        <w:tc>
          <w:tcPr>
            <w:tcW w:w="0" w:type="auto"/>
            <w:tcBorders>
              <w:top w:val="nil"/>
              <w:left w:val="nil"/>
              <w:bottom w:val="single" w:sz="4" w:space="0" w:color="auto"/>
              <w:right w:val="single" w:sz="4" w:space="0" w:color="auto"/>
            </w:tcBorders>
            <w:shd w:val="clear" w:color="000000" w:fill="FFFFFF"/>
            <w:vAlign w:val="center"/>
            <w:hideMark/>
          </w:tcPr>
          <w:p w14:paraId="54C596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3443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07944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0CF57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D6D28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771FC3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4867D9C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1.4.2</w:t>
            </w:r>
          </w:p>
        </w:tc>
        <w:tc>
          <w:tcPr>
            <w:tcW w:w="0" w:type="auto"/>
            <w:tcBorders>
              <w:top w:val="nil"/>
              <w:left w:val="nil"/>
              <w:bottom w:val="single" w:sz="4" w:space="0" w:color="auto"/>
              <w:right w:val="single" w:sz="4" w:space="0" w:color="auto"/>
            </w:tcBorders>
            <w:shd w:val="clear" w:color="auto" w:fill="auto"/>
            <w:vAlign w:val="center"/>
            <w:hideMark/>
          </w:tcPr>
          <w:p w14:paraId="531B5A93"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kapaciteteve hetimore kundër të gjitha formave të krimit të organizuar (në veçanti krimit ekonomik dhe financiar, krimit kibernetik, hetimit financiar, identifikimit dhe sekuestrimit të aseteve), përmes trajnimeve të avancuara, futjes dhe përdorimit të vazhdueshëm të teknologjive moderne, forcimit të kapaciteteve teknike, financiare, dhe infrastrukturore, përdorimit të inteligjencës kriminale, dhe bashkëpunimit e shkëmbimit të informacionit me partnerët ndërkombëtarë.</w:t>
            </w:r>
          </w:p>
        </w:tc>
        <w:tc>
          <w:tcPr>
            <w:tcW w:w="0" w:type="auto"/>
            <w:tcBorders>
              <w:top w:val="nil"/>
              <w:left w:val="nil"/>
              <w:bottom w:val="single" w:sz="4" w:space="0" w:color="auto"/>
              <w:right w:val="single" w:sz="4" w:space="0" w:color="auto"/>
            </w:tcBorders>
            <w:shd w:val="clear" w:color="000000" w:fill="FFFFFF"/>
            <w:vAlign w:val="center"/>
            <w:hideMark/>
          </w:tcPr>
          <w:p w14:paraId="5B6E8F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single" w:sz="4" w:space="0" w:color="auto"/>
            </w:tcBorders>
            <w:shd w:val="clear" w:color="000000" w:fill="FFFFFF"/>
            <w:noWrap/>
            <w:vAlign w:val="center"/>
            <w:hideMark/>
          </w:tcPr>
          <w:p w14:paraId="3B8C69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noWrap/>
            <w:vAlign w:val="center"/>
            <w:hideMark/>
          </w:tcPr>
          <w:p w14:paraId="14AF7D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000000" w:fill="FFFFFF"/>
            <w:vAlign w:val="center"/>
            <w:hideMark/>
          </w:tcPr>
          <w:p w14:paraId="2B75D24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210EB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3E3984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3FA882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E91A4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74517D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75587F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2432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0AA107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5EA3A7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74B1B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2768B9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77ADFC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CC83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08D83F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noWrap/>
            <w:vAlign w:val="center"/>
            <w:hideMark/>
          </w:tcPr>
          <w:p w14:paraId="6AF7E5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3353B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84,404,551</w:t>
            </w:r>
          </w:p>
        </w:tc>
        <w:tc>
          <w:tcPr>
            <w:tcW w:w="0" w:type="auto"/>
            <w:tcBorders>
              <w:top w:val="nil"/>
              <w:left w:val="nil"/>
              <w:bottom w:val="single" w:sz="4" w:space="0" w:color="auto"/>
              <w:right w:val="single" w:sz="4" w:space="0" w:color="auto"/>
            </w:tcBorders>
            <w:shd w:val="clear" w:color="000000" w:fill="FFFFFF"/>
            <w:vAlign w:val="center"/>
            <w:hideMark/>
          </w:tcPr>
          <w:p w14:paraId="6C37C3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422,022,755</w:t>
            </w:r>
          </w:p>
        </w:tc>
        <w:tc>
          <w:tcPr>
            <w:tcW w:w="0" w:type="auto"/>
            <w:tcBorders>
              <w:top w:val="nil"/>
              <w:left w:val="nil"/>
              <w:bottom w:val="single" w:sz="4" w:space="0" w:color="auto"/>
              <w:right w:val="single" w:sz="4" w:space="0" w:color="auto"/>
            </w:tcBorders>
            <w:shd w:val="clear" w:color="000000" w:fill="FFFFFF"/>
            <w:vAlign w:val="center"/>
            <w:hideMark/>
          </w:tcPr>
          <w:p w14:paraId="32658B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CB43C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422,022,755</w:t>
            </w:r>
          </w:p>
        </w:tc>
        <w:tc>
          <w:tcPr>
            <w:tcW w:w="0" w:type="auto"/>
            <w:tcBorders>
              <w:top w:val="nil"/>
              <w:left w:val="nil"/>
              <w:bottom w:val="single" w:sz="4" w:space="0" w:color="auto"/>
              <w:right w:val="single" w:sz="4" w:space="0" w:color="auto"/>
            </w:tcBorders>
            <w:shd w:val="clear" w:color="000000" w:fill="FFFFFF"/>
            <w:noWrap/>
            <w:vAlign w:val="center"/>
            <w:hideMark/>
          </w:tcPr>
          <w:p w14:paraId="299282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253,213,653</w:t>
            </w:r>
          </w:p>
        </w:tc>
        <w:tc>
          <w:tcPr>
            <w:tcW w:w="0" w:type="auto"/>
            <w:tcBorders>
              <w:top w:val="nil"/>
              <w:left w:val="nil"/>
              <w:bottom w:val="single" w:sz="4" w:space="0" w:color="auto"/>
              <w:right w:val="single" w:sz="4" w:space="0" w:color="auto"/>
            </w:tcBorders>
            <w:shd w:val="clear" w:color="000000" w:fill="FFFFFF"/>
            <w:noWrap/>
            <w:vAlign w:val="center"/>
            <w:hideMark/>
          </w:tcPr>
          <w:p w14:paraId="74B3B4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2066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253,213,653</w:t>
            </w:r>
          </w:p>
        </w:tc>
        <w:tc>
          <w:tcPr>
            <w:tcW w:w="0" w:type="auto"/>
            <w:tcBorders>
              <w:top w:val="nil"/>
              <w:left w:val="nil"/>
              <w:bottom w:val="single" w:sz="4" w:space="0" w:color="auto"/>
              <w:right w:val="single" w:sz="4" w:space="0" w:color="auto"/>
            </w:tcBorders>
            <w:shd w:val="clear" w:color="000000" w:fill="FFFFFF"/>
            <w:noWrap/>
            <w:vAlign w:val="center"/>
            <w:hideMark/>
          </w:tcPr>
          <w:p w14:paraId="4F0041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168,809,102</w:t>
            </w:r>
          </w:p>
        </w:tc>
        <w:tc>
          <w:tcPr>
            <w:tcW w:w="0" w:type="auto"/>
            <w:tcBorders>
              <w:top w:val="nil"/>
              <w:left w:val="nil"/>
              <w:bottom w:val="single" w:sz="4" w:space="0" w:color="auto"/>
              <w:right w:val="single" w:sz="4" w:space="0" w:color="auto"/>
            </w:tcBorders>
            <w:shd w:val="clear" w:color="000000" w:fill="FFFFFF"/>
            <w:noWrap/>
            <w:vAlign w:val="center"/>
            <w:hideMark/>
          </w:tcPr>
          <w:p w14:paraId="57ED16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8FC4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168,809,102</w:t>
            </w:r>
          </w:p>
        </w:tc>
        <w:tc>
          <w:tcPr>
            <w:tcW w:w="0" w:type="auto"/>
            <w:tcBorders>
              <w:top w:val="nil"/>
              <w:left w:val="nil"/>
              <w:bottom w:val="single" w:sz="4" w:space="0" w:color="auto"/>
              <w:right w:val="single" w:sz="4" w:space="0" w:color="auto"/>
            </w:tcBorders>
            <w:shd w:val="clear" w:color="000000" w:fill="FFFFFF"/>
            <w:vAlign w:val="center"/>
            <w:hideMark/>
          </w:tcPr>
          <w:p w14:paraId="4F783E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F8A8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73060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FBBB3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ED1F3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BC1B37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5139383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1.4.3</w:t>
            </w:r>
          </w:p>
        </w:tc>
        <w:tc>
          <w:tcPr>
            <w:tcW w:w="0" w:type="auto"/>
            <w:tcBorders>
              <w:top w:val="nil"/>
              <w:left w:val="nil"/>
              <w:bottom w:val="single" w:sz="4" w:space="0" w:color="auto"/>
              <w:right w:val="single" w:sz="4" w:space="0" w:color="auto"/>
            </w:tcBorders>
            <w:shd w:val="clear" w:color="auto" w:fill="auto"/>
            <w:vAlign w:val="center"/>
            <w:hideMark/>
          </w:tcPr>
          <w:p w14:paraId="1B2F5793"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Rekrutimi punonjësve për shërbimin e policisë gjyqësore, në përputhje me nevojat operacionale të identifikuara dhe boshllëqet e prioritizuara të aftësive.</w:t>
            </w:r>
          </w:p>
        </w:tc>
        <w:tc>
          <w:tcPr>
            <w:tcW w:w="0" w:type="auto"/>
            <w:tcBorders>
              <w:top w:val="nil"/>
              <w:left w:val="nil"/>
              <w:bottom w:val="single" w:sz="4" w:space="0" w:color="auto"/>
              <w:right w:val="single" w:sz="4" w:space="0" w:color="auto"/>
            </w:tcBorders>
            <w:shd w:val="clear" w:color="000000" w:fill="FFFFFF"/>
            <w:vAlign w:val="center"/>
            <w:hideMark/>
          </w:tcPr>
          <w:p w14:paraId="023F6C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91601AB</w:t>
            </w:r>
          </w:p>
        </w:tc>
        <w:tc>
          <w:tcPr>
            <w:tcW w:w="0" w:type="auto"/>
            <w:tcBorders>
              <w:top w:val="nil"/>
              <w:left w:val="nil"/>
              <w:bottom w:val="single" w:sz="4" w:space="0" w:color="auto"/>
              <w:right w:val="single" w:sz="4" w:space="0" w:color="auto"/>
            </w:tcBorders>
            <w:shd w:val="clear" w:color="000000" w:fill="FFFFFF"/>
            <w:noWrap/>
            <w:vAlign w:val="center"/>
            <w:hideMark/>
          </w:tcPr>
          <w:p w14:paraId="5643C2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Byroja Kombëtare e Hetimit </w:t>
            </w:r>
          </w:p>
        </w:tc>
        <w:tc>
          <w:tcPr>
            <w:tcW w:w="0" w:type="auto"/>
            <w:tcBorders>
              <w:top w:val="nil"/>
              <w:left w:val="nil"/>
              <w:bottom w:val="single" w:sz="4" w:space="0" w:color="auto"/>
              <w:right w:val="single" w:sz="4" w:space="0" w:color="auto"/>
            </w:tcBorders>
            <w:shd w:val="clear" w:color="000000" w:fill="FFFFFF"/>
            <w:noWrap/>
            <w:vAlign w:val="center"/>
            <w:hideMark/>
          </w:tcPr>
          <w:p w14:paraId="008C7D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8C5467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32C885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4E7739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185,000,000</w:t>
            </w:r>
          </w:p>
        </w:tc>
        <w:tc>
          <w:tcPr>
            <w:tcW w:w="0" w:type="auto"/>
            <w:tcBorders>
              <w:top w:val="nil"/>
              <w:left w:val="nil"/>
              <w:bottom w:val="single" w:sz="4" w:space="0" w:color="auto"/>
              <w:right w:val="single" w:sz="4" w:space="0" w:color="auto"/>
            </w:tcBorders>
            <w:shd w:val="clear" w:color="000000" w:fill="FFFFFF"/>
            <w:noWrap/>
            <w:vAlign w:val="center"/>
            <w:hideMark/>
          </w:tcPr>
          <w:p w14:paraId="4EE2D5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F1978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185,000,000</w:t>
            </w:r>
          </w:p>
        </w:tc>
        <w:tc>
          <w:tcPr>
            <w:tcW w:w="0" w:type="auto"/>
            <w:tcBorders>
              <w:top w:val="nil"/>
              <w:left w:val="nil"/>
              <w:bottom w:val="single" w:sz="4" w:space="0" w:color="auto"/>
              <w:right w:val="single" w:sz="4" w:space="0" w:color="auto"/>
            </w:tcBorders>
            <w:shd w:val="clear" w:color="000000" w:fill="FFFFFF"/>
            <w:noWrap/>
            <w:vAlign w:val="center"/>
            <w:hideMark/>
          </w:tcPr>
          <w:p w14:paraId="3F35FC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185,000,000</w:t>
            </w:r>
          </w:p>
        </w:tc>
        <w:tc>
          <w:tcPr>
            <w:tcW w:w="0" w:type="auto"/>
            <w:tcBorders>
              <w:top w:val="nil"/>
              <w:left w:val="nil"/>
              <w:bottom w:val="single" w:sz="4" w:space="0" w:color="auto"/>
              <w:right w:val="single" w:sz="4" w:space="0" w:color="auto"/>
            </w:tcBorders>
            <w:shd w:val="clear" w:color="000000" w:fill="FFFFFF"/>
            <w:noWrap/>
            <w:vAlign w:val="center"/>
            <w:hideMark/>
          </w:tcPr>
          <w:p w14:paraId="15163B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FB62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185,000,000</w:t>
            </w:r>
          </w:p>
        </w:tc>
        <w:tc>
          <w:tcPr>
            <w:tcW w:w="0" w:type="auto"/>
            <w:tcBorders>
              <w:top w:val="nil"/>
              <w:left w:val="nil"/>
              <w:bottom w:val="single" w:sz="4" w:space="0" w:color="auto"/>
              <w:right w:val="single" w:sz="4" w:space="0" w:color="auto"/>
            </w:tcBorders>
            <w:shd w:val="clear" w:color="000000" w:fill="FFFFFF"/>
            <w:noWrap/>
            <w:vAlign w:val="center"/>
            <w:hideMark/>
          </w:tcPr>
          <w:p w14:paraId="16F77F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185,000,000</w:t>
            </w:r>
          </w:p>
        </w:tc>
        <w:tc>
          <w:tcPr>
            <w:tcW w:w="0" w:type="auto"/>
            <w:tcBorders>
              <w:top w:val="nil"/>
              <w:left w:val="nil"/>
              <w:bottom w:val="single" w:sz="4" w:space="0" w:color="auto"/>
              <w:right w:val="single" w:sz="4" w:space="0" w:color="auto"/>
            </w:tcBorders>
            <w:shd w:val="clear" w:color="000000" w:fill="FFFFFF"/>
            <w:noWrap/>
            <w:vAlign w:val="center"/>
            <w:hideMark/>
          </w:tcPr>
          <w:p w14:paraId="2FE0C6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2BFC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185,000,000</w:t>
            </w:r>
          </w:p>
        </w:tc>
        <w:tc>
          <w:tcPr>
            <w:tcW w:w="0" w:type="auto"/>
            <w:tcBorders>
              <w:top w:val="nil"/>
              <w:left w:val="nil"/>
              <w:bottom w:val="single" w:sz="4" w:space="0" w:color="auto"/>
              <w:right w:val="single" w:sz="4" w:space="0" w:color="auto"/>
            </w:tcBorders>
            <w:shd w:val="clear" w:color="000000" w:fill="FFFFFF"/>
            <w:noWrap/>
            <w:vAlign w:val="center"/>
            <w:hideMark/>
          </w:tcPr>
          <w:p w14:paraId="7B70AF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07A1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D9D2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783C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ABB2E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ED22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5B48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555,000,000</w:t>
            </w:r>
          </w:p>
        </w:tc>
        <w:tc>
          <w:tcPr>
            <w:tcW w:w="0" w:type="auto"/>
            <w:tcBorders>
              <w:top w:val="nil"/>
              <w:left w:val="nil"/>
              <w:bottom w:val="single" w:sz="4" w:space="0" w:color="auto"/>
              <w:right w:val="single" w:sz="4" w:space="0" w:color="auto"/>
            </w:tcBorders>
            <w:shd w:val="clear" w:color="000000" w:fill="FFFFFF"/>
            <w:vAlign w:val="center"/>
            <w:hideMark/>
          </w:tcPr>
          <w:p w14:paraId="3E09FE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07809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555,000,000</w:t>
            </w:r>
          </w:p>
        </w:tc>
        <w:tc>
          <w:tcPr>
            <w:tcW w:w="0" w:type="auto"/>
            <w:tcBorders>
              <w:top w:val="nil"/>
              <w:left w:val="nil"/>
              <w:bottom w:val="single" w:sz="4" w:space="0" w:color="auto"/>
              <w:right w:val="single" w:sz="4" w:space="0" w:color="auto"/>
            </w:tcBorders>
            <w:shd w:val="clear" w:color="000000" w:fill="FFFFFF"/>
            <w:noWrap/>
            <w:vAlign w:val="center"/>
            <w:hideMark/>
          </w:tcPr>
          <w:p w14:paraId="3819BA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555,000,000</w:t>
            </w:r>
          </w:p>
        </w:tc>
        <w:tc>
          <w:tcPr>
            <w:tcW w:w="0" w:type="auto"/>
            <w:tcBorders>
              <w:top w:val="nil"/>
              <w:left w:val="nil"/>
              <w:bottom w:val="single" w:sz="4" w:space="0" w:color="auto"/>
              <w:right w:val="single" w:sz="4" w:space="0" w:color="auto"/>
            </w:tcBorders>
            <w:shd w:val="clear" w:color="000000" w:fill="FFFFFF"/>
            <w:noWrap/>
            <w:vAlign w:val="center"/>
            <w:hideMark/>
          </w:tcPr>
          <w:p w14:paraId="4E0729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3D4FF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555,000,000</w:t>
            </w:r>
          </w:p>
        </w:tc>
        <w:tc>
          <w:tcPr>
            <w:tcW w:w="0" w:type="auto"/>
            <w:tcBorders>
              <w:top w:val="nil"/>
              <w:left w:val="nil"/>
              <w:bottom w:val="single" w:sz="4" w:space="0" w:color="auto"/>
              <w:right w:val="single" w:sz="4" w:space="0" w:color="auto"/>
            </w:tcBorders>
            <w:shd w:val="clear" w:color="000000" w:fill="FFFFFF"/>
            <w:noWrap/>
            <w:vAlign w:val="center"/>
            <w:hideMark/>
          </w:tcPr>
          <w:p w14:paraId="1D6AD2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2AD8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B780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C763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4C16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BF79AA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4F440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96892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D17F58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18C3038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1.4.4</w:t>
            </w:r>
          </w:p>
        </w:tc>
        <w:tc>
          <w:tcPr>
            <w:tcW w:w="0" w:type="auto"/>
            <w:tcBorders>
              <w:top w:val="nil"/>
              <w:left w:val="nil"/>
              <w:bottom w:val="single" w:sz="4" w:space="0" w:color="auto"/>
              <w:right w:val="single" w:sz="4" w:space="0" w:color="auto"/>
            </w:tcBorders>
            <w:shd w:val="clear" w:color="auto" w:fill="auto"/>
            <w:vAlign w:val="bottom"/>
            <w:hideMark/>
          </w:tcPr>
          <w:p w14:paraId="0C6A3D3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Profilizimi i programeve të Akademisë së Sigurisë dhe arsimimi/trajnimi i punonjësve të Policisë së Shtetit në luftën kundër krimit të organizuar, përfshirë përmes përditësimit të kurrikulave dhe ofrimit të moduleve të specializuara të Akademisë së Sigurisë.</w:t>
            </w:r>
          </w:p>
        </w:tc>
        <w:tc>
          <w:tcPr>
            <w:tcW w:w="0" w:type="auto"/>
            <w:tcBorders>
              <w:top w:val="nil"/>
              <w:left w:val="nil"/>
              <w:bottom w:val="single" w:sz="4" w:space="0" w:color="auto"/>
              <w:right w:val="single" w:sz="4" w:space="0" w:color="auto"/>
            </w:tcBorders>
            <w:shd w:val="clear" w:color="000000" w:fill="FFFFFF"/>
            <w:vAlign w:val="center"/>
            <w:hideMark/>
          </w:tcPr>
          <w:p w14:paraId="62BC0A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91604AM</w:t>
            </w:r>
          </w:p>
        </w:tc>
        <w:tc>
          <w:tcPr>
            <w:tcW w:w="0" w:type="auto"/>
            <w:tcBorders>
              <w:top w:val="nil"/>
              <w:left w:val="nil"/>
              <w:bottom w:val="single" w:sz="4" w:space="0" w:color="auto"/>
              <w:right w:val="single" w:sz="4" w:space="0" w:color="auto"/>
            </w:tcBorders>
            <w:shd w:val="clear" w:color="000000" w:fill="FFFFFF"/>
            <w:vAlign w:val="center"/>
            <w:hideMark/>
          </w:tcPr>
          <w:p w14:paraId="62F26D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Shtetit/Akademia e Sigurisë</w:t>
            </w:r>
          </w:p>
        </w:tc>
        <w:tc>
          <w:tcPr>
            <w:tcW w:w="0" w:type="auto"/>
            <w:tcBorders>
              <w:top w:val="nil"/>
              <w:left w:val="nil"/>
              <w:bottom w:val="single" w:sz="4" w:space="0" w:color="auto"/>
              <w:right w:val="single" w:sz="4" w:space="0" w:color="auto"/>
            </w:tcBorders>
            <w:shd w:val="clear" w:color="000000" w:fill="FFFFFF"/>
            <w:noWrap/>
            <w:vAlign w:val="center"/>
            <w:hideMark/>
          </w:tcPr>
          <w:p w14:paraId="0961D1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8A391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623243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0D3145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5,311,716</w:t>
            </w:r>
          </w:p>
        </w:tc>
        <w:tc>
          <w:tcPr>
            <w:tcW w:w="0" w:type="auto"/>
            <w:tcBorders>
              <w:top w:val="nil"/>
              <w:left w:val="nil"/>
              <w:bottom w:val="single" w:sz="4" w:space="0" w:color="auto"/>
              <w:right w:val="single" w:sz="4" w:space="0" w:color="auto"/>
            </w:tcBorders>
            <w:shd w:val="clear" w:color="000000" w:fill="FFFFFF"/>
            <w:noWrap/>
            <w:vAlign w:val="center"/>
            <w:hideMark/>
          </w:tcPr>
          <w:p w14:paraId="363F1C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430B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5,311,716</w:t>
            </w:r>
          </w:p>
        </w:tc>
        <w:tc>
          <w:tcPr>
            <w:tcW w:w="0" w:type="auto"/>
            <w:tcBorders>
              <w:top w:val="nil"/>
              <w:left w:val="nil"/>
              <w:bottom w:val="single" w:sz="4" w:space="0" w:color="auto"/>
              <w:right w:val="single" w:sz="4" w:space="0" w:color="auto"/>
            </w:tcBorders>
            <w:shd w:val="clear" w:color="000000" w:fill="FFFFFF"/>
            <w:noWrap/>
            <w:vAlign w:val="center"/>
            <w:hideMark/>
          </w:tcPr>
          <w:p w14:paraId="5D1BFB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59973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B02DD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F8E4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25FEA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B09C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75A8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AC292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58C80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A1AF0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681ED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18129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31F4A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5,311,716</w:t>
            </w:r>
          </w:p>
        </w:tc>
        <w:tc>
          <w:tcPr>
            <w:tcW w:w="0" w:type="auto"/>
            <w:tcBorders>
              <w:top w:val="nil"/>
              <w:left w:val="nil"/>
              <w:bottom w:val="single" w:sz="4" w:space="0" w:color="auto"/>
              <w:right w:val="single" w:sz="4" w:space="0" w:color="auto"/>
            </w:tcBorders>
            <w:shd w:val="clear" w:color="000000" w:fill="FFFFFF"/>
            <w:vAlign w:val="center"/>
            <w:hideMark/>
          </w:tcPr>
          <w:p w14:paraId="7272A1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A5BB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5,311,716</w:t>
            </w:r>
          </w:p>
        </w:tc>
        <w:tc>
          <w:tcPr>
            <w:tcW w:w="0" w:type="auto"/>
            <w:tcBorders>
              <w:top w:val="nil"/>
              <w:left w:val="nil"/>
              <w:bottom w:val="single" w:sz="4" w:space="0" w:color="auto"/>
              <w:right w:val="single" w:sz="4" w:space="0" w:color="auto"/>
            </w:tcBorders>
            <w:shd w:val="clear" w:color="000000" w:fill="FFFFFF"/>
            <w:noWrap/>
            <w:vAlign w:val="center"/>
            <w:hideMark/>
          </w:tcPr>
          <w:p w14:paraId="1B1D2F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5,311,716</w:t>
            </w:r>
          </w:p>
        </w:tc>
        <w:tc>
          <w:tcPr>
            <w:tcW w:w="0" w:type="auto"/>
            <w:tcBorders>
              <w:top w:val="nil"/>
              <w:left w:val="nil"/>
              <w:bottom w:val="single" w:sz="4" w:space="0" w:color="auto"/>
              <w:right w:val="single" w:sz="4" w:space="0" w:color="auto"/>
            </w:tcBorders>
            <w:shd w:val="clear" w:color="000000" w:fill="FFFFFF"/>
            <w:noWrap/>
            <w:vAlign w:val="center"/>
            <w:hideMark/>
          </w:tcPr>
          <w:p w14:paraId="49C219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65C63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5,311,716</w:t>
            </w:r>
          </w:p>
        </w:tc>
        <w:tc>
          <w:tcPr>
            <w:tcW w:w="0" w:type="auto"/>
            <w:tcBorders>
              <w:top w:val="nil"/>
              <w:left w:val="nil"/>
              <w:bottom w:val="single" w:sz="4" w:space="0" w:color="auto"/>
              <w:right w:val="single" w:sz="4" w:space="0" w:color="auto"/>
            </w:tcBorders>
            <w:shd w:val="clear" w:color="000000" w:fill="FFFFFF"/>
            <w:noWrap/>
            <w:vAlign w:val="center"/>
            <w:hideMark/>
          </w:tcPr>
          <w:p w14:paraId="115BBD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90EA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7BA2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0432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B14FC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1B555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6A5C2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01ABE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BB64C4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16BB281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1.4.5</w:t>
            </w:r>
          </w:p>
        </w:tc>
        <w:tc>
          <w:tcPr>
            <w:tcW w:w="0" w:type="auto"/>
            <w:tcBorders>
              <w:top w:val="nil"/>
              <w:left w:val="nil"/>
              <w:bottom w:val="single" w:sz="4" w:space="0" w:color="auto"/>
              <w:right w:val="single" w:sz="4" w:space="0" w:color="auto"/>
            </w:tcBorders>
            <w:shd w:val="clear" w:color="auto" w:fill="auto"/>
            <w:vAlign w:val="center"/>
            <w:hideMark/>
          </w:tcPr>
          <w:p w14:paraId="24FCF669"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Trajnimi i oficerëve të policisë gjyqësore për hetimin financiar paralel me hetimin penal, për veprat parësore që gjenerojnë të ardhura kriminale.</w:t>
            </w:r>
          </w:p>
        </w:tc>
        <w:tc>
          <w:tcPr>
            <w:tcW w:w="0" w:type="auto"/>
            <w:tcBorders>
              <w:top w:val="nil"/>
              <w:left w:val="nil"/>
              <w:bottom w:val="single" w:sz="4" w:space="0" w:color="auto"/>
              <w:right w:val="single" w:sz="4" w:space="0" w:color="auto"/>
            </w:tcBorders>
            <w:shd w:val="clear" w:color="000000" w:fill="FFFFFF"/>
            <w:vAlign w:val="center"/>
            <w:hideMark/>
          </w:tcPr>
          <w:p w14:paraId="1785D2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91604AM</w:t>
            </w:r>
          </w:p>
        </w:tc>
        <w:tc>
          <w:tcPr>
            <w:tcW w:w="0" w:type="auto"/>
            <w:tcBorders>
              <w:top w:val="nil"/>
              <w:left w:val="nil"/>
              <w:bottom w:val="single" w:sz="4" w:space="0" w:color="auto"/>
              <w:right w:val="single" w:sz="4" w:space="0" w:color="auto"/>
            </w:tcBorders>
            <w:shd w:val="clear" w:color="auto" w:fill="auto"/>
            <w:noWrap/>
            <w:vAlign w:val="center"/>
            <w:hideMark/>
          </w:tcPr>
          <w:p w14:paraId="03EEB5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auto" w:fill="auto"/>
            <w:vAlign w:val="center"/>
            <w:hideMark/>
          </w:tcPr>
          <w:p w14:paraId="77C018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 Prokuroria e Posaçme; Byroja Kombëtare e Hetimit;</w:t>
            </w:r>
          </w:p>
        </w:tc>
        <w:tc>
          <w:tcPr>
            <w:tcW w:w="0" w:type="auto"/>
            <w:tcBorders>
              <w:top w:val="nil"/>
              <w:left w:val="nil"/>
              <w:bottom w:val="single" w:sz="4" w:space="0" w:color="auto"/>
              <w:right w:val="single" w:sz="4" w:space="0" w:color="auto"/>
            </w:tcBorders>
            <w:shd w:val="clear" w:color="auto" w:fill="auto"/>
            <w:vAlign w:val="center"/>
            <w:hideMark/>
          </w:tcPr>
          <w:p w14:paraId="1F74754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51C4844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7B1477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5B4501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144AE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42EA19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29D253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4EBF5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6B2DC1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55558B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4DE179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5DF208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293C81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1334B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77D8A6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auto" w:fill="auto"/>
            <w:noWrap/>
            <w:vAlign w:val="center"/>
            <w:hideMark/>
          </w:tcPr>
          <w:p w14:paraId="4D75F8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41C70F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122,719,000</w:t>
            </w:r>
          </w:p>
        </w:tc>
        <w:tc>
          <w:tcPr>
            <w:tcW w:w="0" w:type="auto"/>
            <w:tcBorders>
              <w:top w:val="nil"/>
              <w:left w:val="nil"/>
              <w:bottom w:val="single" w:sz="4" w:space="0" w:color="auto"/>
              <w:right w:val="single" w:sz="4" w:space="0" w:color="auto"/>
            </w:tcBorders>
            <w:shd w:val="clear" w:color="000000" w:fill="FFFFFF"/>
            <w:vAlign w:val="center"/>
            <w:hideMark/>
          </w:tcPr>
          <w:p w14:paraId="0C9C80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613,595,000</w:t>
            </w:r>
          </w:p>
        </w:tc>
        <w:tc>
          <w:tcPr>
            <w:tcW w:w="0" w:type="auto"/>
            <w:tcBorders>
              <w:top w:val="nil"/>
              <w:left w:val="nil"/>
              <w:bottom w:val="single" w:sz="4" w:space="0" w:color="auto"/>
              <w:right w:val="single" w:sz="4" w:space="0" w:color="auto"/>
            </w:tcBorders>
            <w:shd w:val="clear" w:color="000000" w:fill="FFFFFF"/>
            <w:vAlign w:val="center"/>
            <w:hideMark/>
          </w:tcPr>
          <w:p w14:paraId="6AF64B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BC53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613,595,000</w:t>
            </w:r>
          </w:p>
        </w:tc>
        <w:tc>
          <w:tcPr>
            <w:tcW w:w="0" w:type="auto"/>
            <w:tcBorders>
              <w:top w:val="nil"/>
              <w:left w:val="nil"/>
              <w:bottom w:val="single" w:sz="4" w:space="0" w:color="auto"/>
              <w:right w:val="single" w:sz="4" w:space="0" w:color="auto"/>
            </w:tcBorders>
            <w:shd w:val="clear" w:color="000000" w:fill="FFFFFF"/>
            <w:noWrap/>
            <w:vAlign w:val="center"/>
            <w:hideMark/>
          </w:tcPr>
          <w:p w14:paraId="24E237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368,157,000</w:t>
            </w:r>
          </w:p>
        </w:tc>
        <w:tc>
          <w:tcPr>
            <w:tcW w:w="0" w:type="auto"/>
            <w:tcBorders>
              <w:top w:val="nil"/>
              <w:left w:val="nil"/>
              <w:bottom w:val="single" w:sz="4" w:space="0" w:color="auto"/>
              <w:right w:val="single" w:sz="4" w:space="0" w:color="auto"/>
            </w:tcBorders>
            <w:shd w:val="clear" w:color="000000" w:fill="FFFFFF"/>
            <w:noWrap/>
            <w:vAlign w:val="center"/>
            <w:hideMark/>
          </w:tcPr>
          <w:p w14:paraId="156B05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C47E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368,157,000</w:t>
            </w:r>
          </w:p>
        </w:tc>
        <w:tc>
          <w:tcPr>
            <w:tcW w:w="0" w:type="auto"/>
            <w:tcBorders>
              <w:top w:val="nil"/>
              <w:left w:val="nil"/>
              <w:bottom w:val="single" w:sz="4" w:space="0" w:color="auto"/>
              <w:right w:val="single" w:sz="4" w:space="0" w:color="auto"/>
            </w:tcBorders>
            <w:shd w:val="clear" w:color="000000" w:fill="FFFFFF"/>
            <w:noWrap/>
            <w:vAlign w:val="center"/>
            <w:hideMark/>
          </w:tcPr>
          <w:p w14:paraId="1E3232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245,438,000</w:t>
            </w:r>
          </w:p>
        </w:tc>
        <w:tc>
          <w:tcPr>
            <w:tcW w:w="0" w:type="auto"/>
            <w:tcBorders>
              <w:top w:val="nil"/>
              <w:left w:val="nil"/>
              <w:bottom w:val="single" w:sz="4" w:space="0" w:color="auto"/>
              <w:right w:val="single" w:sz="4" w:space="0" w:color="auto"/>
            </w:tcBorders>
            <w:shd w:val="clear" w:color="000000" w:fill="FFFFFF"/>
            <w:noWrap/>
            <w:vAlign w:val="center"/>
            <w:hideMark/>
          </w:tcPr>
          <w:p w14:paraId="06B8CC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A8A98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245,438,000</w:t>
            </w:r>
          </w:p>
        </w:tc>
        <w:tc>
          <w:tcPr>
            <w:tcW w:w="0" w:type="auto"/>
            <w:tcBorders>
              <w:top w:val="nil"/>
              <w:left w:val="nil"/>
              <w:bottom w:val="single" w:sz="4" w:space="0" w:color="auto"/>
              <w:right w:val="single" w:sz="4" w:space="0" w:color="auto"/>
            </w:tcBorders>
            <w:shd w:val="clear" w:color="000000" w:fill="FFFFFF"/>
            <w:vAlign w:val="center"/>
            <w:hideMark/>
          </w:tcPr>
          <w:p w14:paraId="3216C6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EBD84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786F47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F5D97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48635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65ED106"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30309EE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lastRenderedPageBreak/>
              <w:t>1.4.6</w:t>
            </w:r>
          </w:p>
        </w:tc>
        <w:tc>
          <w:tcPr>
            <w:tcW w:w="0" w:type="auto"/>
            <w:tcBorders>
              <w:top w:val="nil"/>
              <w:left w:val="nil"/>
              <w:bottom w:val="single" w:sz="4" w:space="0" w:color="auto"/>
              <w:right w:val="single" w:sz="4" w:space="0" w:color="auto"/>
            </w:tcBorders>
            <w:shd w:val="clear" w:color="auto" w:fill="auto"/>
            <w:vAlign w:val="center"/>
            <w:hideMark/>
          </w:tcPr>
          <w:p w14:paraId="544D6F57"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kapaciteteve njerëzore dhe teknike të Prokurorisë së Posaçme dhe Byrosë Kombëtare të Hetimit, me qëllim forcimin e luftës kundër krimit të organizuar dhe korrupsionit, si dhe efikasitetin e hetimit dhe ndjekjeve të veprave penale.</w:t>
            </w:r>
            <w:r w:rsidRPr="002128A6">
              <w:rPr>
                <w:rFonts w:ascii="Garamond" w:eastAsia="Times New Roman" w:hAnsi="Garamond" w:cs="Calibri"/>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39B551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94101AB</w:t>
            </w:r>
          </w:p>
        </w:tc>
        <w:tc>
          <w:tcPr>
            <w:tcW w:w="0" w:type="auto"/>
            <w:tcBorders>
              <w:top w:val="nil"/>
              <w:left w:val="nil"/>
              <w:bottom w:val="single" w:sz="4" w:space="0" w:color="auto"/>
              <w:right w:val="single" w:sz="4" w:space="0" w:color="auto"/>
            </w:tcBorders>
            <w:shd w:val="clear" w:color="000000" w:fill="FFFFFF"/>
            <w:vAlign w:val="center"/>
            <w:hideMark/>
          </w:tcPr>
          <w:p w14:paraId="7C1295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Posaçme Kundër Korrupsionit dhe Krimit të Organizuar</w:t>
            </w:r>
          </w:p>
        </w:tc>
        <w:tc>
          <w:tcPr>
            <w:tcW w:w="0" w:type="auto"/>
            <w:tcBorders>
              <w:top w:val="nil"/>
              <w:left w:val="nil"/>
              <w:bottom w:val="single" w:sz="4" w:space="0" w:color="auto"/>
              <w:right w:val="single" w:sz="4" w:space="0" w:color="auto"/>
            </w:tcBorders>
            <w:shd w:val="clear" w:color="000000" w:fill="FFFFFF"/>
            <w:vAlign w:val="center"/>
            <w:hideMark/>
          </w:tcPr>
          <w:p w14:paraId="7007DA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851061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76468C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421406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299,000,000</w:t>
            </w:r>
          </w:p>
        </w:tc>
        <w:tc>
          <w:tcPr>
            <w:tcW w:w="0" w:type="auto"/>
            <w:tcBorders>
              <w:top w:val="nil"/>
              <w:left w:val="nil"/>
              <w:bottom w:val="single" w:sz="4" w:space="0" w:color="auto"/>
              <w:right w:val="single" w:sz="4" w:space="0" w:color="auto"/>
            </w:tcBorders>
            <w:shd w:val="clear" w:color="000000" w:fill="FFFFFF"/>
            <w:noWrap/>
            <w:vAlign w:val="center"/>
            <w:hideMark/>
          </w:tcPr>
          <w:p w14:paraId="153C4B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379E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299,000,000</w:t>
            </w:r>
          </w:p>
        </w:tc>
        <w:tc>
          <w:tcPr>
            <w:tcW w:w="0" w:type="auto"/>
            <w:tcBorders>
              <w:top w:val="nil"/>
              <w:left w:val="nil"/>
              <w:bottom w:val="single" w:sz="4" w:space="0" w:color="auto"/>
              <w:right w:val="single" w:sz="4" w:space="0" w:color="auto"/>
            </w:tcBorders>
            <w:shd w:val="clear" w:color="000000" w:fill="FFFFFF"/>
            <w:noWrap/>
            <w:vAlign w:val="center"/>
            <w:hideMark/>
          </w:tcPr>
          <w:p w14:paraId="01B826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299,000,000</w:t>
            </w:r>
          </w:p>
        </w:tc>
        <w:tc>
          <w:tcPr>
            <w:tcW w:w="0" w:type="auto"/>
            <w:tcBorders>
              <w:top w:val="nil"/>
              <w:left w:val="nil"/>
              <w:bottom w:val="single" w:sz="4" w:space="0" w:color="auto"/>
              <w:right w:val="single" w:sz="4" w:space="0" w:color="auto"/>
            </w:tcBorders>
            <w:shd w:val="clear" w:color="000000" w:fill="FFFFFF"/>
            <w:noWrap/>
            <w:vAlign w:val="center"/>
            <w:hideMark/>
          </w:tcPr>
          <w:p w14:paraId="10ADCA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48C5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299,000,000</w:t>
            </w:r>
          </w:p>
        </w:tc>
        <w:tc>
          <w:tcPr>
            <w:tcW w:w="0" w:type="auto"/>
            <w:tcBorders>
              <w:top w:val="nil"/>
              <w:left w:val="nil"/>
              <w:bottom w:val="single" w:sz="4" w:space="0" w:color="auto"/>
              <w:right w:val="single" w:sz="4" w:space="0" w:color="auto"/>
            </w:tcBorders>
            <w:shd w:val="clear" w:color="000000" w:fill="FFFFFF"/>
            <w:noWrap/>
            <w:vAlign w:val="center"/>
            <w:hideMark/>
          </w:tcPr>
          <w:p w14:paraId="60DA33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299,000,000</w:t>
            </w:r>
          </w:p>
        </w:tc>
        <w:tc>
          <w:tcPr>
            <w:tcW w:w="0" w:type="auto"/>
            <w:tcBorders>
              <w:top w:val="nil"/>
              <w:left w:val="nil"/>
              <w:bottom w:val="single" w:sz="4" w:space="0" w:color="auto"/>
              <w:right w:val="single" w:sz="4" w:space="0" w:color="auto"/>
            </w:tcBorders>
            <w:shd w:val="clear" w:color="000000" w:fill="FFFFFF"/>
            <w:noWrap/>
            <w:vAlign w:val="center"/>
            <w:hideMark/>
          </w:tcPr>
          <w:p w14:paraId="2E030F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71BB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299,000,000</w:t>
            </w:r>
          </w:p>
        </w:tc>
        <w:tc>
          <w:tcPr>
            <w:tcW w:w="0" w:type="auto"/>
            <w:tcBorders>
              <w:top w:val="nil"/>
              <w:left w:val="nil"/>
              <w:bottom w:val="single" w:sz="4" w:space="0" w:color="auto"/>
              <w:right w:val="single" w:sz="4" w:space="0" w:color="auto"/>
            </w:tcBorders>
            <w:shd w:val="clear" w:color="000000" w:fill="FFFFFF"/>
            <w:noWrap/>
            <w:vAlign w:val="center"/>
            <w:hideMark/>
          </w:tcPr>
          <w:p w14:paraId="1420DD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BE314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184F0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166C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B597C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30238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73C0F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897,000,000</w:t>
            </w:r>
          </w:p>
        </w:tc>
        <w:tc>
          <w:tcPr>
            <w:tcW w:w="0" w:type="auto"/>
            <w:tcBorders>
              <w:top w:val="nil"/>
              <w:left w:val="nil"/>
              <w:bottom w:val="single" w:sz="4" w:space="0" w:color="auto"/>
              <w:right w:val="single" w:sz="4" w:space="0" w:color="auto"/>
            </w:tcBorders>
            <w:shd w:val="clear" w:color="000000" w:fill="FFFFFF"/>
            <w:vAlign w:val="center"/>
            <w:hideMark/>
          </w:tcPr>
          <w:p w14:paraId="463739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FB864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897,000,000</w:t>
            </w:r>
          </w:p>
        </w:tc>
        <w:tc>
          <w:tcPr>
            <w:tcW w:w="0" w:type="auto"/>
            <w:tcBorders>
              <w:top w:val="nil"/>
              <w:left w:val="nil"/>
              <w:bottom w:val="single" w:sz="4" w:space="0" w:color="auto"/>
              <w:right w:val="single" w:sz="4" w:space="0" w:color="auto"/>
            </w:tcBorders>
            <w:shd w:val="clear" w:color="000000" w:fill="FFFFFF"/>
            <w:noWrap/>
            <w:vAlign w:val="center"/>
            <w:hideMark/>
          </w:tcPr>
          <w:p w14:paraId="700091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897,000,000</w:t>
            </w:r>
          </w:p>
        </w:tc>
        <w:tc>
          <w:tcPr>
            <w:tcW w:w="0" w:type="auto"/>
            <w:tcBorders>
              <w:top w:val="nil"/>
              <w:left w:val="nil"/>
              <w:bottom w:val="single" w:sz="4" w:space="0" w:color="auto"/>
              <w:right w:val="single" w:sz="4" w:space="0" w:color="auto"/>
            </w:tcBorders>
            <w:shd w:val="clear" w:color="000000" w:fill="FFFFFF"/>
            <w:noWrap/>
            <w:vAlign w:val="center"/>
            <w:hideMark/>
          </w:tcPr>
          <w:p w14:paraId="60E714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1241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897,000,000</w:t>
            </w:r>
          </w:p>
        </w:tc>
        <w:tc>
          <w:tcPr>
            <w:tcW w:w="0" w:type="auto"/>
            <w:tcBorders>
              <w:top w:val="nil"/>
              <w:left w:val="nil"/>
              <w:bottom w:val="single" w:sz="4" w:space="0" w:color="auto"/>
              <w:right w:val="single" w:sz="4" w:space="0" w:color="auto"/>
            </w:tcBorders>
            <w:shd w:val="clear" w:color="000000" w:fill="FFFFFF"/>
            <w:noWrap/>
            <w:vAlign w:val="center"/>
            <w:hideMark/>
          </w:tcPr>
          <w:p w14:paraId="03673B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A55A3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26F7A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AC7E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99031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D5944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BA602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ABF42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9B72A1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16548CA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1.4.7</w:t>
            </w:r>
          </w:p>
        </w:tc>
        <w:tc>
          <w:tcPr>
            <w:tcW w:w="0" w:type="auto"/>
            <w:tcBorders>
              <w:top w:val="nil"/>
              <w:left w:val="nil"/>
              <w:bottom w:val="single" w:sz="4" w:space="0" w:color="auto"/>
              <w:right w:val="single" w:sz="4" w:space="0" w:color="auto"/>
            </w:tcBorders>
            <w:shd w:val="clear" w:color="auto" w:fill="auto"/>
            <w:vAlign w:val="center"/>
            <w:hideMark/>
          </w:tcPr>
          <w:p w14:paraId="44A3E3D0"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kapaciteteve hetimore dhe analitike (njerëzore dhe teknike) të Prokurorisë së Posaçme dhe Byrosë Kombëtare të Hetimit, me qëllim forcimin e luftës kundër krimit të organizuar dhe korrupsionit, si dhe efikasitetin e hetimit dhe ndjekjeve të veprave penale.</w:t>
            </w:r>
          </w:p>
        </w:tc>
        <w:tc>
          <w:tcPr>
            <w:tcW w:w="0" w:type="auto"/>
            <w:tcBorders>
              <w:top w:val="nil"/>
              <w:left w:val="nil"/>
              <w:bottom w:val="single" w:sz="4" w:space="0" w:color="auto"/>
              <w:right w:val="single" w:sz="4" w:space="0" w:color="auto"/>
            </w:tcBorders>
            <w:shd w:val="clear" w:color="000000" w:fill="FFFFFF"/>
            <w:vAlign w:val="center"/>
            <w:hideMark/>
          </w:tcPr>
          <w:p w14:paraId="5E678E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91604AB; 91604AR</w:t>
            </w:r>
          </w:p>
        </w:tc>
        <w:tc>
          <w:tcPr>
            <w:tcW w:w="0" w:type="auto"/>
            <w:tcBorders>
              <w:top w:val="nil"/>
              <w:left w:val="nil"/>
              <w:bottom w:val="single" w:sz="4" w:space="0" w:color="auto"/>
              <w:right w:val="single" w:sz="4" w:space="0" w:color="auto"/>
            </w:tcBorders>
            <w:shd w:val="clear" w:color="000000" w:fill="FFFFFF"/>
            <w:noWrap/>
            <w:vAlign w:val="center"/>
            <w:hideMark/>
          </w:tcPr>
          <w:p w14:paraId="45E24D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15B66F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2E983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36E1BE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23252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noWrap/>
            <w:vAlign w:val="center"/>
            <w:hideMark/>
          </w:tcPr>
          <w:p w14:paraId="6F8A44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7102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vAlign w:val="center"/>
            <w:hideMark/>
          </w:tcPr>
          <w:p w14:paraId="5887A1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noWrap/>
            <w:vAlign w:val="center"/>
            <w:hideMark/>
          </w:tcPr>
          <w:p w14:paraId="664564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F2460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vAlign w:val="center"/>
            <w:hideMark/>
          </w:tcPr>
          <w:p w14:paraId="019688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noWrap/>
            <w:vAlign w:val="center"/>
            <w:hideMark/>
          </w:tcPr>
          <w:p w14:paraId="070B28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10D1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vAlign w:val="center"/>
            <w:hideMark/>
          </w:tcPr>
          <w:p w14:paraId="6A4556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noWrap/>
            <w:vAlign w:val="center"/>
            <w:hideMark/>
          </w:tcPr>
          <w:p w14:paraId="010B97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4BDA5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vAlign w:val="center"/>
            <w:hideMark/>
          </w:tcPr>
          <w:p w14:paraId="6A95AF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noWrap/>
            <w:vAlign w:val="center"/>
            <w:hideMark/>
          </w:tcPr>
          <w:p w14:paraId="0B892F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8E990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31,228,956</w:t>
            </w:r>
          </w:p>
        </w:tc>
        <w:tc>
          <w:tcPr>
            <w:tcW w:w="0" w:type="auto"/>
            <w:tcBorders>
              <w:top w:val="nil"/>
              <w:left w:val="nil"/>
              <w:bottom w:val="single" w:sz="4" w:space="0" w:color="auto"/>
              <w:right w:val="single" w:sz="4" w:space="0" w:color="auto"/>
            </w:tcBorders>
            <w:shd w:val="clear" w:color="000000" w:fill="FFFFFF"/>
            <w:vAlign w:val="center"/>
            <w:hideMark/>
          </w:tcPr>
          <w:p w14:paraId="236954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156,144,780</w:t>
            </w:r>
          </w:p>
        </w:tc>
        <w:tc>
          <w:tcPr>
            <w:tcW w:w="0" w:type="auto"/>
            <w:tcBorders>
              <w:top w:val="nil"/>
              <w:left w:val="nil"/>
              <w:bottom w:val="single" w:sz="4" w:space="0" w:color="auto"/>
              <w:right w:val="single" w:sz="4" w:space="0" w:color="auto"/>
            </w:tcBorders>
            <w:shd w:val="clear" w:color="000000" w:fill="FFFFFF"/>
            <w:vAlign w:val="center"/>
            <w:hideMark/>
          </w:tcPr>
          <w:p w14:paraId="1AD4BC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E5199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156,144,780</w:t>
            </w:r>
          </w:p>
        </w:tc>
        <w:tc>
          <w:tcPr>
            <w:tcW w:w="0" w:type="auto"/>
            <w:tcBorders>
              <w:top w:val="nil"/>
              <w:left w:val="nil"/>
              <w:bottom w:val="single" w:sz="4" w:space="0" w:color="auto"/>
              <w:right w:val="single" w:sz="4" w:space="0" w:color="auto"/>
            </w:tcBorders>
            <w:shd w:val="clear" w:color="000000" w:fill="FFFFFF"/>
            <w:noWrap/>
            <w:vAlign w:val="center"/>
            <w:hideMark/>
          </w:tcPr>
          <w:p w14:paraId="4B6A6E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93,686,868</w:t>
            </w:r>
          </w:p>
        </w:tc>
        <w:tc>
          <w:tcPr>
            <w:tcW w:w="0" w:type="auto"/>
            <w:tcBorders>
              <w:top w:val="nil"/>
              <w:left w:val="nil"/>
              <w:bottom w:val="single" w:sz="4" w:space="0" w:color="auto"/>
              <w:right w:val="single" w:sz="4" w:space="0" w:color="auto"/>
            </w:tcBorders>
            <w:shd w:val="clear" w:color="000000" w:fill="FFFFFF"/>
            <w:noWrap/>
            <w:vAlign w:val="center"/>
            <w:hideMark/>
          </w:tcPr>
          <w:p w14:paraId="4D28B2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4DA8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93,686,868</w:t>
            </w:r>
          </w:p>
        </w:tc>
        <w:tc>
          <w:tcPr>
            <w:tcW w:w="0" w:type="auto"/>
            <w:tcBorders>
              <w:top w:val="nil"/>
              <w:left w:val="nil"/>
              <w:bottom w:val="single" w:sz="4" w:space="0" w:color="auto"/>
              <w:right w:val="single" w:sz="4" w:space="0" w:color="auto"/>
            </w:tcBorders>
            <w:shd w:val="clear" w:color="000000" w:fill="FFFFFF"/>
            <w:noWrap/>
            <w:vAlign w:val="center"/>
            <w:hideMark/>
          </w:tcPr>
          <w:p w14:paraId="17364B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62,457,912</w:t>
            </w:r>
          </w:p>
        </w:tc>
        <w:tc>
          <w:tcPr>
            <w:tcW w:w="0" w:type="auto"/>
            <w:tcBorders>
              <w:top w:val="nil"/>
              <w:left w:val="nil"/>
              <w:bottom w:val="single" w:sz="4" w:space="0" w:color="auto"/>
              <w:right w:val="single" w:sz="4" w:space="0" w:color="auto"/>
            </w:tcBorders>
            <w:shd w:val="clear" w:color="000000" w:fill="FFFFFF"/>
            <w:noWrap/>
            <w:vAlign w:val="center"/>
            <w:hideMark/>
          </w:tcPr>
          <w:p w14:paraId="190CA2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B212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62,457,912</w:t>
            </w:r>
          </w:p>
        </w:tc>
        <w:tc>
          <w:tcPr>
            <w:tcW w:w="0" w:type="auto"/>
            <w:tcBorders>
              <w:top w:val="nil"/>
              <w:left w:val="nil"/>
              <w:bottom w:val="single" w:sz="4" w:space="0" w:color="auto"/>
              <w:right w:val="single" w:sz="4" w:space="0" w:color="auto"/>
            </w:tcBorders>
            <w:shd w:val="clear" w:color="000000" w:fill="FFFFFF"/>
            <w:vAlign w:val="center"/>
            <w:hideMark/>
          </w:tcPr>
          <w:p w14:paraId="0E6F7A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B29E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87DF9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79950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FA435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17D220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57770AA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1.4.8</w:t>
            </w:r>
          </w:p>
        </w:tc>
        <w:tc>
          <w:tcPr>
            <w:tcW w:w="0" w:type="auto"/>
            <w:tcBorders>
              <w:top w:val="nil"/>
              <w:left w:val="nil"/>
              <w:bottom w:val="single" w:sz="4" w:space="0" w:color="auto"/>
              <w:right w:val="single" w:sz="4" w:space="0" w:color="auto"/>
            </w:tcBorders>
            <w:shd w:val="clear" w:color="auto" w:fill="auto"/>
            <w:vAlign w:val="center"/>
            <w:hideMark/>
          </w:tcPr>
          <w:p w14:paraId="0CE123AE" w14:textId="4663592B"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Operacionalizimi plotë i sistemit </w:t>
            </w:r>
            <w:r w:rsidRPr="006815D8">
              <w:rPr>
                <w:rFonts w:ascii="Garamond" w:eastAsia="Times New Roman" w:hAnsi="Garamond" w:cs="Times New Roman"/>
                <w:i/>
                <w:iCs/>
                <w:kern w:val="0"/>
                <w:sz w:val="4"/>
                <w:szCs w:val="8"/>
                <w14:ligatures w14:val="none"/>
              </w:rPr>
              <w:t>e-Presto,</w:t>
            </w:r>
            <w:r w:rsidRPr="002128A6">
              <w:rPr>
                <w:rFonts w:ascii="Garamond" w:eastAsia="Times New Roman" w:hAnsi="Garamond" w:cs="Times New Roman"/>
                <w:kern w:val="0"/>
                <w:sz w:val="4"/>
                <w:szCs w:val="8"/>
                <w14:ligatures w14:val="none"/>
              </w:rPr>
              <w:t xml:space="preserve"> për të cilin masat administrative paraprake për zhvillimin teknologjik kanë përfunduar, ndërkohë që </w:t>
            </w:r>
            <w:r w:rsidR="00822D6F" w:rsidRPr="002128A6">
              <w:rPr>
                <w:rFonts w:ascii="Garamond" w:eastAsia="Times New Roman" w:hAnsi="Garamond" w:cs="Times New Roman"/>
                <w:kern w:val="0"/>
                <w:sz w:val="4"/>
                <w:szCs w:val="8"/>
                <w14:ligatures w14:val="none"/>
              </w:rPr>
              <w:t>prokurorët</w:t>
            </w:r>
            <w:r w:rsidRPr="002128A6">
              <w:rPr>
                <w:rFonts w:ascii="Garamond" w:eastAsia="Times New Roman" w:hAnsi="Garamond" w:cs="Times New Roman"/>
                <w:kern w:val="0"/>
                <w:sz w:val="4"/>
                <w:szCs w:val="8"/>
                <w14:ligatures w14:val="none"/>
              </w:rPr>
              <w:t xml:space="preserve"> e prokurorive të përgjithshme finalizojnë dhe përditësojnë çështjet dhe seksionet përkatëse.</w:t>
            </w:r>
          </w:p>
        </w:tc>
        <w:tc>
          <w:tcPr>
            <w:tcW w:w="0" w:type="auto"/>
            <w:tcBorders>
              <w:top w:val="nil"/>
              <w:left w:val="nil"/>
              <w:bottom w:val="single" w:sz="4" w:space="0" w:color="auto"/>
              <w:right w:val="single" w:sz="4" w:space="0" w:color="auto"/>
            </w:tcBorders>
            <w:shd w:val="clear" w:color="000000" w:fill="FFFFFF"/>
            <w:noWrap/>
            <w:vAlign w:val="center"/>
            <w:hideMark/>
          </w:tcPr>
          <w:p w14:paraId="342290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19Ah805</w:t>
            </w:r>
          </w:p>
        </w:tc>
        <w:tc>
          <w:tcPr>
            <w:tcW w:w="0" w:type="auto"/>
            <w:tcBorders>
              <w:top w:val="nil"/>
              <w:left w:val="nil"/>
              <w:bottom w:val="single" w:sz="4" w:space="0" w:color="auto"/>
              <w:right w:val="single" w:sz="4" w:space="0" w:color="auto"/>
            </w:tcBorders>
            <w:shd w:val="clear" w:color="auto" w:fill="auto"/>
            <w:noWrap/>
            <w:vAlign w:val="center"/>
            <w:hideMark/>
          </w:tcPr>
          <w:p w14:paraId="2D16B9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Prokuroria e Përgjithshme </w:t>
            </w:r>
          </w:p>
        </w:tc>
        <w:tc>
          <w:tcPr>
            <w:tcW w:w="0" w:type="auto"/>
            <w:tcBorders>
              <w:top w:val="nil"/>
              <w:left w:val="nil"/>
              <w:bottom w:val="single" w:sz="4" w:space="0" w:color="auto"/>
              <w:right w:val="single" w:sz="4" w:space="0" w:color="auto"/>
            </w:tcBorders>
            <w:shd w:val="clear" w:color="auto" w:fill="auto"/>
            <w:vAlign w:val="center"/>
            <w:hideMark/>
          </w:tcPr>
          <w:p w14:paraId="5BE13C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6AD2C38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32A46B1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68ADF3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459D5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4,418,600</w:t>
            </w:r>
          </w:p>
        </w:tc>
        <w:tc>
          <w:tcPr>
            <w:tcW w:w="0" w:type="auto"/>
            <w:tcBorders>
              <w:top w:val="nil"/>
              <w:left w:val="nil"/>
              <w:bottom w:val="single" w:sz="4" w:space="0" w:color="auto"/>
              <w:right w:val="single" w:sz="4" w:space="0" w:color="auto"/>
            </w:tcBorders>
            <w:shd w:val="clear" w:color="000000" w:fill="FFFFFF"/>
            <w:noWrap/>
            <w:vAlign w:val="center"/>
            <w:hideMark/>
          </w:tcPr>
          <w:p w14:paraId="3561C9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4,418,600</w:t>
            </w:r>
          </w:p>
        </w:tc>
        <w:tc>
          <w:tcPr>
            <w:tcW w:w="0" w:type="auto"/>
            <w:tcBorders>
              <w:top w:val="nil"/>
              <w:left w:val="nil"/>
              <w:bottom w:val="single" w:sz="4" w:space="0" w:color="auto"/>
              <w:right w:val="single" w:sz="4" w:space="0" w:color="auto"/>
            </w:tcBorders>
            <w:shd w:val="clear" w:color="000000" w:fill="FFFFFF"/>
            <w:noWrap/>
            <w:vAlign w:val="center"/>
            <w:hideMark/>
          </w:tcPr>
          <w:p w14:paraId="0370A1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DECB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835E4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874C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9786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31219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87B79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3F473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062A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B9895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7B914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60B3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D5EE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3858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4,418,600</w:t>
            </w:r>
          </w:p>
        </w:tc>
        <w:tc>
          <w:tcPr>
            <w:tcW w:w="0" w:type="auto"/>
            <w:tcBorders>
              <w:top w:val="nil"/>
              <w:left w:val="nil"/>
              <w:bottom w:val="single" w:sz="4" w:space="0" w:color="auto"/>
              <w:right w:val="single" w:sz="4" w:space="0" w:color="auto"/>
            </w:tcBorders>
            <w:shd w:val="clear" w:color="000000" w:fill="FFFFFF"/>
            <w:vAlign w:val="center"/>
            <w:hideMark/>
          </w:tcPr>
          <w:p w14:paraId="70B411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4,418,600</w:t>
            </w:r>
          </w:p>
        </w:tc>
        <w:tc>
          <w:tcPr>
            <w:tcW w:w="0" w:type="auto"/>
            <w:tcBorders>
              <w:top w:val="nil"/>
              <w:left w:val="nil"/>
              <w:bottom w:val="single" w:sz="4" w:space="0" w:color="auto"/>
              <w:right w:val="single" w:sz="4" w:space="0" w:color="auto"/>
            </w:tcBorders>
            <w:shd w:val="clear" w:color="000000" w:fill="FFFFFF"/>
            <w:noWrap/>
            <w:vAlign w:val="center"/>
            <w:hideMark/>
          </w:tcPr>
          <w:p w14:paraId="4720C6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71E3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680,000</w:t>
            </w:r>
          </w:p>
        </w:tc>
        <w:tc>
          <w:tcPr>
            <w:tcW w:w="0" w:type="auto"/>
            <w:tcBorders>
              <w:top w:val="nil"/>
              <w:left w:val="nil"/>
              <w:bottom w:val="single" w:sz="4" w:space="0" w:color="auto"/>
              <w:right w:val="single" w:sz="4" w:space="0" w:color="auto"/>
            </w:tcBorders>
            <w:shd w:val="clear" w:color="000000" w:fill="FFFFFF"/>
            <w:noWrap/>
            <w:vAlign w:val="center"/>
            <w:hideMark/>
          </w:tcPr>
          <w:p w14:paraId="5F3C7E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680,000</w:t>
            </w:r>
          </w:p>
        </w:tc>
        <w:tc>
          <w:tcPr>
            <w:tcW w:w="0" w:type="auto"/>
            <w:tcBorders>
              <w:top w:val="nil"/>
              <w:left w:val="nil"/>
              <w:bottom w:val="single" w:sz="4" w:space="0" w:color="auto"/>
              <w:right w:val="single" w:sz="4" w:space="0" w:color="auto"/>
            </w:tcBorders>
            <w:shd w:val="clear" w:color="000000" w:fill="FFFFFF"/>
            <w:noWrap/>
            <w:vAlign w:val="center"/>
            <w:hideMark/>
          </w:tcPr>
          <w:p w14:paraId="2EC123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8ACD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20321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D2DD4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48FE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3,738,600</w:t>
            </w:r>
          </w:p>
        </w:tc>
        <w:tc>
          <w:tcPr>
            <w:tcW w:w="0" w:type="auto"/>
            <w:tcBorders>
              <w:top w:val="nil"/>
              <w:left w:val="nil"/>
              <w:bottom w:val="single" w:sz="4" w:space="0" w:color="auto"/>
              <w:right w:val="single" w:sz="4" w:space="0" w:color="auto"/>
            </w:tcBorders>
            <w:shd w:val="clear" w:color="000000" w:fill="FFFFFF"/>
            <w:vAlign w:val="center"/>
            <w:hideMark/>
          </w:tcPr>
          <w:p w14:paraId="5564123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Misioni Euralius</w:t>
            </w:r>
          </w:p>
        </w:tc>
        <w:tc>
          <w:tcPr>
            <w:tcW w:w="0" w:type="auto"/>
            <w:tcBorders>
              <w:top w:val="nil"/>
              <w:left w:val="nil"/>
              <w:bottom w:val="single" w:sz="4" w:space="0" w:color="auto"/>
              <w:right w:val="single" w:sz="4" w:space="0" w:color="auto"/>
            </w:tcBorders>
            <w:shd w:val="clear" w:color="000000" w:fill="FFFFFF"/>
            <w:vAlign w:val="center"/>
            <w:hideMark/>
          </w:tcPr>
          <w:p w14:paraId="7B1C42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3,738,600</w:t>
            </w:r>
          </w:p>
        </w:tc>
        <w:tc>
          <w:tcPr>
            <w:tcW w:w="0" w:type="auto"/>
            <w:tcBorders>
              <w:top w:val="nil"/>
              <w:left w:val="nil"/>
              <w:bottom w:val="single" w:sz="4" w:space="0" w:color="auto"/>
              <w:right w:val="single" w:sz="8" w:space="0" w:color="auto"/>
            </w:tcBorders>
            <w:shd w:val="clear" w:color="000000" w:fill="FFFFFF"/>
            <w:vAlign w:val="center"/>
            <w:hideMark/>
          </w:tcPr>
          <w:p w14:paraId="063A31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09BB5D6"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0D5AD18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1.4.9</w:t>
            </w:r>
          </w:p>
        </w:tc>
        <w:tc>
          <w:tcPr>
            <w:tcW w:w="0" w:type="auto"/>
            <w:tcBorders>
              <w:top w:val="nil"/>
              <w:left w:val="nil"/>
              <w:bottom w:val="single" w:sz="4" w:space="0" w:color="auto"/>
              <w:right w:val="single" w:sz="4" w:space="0" w:color="auto"/>
            </w:tcBorders>
            <w:shd w:val="clear" w:color="auto" w:fill="auto"/>
            <w:vAlign w:val="center"/>
            <w:hideMark/>
          </w:tcPr>
          <w:p w14:paraId="70250B52" w14:textId="5320B338"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Operacionalizimi plotë i Sistemit të Menaxhimit të Çështjeve në Prokurorinë e Përgjithshme.</w:t>
            </w:r>
          </w:p>
        </w:tc>
        <w:tc>
          <w:tcPr>
            <w:tcW w:w="0" w:type="auto"/>
            <w:tcBorders>
              <w:top w:val="nil"/>
              <w:left w:val="nil"/>
              <w:bottom w:val="single" w:sz="4" w:space="0" w:color="auto"/>
              <w:right w:val="single" w:sz="4" w:space="0" w:color="auto"/>
            </w:tcBorders>
            <w:shd w:val="clear" w:color="000000" w:fill="FFFFFF"/>
            <w:noWrap/>
            <w:vAlign w:val="center"/>
            <w:hideMark/>
          </w:tcPr>
          <w:p w14:paraId="58303C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92801AA</w:t>
            </w:r>
          </w:p>
        </w:tc>
        <w:tc>
          <w:tcPr>
            <w:tcW w:w="0" w:type="auto"/>
            <w:tcBorders>
              <w:top w:val="nil"/>
              <w:left w:val="nil"/>
              <w:bottom w:val="single" w:sz="4" w:space="0" w:color="auto"/>
              <w:right w:val="single" w:sz="4" w:space="0" w:color="auto"/>
            </w:tcBorders>
            <w:shd w:val="clear" w:color="auto" w:fill="auto"/>
            <w:noWrap/>
            <w:vAlign w:val="center"/>
            <w:hideMark/>
          </w:tcPr>
          <w:p w14:paraId="4D8CFF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Prokuroria e Përgjithshme </w:t>
            </w:r>
          </w:p>
        </w:tc>
        <w:tc>
          <w:tcPr>
            <w:tcW w:w="0" w:type="auto"/>
            <w:tcBorders>
              <w:top w:val="nil"/>
              <w:left w:val="nil"/>
              <w:bottom w:val="single" w:sz="4" w:space="0" w:color="auto"/>
              <w:right w:val="single" w:sz="4" w:space="0" w:color="auto"/>
            </w:tcBorders>
            <w:shd w:val="clear" w:color="auto" w:fill="auto"/>
            <w:vAlign w:val="center"/>
            <w:hideMark/>
          </w:tcPr>
          <w:p w14:paraId="35344E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Shtetit/Akademia e Sigurisë; Struktura e Posaçme Kundër Korrupsionit dhe Krimit të Organizuar;</w:t>
            </w:r>
          </w:p>
        </w:tc>
        <w:tc>
          <w:tcPr>
            <w:tcW w:w="0" w:type="auto"/>
            <w:tcBorders>
              <w:top w:val="nil"/>
              <w:left w:val="nil"/>
              <w:bottom w:val="single" w:sz="4" w:space="0" w:color="auto"/>
              <w:right w:val="single" w:sz="4" w:space="0" w:color="auto"/>
            </w:tcBorders>
            <w:shd w:val="clear" w:color="auto" w:fill="auto"/>
            <w:vAlign w:val="center"/>
            <w:hideMark/>
          </w:tcPr>
          <w:p w14:paraId="32B6C6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28F1997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57986A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452F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603,125,000</w:t>
            </w:r>
          </w:p>
        </w:tc>
        <w:tc>
          <w:tcPr>
            <w:tcW w:w="0" w:type="auto"/>
            <w:tcBorders>
              <w:top w:val="nil"/>
              <w:left w:val="nil"/>
              <w:bottom w:val="single" w:sz="4" w:space="0" w:color="auto"/>
              <w:right w:val="single" w:sz="4" w:space="0" w:color="auto"/>
            </w:tcBorders>
            <w:shd w:val="clear" w:color="000000" w:fill="FFFFFF"/>
            <w:noWrap/>
            <w:vAlign w:val="center"/>
            <w:hideMark/>
          </w:tcPr>
          <w:p w14:paraId="3232BE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603,125,000</w:t>
            </w:r>
          </w:p>
        </w:tc>
        <w:tc>
          <w:tcPr>
            <w:tcW w:w="0" w:type="auto"/>
            <w:tcBorders>
              <w:top w:val="nil"/>
              <w:left w:val="nil"/>
              <w:bottom w:val="single" w:sz="4" w:space="0" w:color="auto"/>
              <w:right w:val="single" w:sz="4" w:space="0" w:color="auto"/>
            </w:tcBorders>
            <w:shd w:val="clear" w:color="000000" w:fill="FFFFFF"/>
            <w:noWrap/>
            <w:vAlign w:val="center"/>
            <w:hideMark/>
          </w:tcPr>
          <w:p w14:paraId="5FB313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41065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60,312,500</w:t>
            </w:r>
          </w:p>
        </w:tc>
        <w:tc>
          <w:tcPr>
            <w:tcW w:w="0" w:type="auto"/>
            <w:tcBorders>
              <w:top w:val="nil"/>
              <w:left w:val="nil"/>
              <w:bottom w:val="single" w:sz="4" w:space="0" w:color="auto"/>
              <w:right w:val="single" w:sz="4" w:space="0" w:color="auto"/>
            </w:tcBorders>
            <w:shd w:val="clear" w:color="000000" w:fill="FFFFFF"/>
            <w:noWrap/>
            <w:vAlign w:val="center"/>
            <w:hideMark/>
          </w:tcPr>
          <w:p w14:paraId="340B44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60,312,500</w:t>
            </w:r>
          </w:p>
        </w:tc>
        <w:tc>
          <w:tcPr>
            <w:tcW w:w="0" w:type="auto"/>
            <w:tcBorders>
              <w:top w:val="nil"/>
              <w:left w:val="nil"/>
              <w:bottom w:val="single" w:sz="4" w:space="0" w:color="auto"/>
              <w:right w:val="single" w:sz="4" w:space="0" w:color="auto"/>
            </w:tcBorders>
            <w:shd w:val="clear" w:color="000000" w:fill="FFFFFF"/>
            <w:noWrap/>
            <w:vAlign w:val="center"/>
            <w:hideMark/>
          </w:tcPr>
          <w:p w14:paraId="2F628E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F72B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60,312,500</w:t>
            </w:r>
          </w:p>
        </w:tc>
        <w:tc>
          <w:tcPr>
            <w:tcW w:w="0" w:type="auto"/>
            <w:tcBorders>
              <w:top w:val="nil"/>
              <w:left w:val="nil"/>
              <w:bottom w:val="single" w:sz="4" w:space="0" w:color="auto"/>
              <w:right w:val="single" w:sz="4" w:space="0" w:color="auto"/>
            </w:tcBorders>
            <w:shd w:val="clear" w:color="000000" w:fill="FFFFFF"/>
            <w:noWrap/>
            <w:vAlign w:val="center"/>
            <w:hideMark/>
          </w:tcPr>
          <w:p w14:paraId="0F5169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60,312,500</w:t>
            </w:r>
          </w:p>
        </w:tc>
        <w:tc>
          <w:tcPr>
            <w:tcW w:w="0" w:type="auto"/>
            <w:tcBorders>
              <w:top w:val="nil"/>
              <w:left w:val="nil"/>
              <w:bottom w:val="single" w:sz="4" w:space="0" w:color="auto"/>
              <w:right w:val="single" w:sz="4" w:space="0" w:color="auto"/>
            </w:tcBorders>
            <w:shd w:val="clear" w:color="000000" w:fill="FFFFFF"/>
            <w:noWrap/>
            <w:vAlign w:val="center"/>
            <w:hideMark/>
          </w:tcPr>
          <w:p w14:paraId="41558F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A6595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12A3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1A38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CF7BC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0B62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C1FF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8643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723,750,000</w:t>
            </w:r>
          </w:p>
        </w:tc>
        <w:tc>
          <w:tcPr>
            <w:tcW w:w="0" w:type="auto"/>
            <w:tcBorders>
              <w:top w:val="nil"/>
              <w:left w:val="nil"/>
              <w:bottom w:val="single" w:sz="4" w:space="0" w:color="auto"/>
              <w:right w:val="single" w:sz="4" w:space="0" w:color="auto"/>
            </w:tcBorders>
            <w:shd w:val="clear" w:color="000000" w:fill="FFFFFF"/>
            <w:vAlign w:val="center"/>
            <w:hideMark/>
          </w:tcPr>
          <w:p w14:paraId="3CE241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723,750,000</w:t>
            </w:r>
          </w:p>
        </w:tc>
        <w:tc>
          <w:tcPr>
            <w:tcW w:w="0" w:type="auto"/>
            <w:tcBorders>
              <w:top w:val="nil"/>
              <w:left w:val="nil"/>
              <w:bottom w:val="single" w:sz="4" w:space="0" w:color="auto"/>
              <w:right w:val="single" w:sz="4" w:space="0" w:color="auto"/>
            </w:tcBorders>
            <w:shd w:val="clear" w:color="000000" w:fill="FFFFFF"/>
            <w:noWrap/>
            <w:vAlign w:val="center"/>
            <w:hideMark/>
          </w:tcPr>
          <w:p w14:paraId="4F03CE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01CEE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0FC90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3207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E5488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1368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8C2F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00A7E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723,750,000</w:t>
            </w:r>
          </w:p>
        </w:tc>
        <w:tc>
          <w:tcPr>
            <w:tcW w:w="0" w:type="auto"/>
            <w:tcBorders>
              <w:top w:val="nil"/>
              <w:left w:val="nil"/>
              <w:bottom w:val="single" w:sz="4" w:space="0" w:color="auto"/>
              <w:right w:val="single" w:sz="4" w:space="0" w:color="auto"/>
            </w:tcBorders>
            <w:shd w:val="clear" w:color="000000" w:fill="FFFFFF"/>
            <w:vAlign w:val="center"/>
            <w:hideMark/>
          </w:tcPr>
          <w:p w14:paraId="5DA051C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Financim i plotë nga Bashkimi Evropian:Aktualisht ka përfunduar procesi i vlerësimit të nevojave dhe është në fazën e analizës, faza këto që i paraprijnë fazës së tenderimit të firmës që do bëjë programimin. Nuk ka një vlerë të përcaktuar për sistemin por financimi do të mbështetet plotësisht nga BE, përmes projektit EU4Digital Justice zbatuar nga UNOPS dhe financuar nga Bashkimi Evropian në kuadër të IPA III me një buxhet prej 7.5 milionë euro për të gjithë sistemin e drejtësisë ku në vlerë indikative parashikohet që rreth 2.5 mln euro të përfitohen për realizimin e këtij sistemi në PP për një periudhë zbatimi 48 muaj. </w:t>
            </w:r>
          </w:p>
        </w:tc>
        <w:tc>
          <w:tcPr>
            <w:tcW w:w="0" w:type="auto"/>
            <w:tcBorders>
              <w:top w:val="nil"/>
              <w:left w:val="nil"/>
              <w:bottom w:val="single" w:sz="4" w:space="0" w:color="auto"/>
              <w:right w:val="single" w:sz="4" w:space="0" w:color="auto"/>
            </w:tcBorders>
            <w:shd w:val="clear" w:color="000000" w:fill="FFFFFF"/>
            <w:vAlign w:val="center"/>
            <w:hideMark/>
          </w:tcPr>
          <w:p w14:paraId="6A6EB5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723,750,000</w:t>
            </w:r>
          </w:p>
        </w:tc>
        <w:tc>
          <w:tcPr>
            <w:tcW w:w="0" w:type="auto"/>
            <w:tcBorders>
              <w:top w:val="nil"/>
              <w:left w:val="nil"/>
              <w:bottom w:val="single" w:sz="4" w:space="0" w:color="auto"/>
              <w:right w:val="single" w:sz="8" w:space="0" w:color="auto"/>
            </w:tcBorders>
            <w:shd w:val="clear" w:color="000000" w:fill="FFFFFF"/>
            <w:vAlign w:val="center"/>
            <w:hideMark/>
          </w:tcPr>
          <w:p w14:paraId="344470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26D9FF9"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5FF3796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1.4.10</w:t>
            </w:r>
          </w:p>
        </w:tc>
        <w:tc>
          <w:tcPr>
            <w:tcW w:w="0" w:type="auto"/>
            <w:tcBorders>
              <w:top w:val="nil"/>
              <w:left w:val="nil"/>
              <w:bottom w:val="single" w:sz="4" w:space="0" w:color="auto"/>
              <w:right w:val="single" w:sz="4" w:space="0" w:color="auto"/>
            </w:tcBorders>
            <w:shd w:val="clear" w:color="auto" w:fill="auto"/>
            <w:vAlign w:val="center"/>
            <w:hideMark/>
          </w:tcPr>
          <w:p w14:paraId="1A84F1C2"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Operacionalizimi plotë i Sistemit të Menaxhimit të Çështjeve në Prokurorinë e Posaçme kundër Korrupsionit dhe Krimit të Organizuar dhe Byrosë Kombëtare të Hetimit.</w:t>
            </w:r>
          </w:p>
        </w:tc>
        <w:tc>
          <w:tcPr>
            <w:tcW w:w="0" w:type="auto"/>
            <w:tcBorders>
              <w:top w:val="nil"/>
              <w:left w:val="nil"/>
              <w:bottom w:val="single" w:sz="4" w:space="0" w:color="auto"/>
              <w:right w:val="single" w:sz="4" w:space="0" w:color="auto"/>
            </w:tcBorders>
            <w:shd w:val="clear" w:color="000000" w:fill="FFFFFF"/>
            <w:vAlign w:val="center"/>
            <w:hideMark/>
          </w:tcPr>
          <w:p w14:paraId="793B5F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94101AB</w:t>
            </w:r>
          </w:p>
        </w:tc>
        <w:tc>
          <w:tcPr>
            <w:tcW w:w="0" w:type="auto"/>
            <w:tcBorders>
              <w:top w:val="nil"/>
              <w:left w:val="nil"/>
              <w:bottom w:val="single" w:sz="4" w:space="0" w:color="auto"/>
              <w:right w:val="single" w:sz="4" w:space="0" w:color="auto"/>
            </w:tcBorders>
            <w:shd w:val="clear" w:color="auto" w:fill="auto"/>
            <w:vAlign w:val="center"/>
            <w:hideMark/>
          </w:tcPr>
          <w:p w14:paraId="75D2D6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Posaçme Kundër Korrupsionit dhe Krimit të Organizuar</w:t>
            </w:r>
          </w:p>
        </w:tc>
        <w:tc>
          <w:tcPr>
            <w:tcW w:w="0" w:type="auto"/>
            <w:tcBorders>
              <w:top w:val="nil"/>
              <w:left w:val="nil"/>
              <w:bottom w:val="single" w:sz="4" w:space="0" w:color="auto"/>
              <w:right w:val="single" w:sz="4" w:space="0" w:color="auto"/>
            </w:tcBorders>
            <w:shd w:val="clear" w:color="auto" w:fill="auto"/>
            <w:vAlign w:val="center"/>
            <w:hideMark/>
          </w:tcPr>
          <w:p w14:paraId="347523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 Byroja Kombëtare e Hetimit; Prokuroria e Përgjithshme; Ministria e Drejtësisë;</w:t>
            </w:r>
          </w:p>
        </w:tc>
        <w:tc>
          <w:tcPr>
            <w:tcW w:w="0" w:type="auto"/>
            <w:tcBorders>
              <w:top w:val="nil"/>
              <w:left w:val="nil"/>
              <w:bottom w:val="single" w:sz="4" w:space="0" w:color="auto"/>
              <w:right w:val="single" w:sz="4" w:space="0" w:color="auto"/>
            </w:tcBorders>
            <w:shd w:val="clear" w:color="auto" w:fill="auto"/>
            <w:vAlign w:val="center"/>
            <w:hideMark/>
          </w:tcPr>
          <w:p w14:paraId="0CEDBCE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1775188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0239C8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DDC4C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noWrap/>
            <w:vAlign w:val="center"/>
            <w:hideMark/>
          </w:tcPr>
          <w:p w14:paraId="0770F3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noWrap/>
            <w:vAlign w:val="center"/>
            <w:hideMark/>
          </w:tcPr>
          <w:p w14:paraId="1342C3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34FB7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2FB1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B240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5652C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582C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B661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BBF3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A8735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014F1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778D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756C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D682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A58A8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vAlign w:val="center"/>
            <w:hideMark/>
          </w:tcPr>
          <w:p w14:paraId="4653DE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noWrap/>
            <w:vAlign w:val="center"/>
            <w:hideMark/>
          </w:tcPr>
          <w:p w14:paraId="1A7DBE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4F2E0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noWrap/>
            <w:vAlign w:val="center"/>
            <w:hideMark/>
          </w:tcPr>
          <w:p w14:paraId="548985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noWrap/>
            <w:vAlign w:val="center"/>
            <w:hideMark/>
          </w:tcPr>
          <w:p w14:paraId="3AC103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9A2F6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D415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3783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6B093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1808F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Pritet konfirmimi i financimit nga UNOPS </w:t>
            </w:r>
          </w:p>
        </w:tc>
        <w:tc>
          <w:tcPr>
            <w:tcW w:w="0" w:type="auto"/>
            <w:tcBorders>
              <w:top w:val="nil"/>
              <w:left w:val="nil"/>
              <w:bottom w:val="single" w:sz="4" w:space="0" w:color="auto"/>
              <w:right w:val="single" w:sz="4" w:space="0" w:color="auto"/>
            </w:tcBorders>
            <w:shd w:val="clear" w:color="000000" w:fill="FFFFFF"/>
            <w:vAlign w:val="center"/>
            <w:hideMark/>
          </w:tcPr>
          <w:p w14:paraId="281BE5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13327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2CC76B9"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12D7B2C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7F15460" w14:textId="08226EC3"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1.4</w:t>
            </w:r>
          </w:p>
        </w:tc>
        <w:tc>
          <w:tcPr>
            <w:tcW w:w="0" w:type="auto"/>
            <w:tcBorders>
              <w:top w:val="nil"/>
              <w:left w:val="nil"/>
              <w:bottom w:val="single" w:sz="4" w:space="0" w:color="auto"/>
              <w:right w:val="single" w:sz="4" w:space="0" w:color="auto"/>
            </w:tcBorders>
            <w:shd w:val="clear" w:color="000000" w:fill="5B9BD5"/>
            <w:vAlign w:val="center"/>
            <w:hideMark/>
          </w:tcPr>
          <w:p w14:paraId="003EE4E9"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7E05FD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5C980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5E532B4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7AFC7E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D9436C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828,373,461</w:t>
            </w:r>
          </w:p>
        </w:tc>
        <w:tc>
          <w:tcPr>
            <w:tcW w:w="0" w:type="auto"/>
            <w:tcBorders>
              <w:top w:val="nil"/>
              <w:left w:val="nil"/>
              <w:bottom w:val="single" w:sz="4" w:space="0" w:color="auto"/>
              <w:right w:val="single" w:sz="4" w:space="0" w:color="auto"/>
            </w:tcBorders>
            <w:shd w:val="clear" w:color="000000" w:fill="5B9BD5"/>
            <w:vAlign w:val="center"/>
            <w:hideMark/>
          </w:tcPr>
          <w:p w14:paraId="6A06CFB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647,543,600</w:t>
            </w:r>
          </w:p>
        </w:tc>
        <w:tc>
          <w:tcPr>
            <w:tcW w:w="0" w:type="auto"/>
            <w:tcBorders>
              <w:top w:val="nil"/>
              <w:left w:val="nil"/>
              <w:bottom w:val="single" w:sz="4" w:space="0" w:color="auto"/>
              <w:right w:val="single" w:sz="4" w:space="0" w:color="auto"/>
            </w:tcBorders>
            <w:shd w:val="clear" w:color="000000" w:fill="5B9BD5"/>
            <w:vAlign w:val="center"/>
            <w:hideMark/>
          </w:tcPr>
          <w:p w14:paraId="225C059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1,475,917,061</w:t>
            </w:r>
          </w:p>
        </w:tc>
        <w:tc>
          <w:tcPr>
            <w:tcW w:w="0" w:type="auto"/>
            <w:tcBorders>
              <w:top w:val="nil"/>
              <w:left w:val="nil"/>
              <w:bottom w:val="single" w:sz="4" w:space="0" w:color="auto"/>
              <w:right w:val="single" w:sz="4" w:space="0" w:color="auto"/>
            </w:tcBorders>
            <w:shd w:val="clear" w:color="000000" w:fill="5B9BD5"/>
            <w:vAlign w:val="center"/>
            <w:hideMark/>
          </w:tcPr>
          <w:p w14:paraId="3F4F1E5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823,061,745</w:t>
            </w:r>
          </w:p>
        </w:tc>
        <w:tc>
          <w:tcPr>
            <w:tcW w:w="0" w:type="auto"/>
            <w:tcBorders>
              <w:top w:val="nil"/>
              <w:left w:val="nil"/>
              <w:bottom w:val="single" w:sz="4" w:space="0" w:color="auto"/>
              <w:right w:val="single" w:sz="4" w:space="0" w:color="auto"/>
            </w:tcBorders>
            <w:shd w:val="clear" w:color="000000" w:fill="5B9BD5"/>
            <w:vAlign w:val="center"/>
            <w:hideMark/>
          </w:tcPr>
          <w:p w14:paraId="594CAB9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60,312,500</w:t>
            </w:r>
          </w:p>
        </w:tc>
        <w:tc>
          <w:tcPr>
            <w:tcW w:w="0" w:type="auto"/>
            <w:tcBorders>
              <w:top w:val="nil"/>
              <w:left w:val="nil"/>
              <w:bottom w:val="single" w:sz="4" w:space="0" w:color="auto"/>
              <w:right w:val="single" w:sz="4" w:space="0" w:color="auto"/>
            </w:tcBorders>
            <w:shd w:val="clear" w:color="000000" w:fill="5B9BD5"/>
            <w:vAlign w:val="center"/>
            <w:hideMark/>
          </w:tcPr>
          <w:p w14:paraId="6D5F25C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883,374,245</w:t>
            </w:r>
          </w:p>
        </w:tc>
        <w:tc>
          <w:tcPr>
            <w:tcW w:w="0" w:type="auto"/>
            <w:tcBorders>
              <w:top w:val="nil"/>
              <w:left w:val="nil"/>
              <w:bottom w:val="single" w:sz="4" w:space="0" w:color="auto"/>
              <w:right w:val="single" w:sz="4" w:space="0" w:color="auto"/>
            </w:tcBorders>
            <w:shd w:val="clear" w:color="000000" w:fill="5B9BD5"/>
            <w:vAlign w:val="center"/>
            <w:hideMark/>
          </w:tcPr>
          <w:p w14:paraId="76393B6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823,061,745</w:t>
            </w:r>
          </w:p>
        </w:tc>
        <w:tc>
          <w:tcPr>
            <w:tcW w:w="0" w:type="auto"/>
            <w:tcBorders>
              <w:top w:val="nil"/>
              <w:left w:val="nil"/>
              <w:bottom w:val="single" w:sz="4" w:space="0" w:color="auto"/>
              <w:right w:val="single" w:sz="4" w:space="0" w:color="auto"/>
            </w:tcBorders>
            <w:shd w:val="clear" w:color="000000" w:fill="5B9BD5"/>
            <w:vAlign w:val="center"/>
            <w:hideMark/>
          </w:tcPr>
          <w:p w14:paraId="0CA8BE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60,312,500</w:t>
            </w:r>
          </w:p>
        </w:tc>
        <w:tc>
          <w:tcPr>
            <w:tcW w:w="0" w:type="auto"/>
            <w:tcBorders>
              <w:top w:val="nil"/>
              <w:left w:val="nil"/>
              <w:bottom w:val="single" w:sz="4" w:space="0" w:color="auto"/>
              <w:right w:val="single" w:sz="4" w:space="0" w:color="auto"/>
            </w:tcBorders>
            <w:shd w:val="clear" w:color="000000" w:fill="5B9BD5"/>
            <w:vAlign w:val="center"/>
            <w:hideMark/>
          </w:tcPr>
          <w:p w14:paraId="40AE825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883,374,245</w:t>
            </w:r>
          </w:p>
        </w:tc>
        <w:tc>
          <w:tcPr>
            <w:tcW w:w="0" w:type="auto"/>
            <w:tcBorders>
              <w:top w:val="nil"/>
              <w:left w:val="nil"/>
              <w:bottom w:val="single" w:sz="4" w:space="0" w:color="auto"/>
              <w:right w:val="single" w:sz="4" w:space="0" w:color="auto"/>
            </w:tcBorders>
            <w:shd w:val="clear" w:color="000000" w:fill="5B9BD5"/>
            <w:vAlign w:val="center"/>
            <w:hideMark/>
          </w:tcPr>
          <w:p w14:paraId="01CB38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339,061,745</w:t>
            </w:r>
          </w:p>
        </w:tc>
        <w:tc>
          <w:tcPr>
            <w:tcW w:w="0" w:type="auto"/>
            <w:tcBorders>
              <w:top w:val="nil"/>
              <w:left w:val="nil"/>
              <w:bottom w:val="single" w:sz="4" w:space="0" w:color="auto"/>
              <w:right w:val="single" w:sz="4" w:space="0" w:color="auto"/>
            </w:tcBorders>
            <w:shd w:val="clear" w:color="000000" w:fill="5B9BD5"/>
            <w:vAlign w:val="center"/>
            <w:hideMark/>
          </w:tcPr>
          <w:p w14:paraId="6C54609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C0BA3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339,061,745</w:t>
            </w:r>
          </w:p>
        </w:tc>
        <w:tc>
          <w:tcPr>
            <w:tcW w:w="0" w:type="auto"/>
            <w:tcBorders>
              <w:top w:val="nil"/>
              <w:left w:val="nil"/>
              <w:bottom w:val="single" w:sz="4" w:space="0" w:color="auto"/>
              <w:right w:val="single" w:sz="4" w:space="0" w:color="auto"/>
            </w:tcBorders>
            <w:shd w:val="clear" w:color="000000" w:fill="5B9BD5"/>
            <w:vAlign w:val="center"/>
            <w:hideMark/>
          </w:tcPr>
          <w:p w14:paraId="6582F05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339,061,745</w:t>
            </w:r>
          </w:p>
        </w:tc>
        <w:tc>
          <w:tcPr>
            <w:tcW w:w="0" w:type="auto"/>
            <w:tcBorders>
              <w:top w:val="nil"/>
              <w:left w:val="nil"/>
              <w:bottom w:val="single" w:sz="4" w:space="0" w:color="auto"/>
              <w:right w:val="single" w:sz="4" w:space="0" w:color="auto"/>
            </w:tcBorders>
            <w:shd w:val="clear" w:color="000000" w:fill="5B9BD5"/>
            <w:vAlign w:val="center"/>
            <w:hideMark/>
          </w:tcPr>
          <w:p w14:paraId="6B4A4F6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CD620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339,061,745</w:t>
            </w:r>
          </w:p>
        </w:tc>
        <w:tc>
          <w:tcPr>
            <w:tcW w:w="0" w:type="auto"/>
            <w:tcBorders>
              <w:top w:val="nil"/>
              <w:left w:val="nil"/>
              <w:bottom w:val="single" w:sz="4" w:space="0" w:color="auto"/>
              <w:right w:val="single" w:sz="4" w:space="0" w:color="auto"/>
            </w:tcBorders>
            <w:shd w:val="clear" w:color="000000" w:fill="5B9BD5"/>
            <w:vAlign w:val="center"/>
            <w:hideMark/>
          </w:tcPr>
          <w:p w14:paraId="5DA5E98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3,152,620,441</w:t>
            </w:r>
          </w:p>
        </w:tc>
        <w:tc>
          <w:tcPr>
            <w:tcW w:w="0" w:type="auto"/>
            <w:tcBorders>
              <w:top w:val="nil"/>
              <w:left w:val="nil"/>
              <w:bottom w:val="single" w:sz="4" w:space="0" w:color="auto"/>
              <w:right w:val="single" w:sz="4" w:space="0" w:color="auto"/>
            </w:tcBorders>
            <w:shd w:val="clear" w:color="000000" w:fill="5B9BD5"/>
            <w:vAlign w:val="center"/>
            <w:hideMark/>
          </w:tcPr>
          <w:p w14:paraId="40FDDA2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768,168,600</w:t>
            </w:r>
          </w:p>
        </w:tc>
        <w:tc>
          <w:tcPr>
            <w:tcW w:w="0" w:type="auto"/>
            <w:tcBorders>
              <w:top w:val="nil"/>
              <w:left w:val="nil"/>
              <w:bottom w:val="single" w:sz="4" w:space="0" w:color="auto"/>
              <w:right w:val="single" w:sz="4" w:space="0" w:color="auto"/>
            </w:tcBorders>
            <w:shd w:val="clear" w:color="000000" w:fill="5B9BD5"/>
            <w:vAlign w:val="center"/>
            <w:hideMark/>
          </w:tcPr>
          <w:p w14:paraId="65A613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3,920,789,041</w:t>
            </w:r>
          </w:p>
        </w:tc>
        <w:tc>
          <w:tcPr>
            <w:tcW w:w="0" w:type="auto"/>
            <w:tcBorders>
              <w:top w:val="nil"/>
              <w:left w:val="nil"/>
              <w:bottom w:val="single" w:sz="4" w:space="0" w:color="auto"/>
              <w:right w:val="single" w:sz="4" w:space="0" w:color="auto"/>
            </w:tcBorders>
            <w:shd w:val="clear" w:color="000000" w:fill="5B9BD5"/>
            <w:vAlign w:val="center"/>
            <w:hideMark/>
          </w:tcPr>
          <w:p w14:paraId="2F3D9AB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2,474,496,951</w:t>
            </w:r>
          </w:p>
        </w:tc>
        <w:tc>
          <w:tcPr>
            <w:tcW w:w="0" w:type="auto"/>
            <w:tcBorders>
              <w:top w:val="nil"/>
              <w:left w:val="nil"/>
              <w:bottom w:val="single" w:sz="4" w:space="0" w:color="auto"/>
              <w:right w:val="single" w:sz="4" w:space="0" w:color="auto"/>
            </w:tcBorders>
            <w:shd w:val="clear" w:color="000000" w:fill="5B9BD5"/>
            <w:vAlign w:val="center"/>
            <w:hideMark/>
          </w:tcPr>
          <w:p w14:paraId="6964A9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40,680,000</w:t>
            </w:r>
          </w:p>
        </w:tc>
        <w:tc>
          <w:tcPr>
            <w:tcW w:w="0" w:type="auto"/>
            <w:tcBorders>
              <w:top w:val="nil"/>
              <w:left w:val="nil"/>
              <w:bottom w:val="single" w:sz="4" w:space="0" w:color="auto"/>
              <w:right w:val="single" w:sz="4" w:space="0" w:color="auto"/>
            </w:tcBorders>
            <w:shd w:val="clear" w:color="000000" w:fill="5B9BD5"/>
            <w:vAlign w:val="center"/>
            <w:hideMark/>
          </w:tcPr>
          <w:p w14:paraId="55B66A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2,515,176,951</w:t>
            </w:r>
          </w:p>
        </w:tc>
        <w:tc>
          <w:tcPr>
            <w:tcW w:w="0" w:type="auto"/>
            <w:tcBorders>
              <w:top w:val="nil"/>
              <w:left w:val="nil"/>
              <w:bottom w:val="single" w:sz="4" w:space="0" w:color="auto"/>
              <w:right w:val="single" w:sz="4" w:space="0" w:color="auto"/>
            </w:tcBorders>
            <w:shd w:val="clear" w:color="000000" w:fill="5B9BD5"/>
            <w:vAlign w:val="center"/>
            <w:hideMark/>
          </w:tcPr>
          <w:p w14:paraId="5229704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678,123,490</w:t>
            </w:r>
          </w:p>
        </w:tc>
        <w:tc>
          <w:tcPr>
            <w:tcW w:w="0" w:type="auto"/>
            <w:tcBorders>
              <w:top w:val="nil"/>
              <w:left w:val="nil"/>
              <w:bottom w:val="single" w:sz="4" w:space="0" w:color="auto"/>
              <w:right w:val="single" w:sz="4" w:space="0" w:color="auto"/>
            </w:tcBorders>
            <w:shd w:val="clear" w:color="000000" w:fill="5B9BD5"/>
            <w:vAlign w:val="center"/>
            <w:hideMark/>
          </w:tcPr>
          <w:p w14:paraId="1AC6618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797BE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678,123,490</w:t>
            </w:r>
          </w:p>
        </w:tc>
        <w:tc>
          <w:tcPr>
            <w:tcW w:w="0" w:type="auto"/>
            <w:tcBorders>
              <w:top w:val="nil"/>
              <w:left w:val="nil"/>
              <w:bottom w:val="single" w:sz="4" w:space="0" w:color="auto"/>
              <w:right w:val="single" w:sz="4" w:space="0" w:color="auto"/>
            </w:tcBorders>
            <w:shd w:val="clear" w:color="000000" w:fill="5B9BD5"/>
            <w:vAlign w:val="center"/>
            <w:hideMark/>
          </w:tcPr>
          <w:p w14:paraId="23659B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C1700E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727,488,600</w:t>
            </w:r>
          </w:p>
        </w:tc>
        <w:tc>
          <w:tcPr>
            <w:tcW w:w="0" w:type="auto"/>
            <w:tcBorders>
              <w:top w:val="nil"/>
              <w:left w:val="nil"/>
              <w:bottom w:val="single" w:sz="4" w:space="0" w:color="auto"/>
              <w:right w:val="single" w:sz="4" w:space="0" w:color="auto"/>
            </w:tcBorders>
            <w:shd w:val="clear" w:color="000000" w:fill="5B9BD5"/>
            <w:vAlign w:val="center"/>
            <w:hideMark/>
          </w:tcPr>
          <w:p w14:paraId="698B95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AE6128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727,488,600</w:t>
            </w:r>
          </w:p>
        </w:tc>
        <w:tc>
          <w:tcPr>
            <w:tcW w:w="0" w:type="auto"/>
            <w:tcBorders>
              <w:top w:val="nil"/>
              <w:left w:val="nil"/>
              <w:bottom w:val="single" w:sz="4" w:space="0" w:color="auto"/>
              <w:right w:val="single" w:sz="4" w:space="0" w:color="auto"/>
            </w:tcBorders>
            <w:shd w:val="clear" w:color="000000" w:fill="5B9BD5"/>
            <w:vAlign w:val="center"/>
            <w:hideMark/>
          </w:tcPr>
          <w:p w14:paraId="576257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587FE9E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noWrap/>
            <w:vAlign w:val="center"/>
            <w:hideMark/>
          </w:tcPr>
          <w:p w14:paraId="23E4CA3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w:t>
            </w:r>
          </w:p>
        </w:tc>
        <w:tc>
          <w:tcPr>
            <w:tcW w:w="0" w:type="auto"/>
            <w:tcBorders>
              <w:top w:val="nil"/>
              <w:left w:val="nil"/>
              <w:bottom w:val="single" w:sz="4" w:space="0" w:color="auto"/>
              <w:right w:val="nil"/>
            </w:tcBorders>
            <w:shd w:val="clear" w:color="000000" w:fill="FCE4D6"/>
            <w:vAlign w:val="center"/>
            <w:hideMark/>
          </w:tcPr>
          <w:p w14:paraId="1B2F6685"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Reduktimi i stimujve dhe mundësive financiare për krimin e organizuar nëpërmjet forcimit të kontrolleve ekonomike dhe ndërprerjes së burimeve të financimit</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47CC66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1D4E9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0095D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24ADF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D7891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580B5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5C6D1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7683C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4F2B2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DA4EA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AC015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6170A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CFAE1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F97FE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5197A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D783B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88884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84055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7162B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88A83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4DBE5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30A13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49DCE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51798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5495B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A5756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3A705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97971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2FE7B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7CC87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C74F7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E529CA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24FB8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76FD6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274186A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7255DA0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1.5.1</w:t>
            </w:r>
          </w:p>
        </w:tc>
        <w:tc>
          <w:tcPr>
            <w:tcW w:w="0" w:type="auto"/>
            <w:tcBorders>
              <w:top w:val="nil"/>
              <w:left w:val="nil"/>
              <w:bottom w:val="single" w:sz="4" w:space="0" w:color="auto"/>
              <w:right w:val="single" w:sz="4" w:space="0" w:color="auto"/>
            </w:tcBorders>
            <w:shd w:val="clear" w:color="auto" w:fill="auto"/>
            <w:vAlign w:val="center"/>
            <w:hideMark/>
          </w:tcPr>
          <w:p w14:paraId="629AEBC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Kryerja e vlerësimit kombëtar të kërcënimeve nga krimi i organizuar dhe krimet e rënda.</w:t>
            </w:r>
          </w:p>
        </w:tc>
        <w:tc>
          <w:tcPr>
            <w:tcW w:w="0" w:type="auto"/>
            <w:tcBorders>
              <w:top w:val="nil"/>
              <w:left w:val="nil"/>
              <w:bottom w:val="single" w:sz="4" w:space="0" w:color="auto"/>
              <w:right w:val="single" w:sz="4" w:space="0" w:color="auto"/>
            </w:tcBorders>
            <w:shd w:val="clear" w:color="000000" w:fill="FFFFFF"/>
            <w:vAlign w:val="center"/>
            <w:hideMark/>
          </w:tcPr>
          <w:p w14:paraId="6C532C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91603AA</w:t>
            </w:r>
          </w:p>
        </w:tc>
        <w:tc>
          <w:tcPr>
            <w:tcW w:w="0" w:type="auto"/>
            <w:tcBorders>
              <w:top w:val="nil"/>
              <w:left w:val="nil"/>
              <w:bottom w:val="single" w:sz="4" w:space="0" w:color="auto"/>
              <w:right w:val="single" w:sz="4" w:space="0" w:color="auto"/>
            </w:tcBorders>
            <w:shd w:val="clear" w:color="000000" w:fill="FFFFFF"/>
            <w:vAlign w:val="center"/>
            <w:hideMark/>
          </w:tcPr>
          <w:p w14:paraId="4DDCE9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000000" w:fill="FFFFFF"/>
            <w:vAlign w:val="center"/>
            <w:hideMark/>
          </w:tcPr>
          <w:p w14:paraId="2EF211AB" w14:textId="14B41C93"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Ministritë relevante të linjës; Policia e Shtetit, Agjencia e Inteligjencës Financiare, Shërbimi Informativ i Shtetit; Autoriteti Kombëtar për Sigurinë Kibernetike,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Prokuroria e Përgjithshme; Prokuroria e Posaçme; 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179CA86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FF49A9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15DB1D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1218A2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61593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14CA25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2A1F79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799F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18DA63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0D2017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33EE2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3E919F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73B16C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89806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7B4321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noWrap/>
            <w:vAlign w:val="center"/>
            <w:hideMark/>
          </w:tcPr>
          <w:p w14:paraId="5960BC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F2939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FFFFFF"/>
            <w:vAlign w:val="center"/>
            <w:hideMark/>
          </w:tcPr>
          <w:p w14:paraId="1B7E7B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1,200,000</w:t>
            </w:r>
          </w:p>
        </w:tc>
        <w:tc>
          <w:tcPr>
            <w:tcW w:w="0" w:type="auto"/>
            <w:tcBorders>
              <w:top w:val="nil"/>
              <w:left w:val="nil"/>
              <w:bottom w:val="single" w:sz="4" w:space="0" w:color="auto"/>
              <w:right w:val="single" w:sz="4" w:space="0" w:color="auto"/>
            </w:tcBorders>
            <w:shd w:val="clear" w:color="000000" w:fill="FFFFFF"/>
            <w:vAlign w:val="center"/>
            <w:hideMark/>
          </w:tcPr>
          <w:p w14:paraId="5E65AC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9E91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1,200,000</w:t>
            </w:r>
          </w:p>
        </w:tc>
        <w:tc>
          <w:tcPr>
            <w:tcW w:w="0" w:type="auto"/>
            <w:tcBorders>
              <w:top w:val="nil"/>
              <w:left w:val="nil"/>
              <w:bottom w:val="single" w:sz="4" w:space="0" w:color="auto"/>
              <w:right w:val="single" w:sz="4" w:space="0" w:color="auto"/>
            </w:tcBorders>
            <w:shd w:val="clear" w:color="000000" w:fill="FFFFFF"/>
            <w:noWrap/>
            <w:vAlign w:val="center"/>
            <w:hideMark/>
          </w:tcPr>
          <w:p w14:paraId="4732C4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720,000</w:t>
            </w:r>
          </w:p>
        </w:tc>
        <w:tc>
          <w:tcPr>
            <w:tcW w:w="0" w:type="auto"/>
            <w:tcBorders>
              <w:top w:val="nil"/>
              <w:left w:val="nil"/>
              <w:bottom w:val="single" w:sz="4" w:space="0" w:color="auto"/>
              <w:right w:val="single" w:sz="4" w:space="0" w:color="auto"/>
            </w:tcBorders>
            <w:shd w:val="clear" w:color="000000" w:fill="FFFFFF"/>
            <w:noWrap/>
            <w:vAlign w:val="center"/>
            <w:hideMark/>
          </w:tcPr>
          <w:p w14:paraId="019DEC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28CED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720,000</w:t>
            </w:r>
          </w:p>
        </w:tc>
        <w:tc>
          <w:tcPr>
            <w:tcW w:w="0" w:type="auto"/>
            <w:tcBorders>
              <w:top w:val="nil"/>
              <w:left w:val="nil"/>
              <w:bottom w:val="single" w:sz="4" w:space="0" w:color="auto"/>
              <w:right w:val="single" w:sz="4" w:space="0" w:color="auto"/>
            </w:tcBorders>
            <w:shd w:val="clear" w:color="000000" w:fill="FFFFFF"/>
            <w:noWrap/>
            <w:vAlign w:val="center"/>
            <w:hideMark/>
          </w:tcPr>
          <w:p w14:paraId="1374CD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FFFFFF"/>
            <w:noWrap/>
            <w:vAlign w:val="center"/>
            <w:hideMark/>
          </w:tcPr>
          <w:p w14:paraId="0300F0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61E80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FFFFFF"/>
            <w:vAlign w:val="center"/>
            <w:hideMark/>
          </w:tcPr>
          <w:p w14:paraId="6B3AF1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F4DF9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7082D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5965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0A14E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ACD7F3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5734C00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1.5.2</w:t>
            </w:r>
          </w:p>
        </w:tc>
        <w:tc>
          <w:tcPr>
            <w:tcW w:w="0" w:type="auto"/>
            <w:tcBorders>
              <w:top w:val="nil"/>
              <w:left w:val="nil"/>
              <w:bottom w:val="single" w:sz="4" w:space="0" w:color="auto"/>
              <w:right w:val="single" w:sz="4" w:space="0" w:color="auto"/>
            </w:tcBorders>
            <w:shd w:val="clear" w:color="auto" w:fill="auto"/>
            <w:vAlign w:val="center"/>
            <w:hideMark/>
          </w:tcPr>
          <w:p w14:paraId="1DB8EF2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kontrolleve të bazuara në rrezik, të kryera kundër informalitetit, evazionit fiskal dhe shmangies tatimore.</w:t>
            </w:r>
          </w:p>
        </w:tc>
        <w:tc>
          <w:tcPr>
            <w:tcW w:w="0" w:type="auto"/>
            <w:tcBorders>
              <w:top w:val="nil"/>
              <w:left w:val="nil"/>
              <w:bottom w:val="single" w:sz="4" w:space="0" w:color="auto"/>
              <w:right w:val="single" w:sz="4" w:space="0" w:color="auto"/>
            </w:tcBorders>
            <w:shd w:val="clear" w:color="000000" w:fill="FFFFFF"/>
            <w:vAlign w:val="center"/>
            <w:hideMark/>
          </w:tcPr>
          <w:p w14:paraId="5ABC17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91004AA</w:t>
            </w:r>
          </w:p>
        </w:tc>
        <w:tc>
          <w:tcPr>
            <w:tcW w:w="0" w:type="auto"/>
            <w:tcBorders>
              <w:top w:val="nil"/>
              <w:left w:val="nil"/>
              <w:bottom w:val="single" w:sz="4" w:space="0" w:color="auto"/>
              <w:right w:val="single" w:sz="4" w:space="0" w:color="auto"/>
            </w:tcBorders>
            <w:shd w:val="clear" w:color="000000" w:fill="FFFFFF"/>
            <w:vAlign w:val="center"/>
            <w:hideMark/>
          </w:tcPr>
          <w:p w14:paraId="7CE992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Drejtoria e Pergjithshme e Tatimeve</w:t>
            </w:r>
          </w:p>
        </w:tc>
        <w:tc>
          <w:tcPr>
            <w:tcW w:w="0" w:type="auto"/>
            <w:tcBorders>
              <w:top w:val="nil"/>
              <w:left w:val="nil"/>
              <w:bottom w:val="single" w:sz="4" w:space="0" w:color="auto"/>
              <w:right w:val="single" w:sz="4" w:space="0" w:color="auto"/>
            </w:tcBorders>
            <w:shd w:val="clear" w:color="000000" w:fill="FFFFFF"/>
            <w:noWrap/>
            <w:vAlign w:val="center"/>
            <w:hideMark/>
          </w:tcPr>
          <w:p w14:paraId="2794C5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116021D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FFFC73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02898D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97,521,860</w:t>
            </w:r>
          </w:p>
        </w:tc>
        <w:tc>
          <w:tcPr>
            <w:tcW w:w="0" w:type="auto"/>
            <w:tcBorders>
              <w:top w:val="nil"/>
              <w:left w:val="nil"/>
              <w:bottom w:val="single" w:sz="4" w:space="0" w:color="auto"/>
              <w:right w:val="single" w:sz="4" w:space="0" w:color="auto"/>
            </w:tcBorders>
            <w:shd w:val="clear" w:color="000000" w:fill="FFFFFF"/>
            <w:noWrap/>
            <w:vAlign w:val="center"/>
            <w:hideMark/>
          </w:tcPr>
          <w:p w14:paraId="720914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151F8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97,521,860</w:t>
            </w:r>
          </w:p>
        </w:tc>
        <w:tc>
          <w:tcPr>
            <w:tcW w:w="0" w:type="auto"/>
            <w:tcBorders>
              <w:top w:val="nil"/>
              <w:left w:val="nil"/>
              <w:bottom w:val="single" w:sz="4" w:space="0" w:color="auto"/>
              <w:right w:val="single" w:sz="4" w:space="0" w:color="auto"/>
            </w:tcBorders>
            <w:shd w:val="clear" w:color="000000" w:fill="FFFFFF"/>
            <w:noWrap/>
            <w:vAlign w:val="center"/>
            <w:hideMark/>
          </w:tcPr>
          <w:p w14:paraId="20C7AF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97,521,860</w:t>
            </w:r>
          </w:p>
        </w:tc>
        <w:tc>
          <w:tcPr>
            <w:tcW w:w="0" w:type="auto"/>
            <w:tcBorders>
              <w:top w:val="nil"/>
              <w:left w:val="nil"/>
              <w:bottom w:val="single" w:sz="4" w:space="0" w:color="auto"/>
              <w:right w:val="single" w:sz="4" w:space="0" w:color="auto"/>
            </w:tcBorders>
            <w:shd w:val="clear" w:color="000000" w:fill="FFFFFF"/>
            <w:noWrap/>
            <w:vAlign w:val="center"/>
            <w:hideMark/>
          </w:tcPr>
          <w:p w14:paraId="27A9A6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25CD6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97,521,860</w:t>
            </w:r>
          </w:p>
        </w:tc>
        <w:tc>
          <w:tcPr>
            <w:tcW w:w="0" w:type="auto"/>
            <w:tcBorders>
              <w:top w:val="nil"/>
              <w:left w:val="nil"/>
              <w:bottom w:val="single" w:sz="4" w:space="0" w:color="auto"/>
              <w:right w:val="single" w:sz="4" w:space="0" w:color="auto"/>
            </w:tcBorders>
            <w:shd w:val="clear" w:color="000000" w:fill="FFFFFF"/>
            <w:noWrap/>
            <w:vAlign w:val="center"/>
            <w:hideMark/>
          </w:tcPr>
          <w:p w14:paraId="2E8F45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97,521,860</w:t>
            </w:r>
          </w:p>
        </w:tc>
        <w:tc>
          <w:tcPr>
            <w:tcW w:w="0" w:type="auto"/>
            <w:tcBorders>
              <w:top w:val="nil"/>
              <w:left w:val="nil"/>
              <w:bottom w:val="single" w:sz="4" w:space="0" w:color="auto"/>
              <w:right w:val="single" w:sz="4" w:space="0" w:color="auto"/>
            </w:tcBorders>
            <w:shd w:val="clear" w:color="000000" w:fill="FFFFFF"/>
            <w:noWrap/>
            <w:vAlign w:val="center"/>
            <w:hideMark/>
          </w:tcPr>
          <w:p w14:paraId="4966F1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55A2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97,521,860</w:t>
            </w:r>
          </w:p>
        </w:tc>
        <w:tc>
          <w:tcPr>
            <w:tcW w:w="0" w:type="auto"/>
            <w:tcBorders>
              <w:top w:val="nil"/>
              <w:left w:val="nil"/>
              <w:bottom w:val="single" w:sz="4" w:space="0" w:color="auto"/>
              <w:right w:val="single" w:sz="4" w:space="0" w:color="auto"/>
            </w:tcBorders>
            <w:shd w:val="clear" w:color="000000" w:fill="FFFFFF"/>
            <w:noWrap/>
            <w:vAlign w:val="center"/>
            <w:hideMark/>
          </w:tcPr>
          <w:p w14:paraId="293A83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D808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D9A0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F670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25731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5FFC5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04523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292,565,580</w:t>
            </w:r>
          </w:p>
        </w:tc>
        <w:tc>
          <w:tcPr>
            <w:tcW w:w="0" w:type="auto"/>
            <w:tcBorders>
              <w:top w:val="nil"/>
              <w:left w:val="nil"/>
              <w:bottom w:val="single" w:sz="4" w:space="0" w:color="auto"/>
              <w:right w:val="single" w:sz="4" w:space="0" w:color="auto"/>
            </w:tcBorders>
            <w:shd w:val="clear" w:color="000000" w:fill="FFFFFF"/>
            <w:vAlign w:val="center"/>
            <w:hideMark/>
          </w:tcPr>
          <w:p w14:paraId="375D0A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5848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292,565,580</w:t>
            </w:r>
          </w:p>
        </w:tc>
        <w:tc>
          <w:tcPr>
            <w:tcW w:w="0" w:type="auto"/>
            <w:tcBorders>
              <w:top w:val="nil"/>
              <w:left w:val="nil"/>
              <w:bottom w:val="single" w:sz="4" w:space="0" w:color="auto"/>
              <w:right w:val="single" w:sz="4" w:space="0" w:color="auto"/>
            </w:tcBorders>
            <w:shd w:val="clear" w:color="000000" w:fill="FFFFFF"/>
            <w:noWrap/>
            <w:vAlign w:val="center"/>
            <w:hideMark/>
          </w:tcPr>
          <w:p w14:paraId="60E343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292,565,580</w:t>
            </w:r>
          </w:p>
        </w:tc>
        <w:tc>
          <w:tcPr>
            <w:tcW w:w="0" w:type="auto"/>
            <w:tcBorders>
              <w:top w:val="nil"/>
              <w:left w:val="nil"/>
              <w:bottom w:val="single" w:sz="4" w:space="0" w:color="auto"/>
              <w:right w:val="single" w:sz="4" w:space="0" w:color="auto"/>
            </w:tcBorders>
            <w:shd w:val="clear" w:color="000000" w:fill="FFFFFF"/>
            <w:noWrap/>
            <w:vAlign w:val="center"/>
            <w:hideMark/>
          </w:tcPr>
          <w:p w14:paraId="09ABEF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1E42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292,565,580</w:t>
            </w:r>
          </w:p>
        </w:tc>
        <w:tc>
          <w:tcPr>
            <w:tcW w:w="0" w:type="auto"/>
            <w:tcBorders>
              <w:top w:val="nil"/>
              <w:left w:val="nil"/>
              <w:bottom w:val="single" w:sz="4" w:space="0" w:color="auto"/>
              <w:right w:val="single" w:sz="4" w:space="0" w:color="auto"/>
            </w:tcBorders>
            <w:shd w:val="clear" w:color="000000" w:fill="FFFFFF"/>
            <w:noWrap/>
            <w:vAlign w:val="center"/>
            <w:hideMark/>
          </w:tcPr>
          <w:p w14:paraId="37E0CE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6557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CD55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5AA8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9000E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4753F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56CBA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745C6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1ACE01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558F1D8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1.5.3</w:t>
            </w:r>
          </w:p>
        </w:tc>
        <w:tc>
          <w:tcPr>
            <w:tcW w:w="0" w:type="auto"/>
            <w:tcBorders>
              <w:top w:val="nil"/>
              <w:left w:val="nil"/>
              <w:bottom w:val="single" w:sz="4" w:space="0" w:color="auto"/>
              <w:right w:val="single" w:sz="4" w:space="0" w:color="auto"/>
            </w:tcBorders>
            <w:shd w:val="clear" w:color="auto" w:fill="auto"/>
            <w:vAlign w:val="center"/>
            <w:hideMark/>
          </w:tcPr>
          <w:p w14:paraId="6E6BD93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kontrolleve dhe inspektimeve të koordinuara dhe inspektimeve te bizneset me rrezik të lartë.</w:t>
            </w:r>
          </w:p>
        </w:tc>
        <w:tc>
          <w:tcPr>
            <w:tcW w:w="0" w:type="auto"/>
            <w:tcBorders>
              <w:top w:val="nil"/>
              <w:left w:val="nil"/>
              <w:bottom w:val="single" w:sz="4" w:space="0" w:color="auto"/>
              <w:right w:val="single" w:sz="4" w:space="0" w:color="auto"/>
            </w:tcBorders>
            <w:shd w:val="clear" w:color="000000" w:fill="FFFFFF"/>
            <w:vAlign w:val="center"/>
            <w:hideMark/>
          </w:tcPr>
          <w:p w14:paraId="3A782C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91004AA</w:t>
            </w:r>
          </w:p>
        </w:tc>
        <w:tc>
          <w:tcPr>
            <w:tcW w:w="0" w:type="auto"/>
            <w:tcBorders>
              <w:top w:val="nil"/>
              <w:left w:val="nil"/>
              <w:bottom w:val="single" w:sz="4" w:space="0" w:color="auto"/>
              <w:right w:val="single" w:sz="4" w:space="0" w:color="auto"/>
            </w:tcBorders>
            <w:shd w:val="clear" w:color="000000" w:fill="FFFFFF"/>
            <w:vAlign w:val="center"/>
            <w:hideMark/>
          </w:tcPr>
          <w:p w14:paraId="2F4692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Drejtoria e Pergjithshme e Tatimeve</w:t>
            </w:r>
          </w:p>
        </w:tc>
        <w:tc>
          <w:tcPr>
            <w:tcW w:w="0" w:type="auto"/>
            <w:tcBorders>
              <w:top w:val="nil"/>
              <w:left w:val="nil"/>
              <w:bottom w:val="single" w:sz="4" w:space="0" w:color="auto"/>
              <w:right w:val="single" w:sz="4" w:space="0" w:color="auto"/>
            </w:tcBorders>
            <w:shd w:val="clear" w:color="000000" w:fill="FFFFFF"/>
            <w:noWrap/>
            <w:vAlign w:val="center"/>
            <w:hideMark/>
          </w:tcPr>
          <w:p w14:paraId="416B5C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4ECD2C7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0305A0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49FA95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703,800</w:t>
            </w:r>
          </w:p>
        </w:tc>
        <w:tc>
          <w:tcPr>
            <w:tcW w:w="0" w:type="auto"/>
            <w:tcBorders>
              <w:top w:val="nil"/>
              <w:left w:val="nil"/>
              <w:bottom w:val="single" w:sz="4" w:space="0" w:color="auto"/>
              <w:right w:val="single" w:sz="4" w:space="0" w:color="auto"/>
            </w:tcBorders>
            <w:shd w:val="clear" w:color="000000" w:fill="FFFFFF"/>
            <w:noWrap/>
            <w:vAlign w:val="center"/>
            <w:hideMark/>
          </w:tcPr>
          <w:p w14:paraId="2D3BFE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1A72C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703,800</w:t>
            </w:r>
          </w:p>
        </w:tc>
        <w:tc>
          <w:tcPr>
            <w:tcW w:w="0" w:type="auto"/>
            <w:tcBorders>
              <w:top w:val="nil"/>
              <w:left w:val="nil"/>
              <w:bottom w:val="single" w:sz="4" w:space="0" w:color="auto"/>
              <w:right w:val="single" w:sz="4" w:space="0" w:color="auto"/>
            </w:tcBorders>
            <w:shd w:val="clear" w:color="000000" w:fill="FFFFFF"/>
            <w:noWrap/>
            <w:vAlign w:val="center"/>
            <w:hideMark/>
          </w:tcPr>
          <w:p w14:paraId="355F9D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703,800</w:t>
            </w:r>
          </w:p>
        </w:tc>
        <w:tc>
          <w:tcPr>
            <w:tcW w:w="0" w:type="auto"/>
            <w:tcBorders>
              <w:top w:val="nil"/>
              <w:left w:val="nil"/>
              <w:bottom w:val="single" w:sz="4" w:space="0" w:color="auto"/>
              <w:right w:val="single" w:sz="4" w:space="0" w:color="auto"/>
            </w:tcBorders>
            <w:shd w:val="clear" w:color="000000" w:fill="FFFFFF"/>
            <w:noWrap/>
            <w:vAlign w:val="center"/>
            <w:hideMark/>
          </w:tcPr>
          <w:p w14:paraId="3016CF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1DC5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703,800</w:t>
            </w:r>
          </w:p>
        </w:tc>
        <w:tc>
          <w:tcPr>
            <w:tcW w:w="0" w:type="auto"/>
            <w:tcBorders>
              <w:top w:val="nil"/>
              <w:left w:val="nil"/>
              <w:bottom w:val="single" w:sz="4" w:space="0" w:color="auto"/>
              <w:right w:val="single" w:sz="4" w:space="0" w:color="auto"/>
            </w:tcBorders>
            <w:shd w:val="clear" w:color="000000" w:fill="FFFFFF"/>
            <w:noWrap/>
            <w:vAlign w:val="center"/>
            <w:hideMark/>
          </w:tcPr>
          <w:p w14:paraId="6F2AD7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703,800</w:t>
            </w:r>
          </w:p>
        </w:tc>
        <w:tc>
          <w:tcPr>
            <w:tcW w:w="0" w:type="auto"/>
            <w:tcBorders>
              <w:top w:val="nil"/>
              <w:left w:val="nil"/>
              <w:bottom w:val="single" w:sz="4" w:space="0" w:color="auto"/>
              <w:right w:val="single" w:sz="4" w:space="0" w:color="auto"/>
            </w:tcBorders>
            <w:shd w:val="clear" w:color="000000" w:fill="FFFFFF"/>
            <w:noWrap/>
            <w:vAlign w:val="center"/>
            <w:hideMark/>
          </w:tcPr>
          <w:p w14:paraId="598B2D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B5025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703,800</w:t>
            </w:r>
          </w:p>
        </w:tc>
        <w:tc>
          <w:tcPr>
            <w:tcW w:w="0" w:type="auto"/>
            <w:tcBorders>
              <w:top w:val="nil"/>
              <w:left w:val="nil"/>
              <w:bottom w:val="single" w:sz="4" w:space="0" w:color="auto"/>
              <w:right w:val="single" w:sz="4" w:space="0" w:color="auto"/>
            </w:tcBorders>
            <w:shd w:val="clear" w:color="000000" w:fill="FFFFFF"/>
            <w:noWrap/>
            <w:vAlign w:val="center"/>
            <w:hideMark/>
          </w:tcPr>
          <w:p w14:paraId="5CB130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9071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52A9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418C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7B717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FE71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D551D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2,111,400</w:t>
            </w:r>
          </w:p>
        </w:tc>
        <w:tc>
          <w:tcPr>
            <w:tcW w:w="0" w:type="auto"/>
            <w:tcBorders>
              <w:top w:val="nil"/>
              <w:left w:val="nil"/>
              <w:bottom w:val="single" w:sz="4" w:space="0" w:color="auto"/>
              <w:right w:val="single" w:sz="4" w:space="0" w:color="auto"/>
            </w:tcBorders>
            <w:shd w:val="clear" w:color="000000" w:fill="FFFFFF"/>
            <w:vAlign w:val="center"/>
            <w:hideMark/>
          </w:tcPr>
          <w:p w14:paraId="355F8D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DD473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2,111,400</w:t>
            </w:r>
          </w:p>
        </w:tc>
        <w:tc>
          <w:tcPr>
            <w:tcW w:w="0" w:type="auto"/>
            <w:tcBorders>
              <w:top w:val="nil"/>
              <w:left w:val="nil"/>
              <w:bottom w:val="single" w:sz="4" w:space="0" w:color="auto"/>
              <w:right w:val="single" w:sz="4" w:space="0" w:color="auto"/>
            </w:tcBorders>
            <w:shd w:val="clear" w:color="000000" w:fill="FFFFFF"/>
            <w:noWrap/>
            <w:vAlign w:val="center"/>
            <w:hideMark/>
          </w:tcPr>
          <w:p w14:paraId="4A4E64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2,111,400</w:t>
            </w:r>
          </w:p>
        </w:tc>
        <w:tc>
          <w:tcPr>
            <w:tcW w:w="0" w:type="auto"/>
            <w:tcBorders>
              <w:top w:val="nil"/>
              <w:left w:val="nil"/>
              <w:bottom w:val="single" w:sz="4" w:space="0" w:color="auto"/>
              <w:right w:val="single" w:sz="4" w:space="0" w:color="auto"/>
            </w:tcBorders>
            <w:shd w:val="clear" w:color="000000" w:fill="FFFFFF"/>
            <w:noWrap/>
            <w:vAlign w:val="center"/>
            <w:hideMark/>
          </w:tcPr>
          <w:p w14:paraId="3C7E1D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D459D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2,111,400</w:t>
            </w:r>
          </w:p>
        </w:tc>
        <w:tc>
          <w:tcPr>
            <w:tcW w:w="0" w:type="auto"/>
            <w:tcBorders>
              <w:top w:val="nil"/>
              <w:left w:val="nil"/>
              <w:bottom w:val="single" w:sz="4" w:space="0" w:color="auto"/>
              <w:right w:val="single" w:sz="4" w:space="0" w:color="auto"/>
            </w:tcBorders>
            <w:shd w:val="clear" w:color="000000" w:fill="FFFFFF"/>
            <w:noWrap/>
            <w:vAlign w:val="center"/>
            <w:hideMark/>
          </w:tcPr>
          <w:p w14:paraId="02AB1E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CCC1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153B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CA028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72B90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4E567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157F7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6C9AA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CDA313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noWrap/>
            <w:vAlign w:val="center"/>
            <w:hideMark/>
          </w:tcPr>
          <w:p w14:paraId="6F30069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1.5.4</w:t>
            </w:r>
          </w:p>
        </w:tc>
        <w:tc>
          <w:tcPr>
            <w:tcW w:w="0" w:type="auto"/>
            <w:tcBorders>
              <w:top w:val="nil"/>
              <w:left w:val="nil"/>
              <w:bottom w:val="single" w:sz="4" w:space="0" w:color="auto"/>
              <w:right w:val="single" w:sz="4" w:space="0" w:color="auto"/>
            </w:tcBorders>
            <w:shd w:val="clear" w:color="auto" w:fill="auto"/>
            <w:vAlign w:val="center"/>
            <w:hideMark/>
          </w:tcPr>
          <w:p w14:paraId="2078B50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Monitorimi i mallrave me rrezik të lartë mallrave të cenueshme ndaj evazionit fiskal.</w:t>
            </w:r>
          </w:p>
        </w:tc>
        <w:tc>
          <w:tcPr>
            <w:tcW w:w="0" w:type="auto"/>
            <w:tcBorders>
              <w:top w:val="nil"/>
              <w:left w:val="nil"/>
              <w:bottom w:val="single" w:sz="4" w:space="0" w:color="auto"/>
              <w:right w:val="single" w:sz="4" w:space="0" w:color="auto"/>
            </w:tcBorders>
            <w:shd w:val="clear" w:color="000000" w:fill="FFFFFF"/>
            <w:vAlign w:val="center"/>
            <w:hideMark/>
          </w:tcPr>
          <w:p w14:paraId="51C5AA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91005AA</w:t>
            </w:r>
          </w:p>
        </w:tc>
        <w:tc>
          <w:tcPr>
            <w:tcW w:w="0" w:type="auto"/>
            <w:tcBorders>
              <w:top w:val="nil"/>
              <w:left w:val="nil"/>
              <w:bottom w:val="single" w:sz="4" w:space="0" w:color="auto"/>
              <w:right w:val="single" w:sz="4" w:space="0" w:color="auto"/>
            </w:tcBorders>
            <w:shd w:val="clear" w:color="000000" w:fill="FFFFFF"/>
            <w:vAlign w:val="center"/>
            <w:hideMark/>
          </w:tcPr>
          <w:p w14:paraId="273D26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Drejtoria e Pergjithshme e Tatimeve</w:t>
            </w:r>
          </w:p>
        </w:tc>
        <w:tc>
          <w:tcPr>
            <w:tcW w:w="0" w:type="auto"/>
            <w:tcBorders>
              <w:top w:val="nil"/>
              <w:left w:val="nil"/>
              <w:bottom w:val="single" w:sz="4" w:space="0" w:color="auto"/>
              <w:right w:val="single" w:sz="4" w:space="0" w:color="auto"/>
            </w:tcBorders>
            <w:shd w:val="clear" w:color="000000" w:fill="FFFFFF"/>
            <w:noWrap/>
            <w:vAlign w:val="center"/>
            <w:hideMark/>
          </w:tcPr>
          <w:p w14:paraId="6FEA2D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05E31A4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472C56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noWrap/>
            <w:vAlign w:val="center"/>
            <w:hideMark/>
          </w:tcPr>
          <w:p w14:paraId="720C6E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65,820,000</w:t>
            </w:r>
          </w:p>
        </w:tc>
        <w:tc>
          <w:tcPr>
            <w:tcW w:w="0" w:type="auto"/>
            <w:tcBorders>
              <w:top w:val="nil"/>
              <w:left w:val="nil"/>
              <w:bottom w:val="single" w:sz="4" w:space="0" w:color="auto"/>
              <w:right w:val="single" w:sz="4" w:space="0" w:color="auto"/>
            </w:tcBorders>
            <w:shd w:val="clear" w:color="000000" w:fill="FFFFFF"/>
            <w:noWrap/>
            <w:vAlign w:val="center"/>
            <w:hideMark/>
          </w:tcPr>
          <w:p w14:paraId="61EE08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FFFFFF"/>
            <w:noWrap/>
            <w:vAlign w:val="center"/>
            <w:hideMark/>
          </w:tcPr>
          <w:p w14:paraId="03C452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115,820,000</w:t>
            </w:r>
          </w:p>
        </w:tc>
        <w:tc>
          <w:tcPr>
            <w:tcW w:w="0" w:type="auto"/>
            <w:tcBorders>
              <w:top w:val="nil"/>
              <w:left w:val="nil"/>
              <w:bottom w:val="single" w:sz="4" w:space="0" w:color="auto"/>
              <w:right w:val="single" w:sz="4" w:space="0" w:color="auto"/>
            </w:tcBorders>
            <w:shd w:val="clear" w:color="000000" w:fill="FFFFFF"/>
            <w:noWrap/>
            <w:vAlign w:val="center"/>
            <w:hideMark/>
          </w:tcPr>
          <w:p w14:paraId="1DA083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65,820,000</w:t>
            </w:r>
          </w:p>
        </w:tc>
        <w:tc>
          <w:tcPr>
            <w:tcW w:w="0" w:type="auto"/>
            <w:tcBorders>
              <w:top w:val="nil"/>
              <w:left w:val="nil"/>
              <w:bottom w:val="single" w:sz="4" w:space="0" w:color="auto"/>
              <w:right w:val="single" w:sz="4" w:space="0" w:color="auto"/>
            </w:tcBorders>
            <w:shd w:val="clear" w:color="000000" w:fill="FFFFFF"/>
            <w:noWrap/>
            <w:vAlign w:val="center"/>
            <w:hideMark/>
          </w:tcPr>
          <w:p w14:paraId="31CEA0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EF5A7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65,820,000</w:t>
            </w:r>
          </w:p>
        </w:tc>
        <w:tc>
          <w:tcPr>
            <w:tcW w:w="0" w:type="auto"/>
            <w:tcBorders>
              <w:top w:val="nil"/>
              <w:left w:val="nil"/>
              <w:bottom w:val="single" w:sz="4" w:space="0" w:color="auto"/>
              <w:right w:val="single" w:sz="4" w:space="0" w:color="auto"/>
            </w:tcBorders>
            <w:shd w:val="clear" w:color="000000" w:fill="FFFFFF"/>
            <w:noWrap/>
            <w:vAlign w:val="center"/>
            <w:hideMark/>
          </w:tcPr>
          <w:p w14:paraId="111EC6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65,820,000</w:t>
            </w:r>
          </w:p>
        </w:tc>
        <w:tc>
          <w:tcPr>
            <w:tcW w:w="0" w:type="auto"/>
            <w:tcBorders>
              <w:top w:val="nil"/>
              <w:left w:val="nil"/>
              <w:bottom w:val="single" w:sz="4" w:space="0" w:color="auto"/>
              <w:right w:val="single" w:sz="4" w:space="0" w:color="auto"/>
            </w:tcBorders>
            <w:shd w:val="clear" w:color="000000" w:fill="FFFFFF"/>
            <w:noWrap/>
            <w:vAlign w:val="center"/>
            <w:hideMark/>
          </w:tcPr>
          <w:p w14:paraId="64C249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C7DAC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65,820,000</w:t>
            </w:r>
          </w:p>
        </w:tc>
        <w:tc>
          <w:tcPr>
            <w:tcW w:w="0" w:type="auto"/>
            <w:tcBorders>
              <w:top w:val="nil"/>
              <w:left w:val="nil"/>
              <w:bottom w:val="single" w:sz="4" w:space="0" w:color="auto"/>
              <w:right w:val="single" w:sz="4" w:space="0" w:color="auto"/>
            </w:tcBorders>
            <w:shd w:val="clear" w:color="000000" w:fill="FFFFFF"/>
            <w:noWrap/>
            <w:vAlign w:val="center"/>
            <w:hideMark/>
          </w:tcPr>
          <w:p w14:paraId="4C550E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149F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42BC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58D6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A356C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E984D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F02F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197,460,000</w:t>
            </w:r>
          </w:p>
        </w:tc>
        <w:tc>
          <w:tcPr>
            <w:tcW w:w="0" w:type="auto"/>
            <w:tcBorders>
              <w:top w:val="nil"/>
              <w:left w:val="nil"/>
              <w:bottom w:val="single" w:sz="4" w:space="0" w:color="auto"/>
              <w:right w:val="single" w:sz="4" w:space="0" w:color="auto"/>
            </w:tcBorders>
            <w:shd w:val="clear" w:color="000000" w:fill="FFFFFF"/>
            <w:vAlign w:val="center"/>
            <w:hideMark/>
          </w:tcPr>
          <w:p w14:paraId="206DDD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FFFFFF"/>
            <w:vAlign w:val="center"/>
            <w:hideMark/>
          </w:tcPr>
          <w:p w14:paraId="31E849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247,460,000</w:t>
            </w:r>
          </w:p>
        </w:tc>
        <w:tc>
          <w:tcPr>
            <w:tcW w:w="0" w:type="auto"/>
            <w:tcBorders>
              <w:top w:val="nil"/>
              <w:left w:val="nil"/>
              <w:bottom w:val="single" w:sz="4" w:space="0" w:color="auto"/>
              <w:right w:val="single" w:sz="4" w:space="0" w:color="auto"/>
            </w:tcBorders>
            <w:shd w:val="clear" w:color="000000" w:fill="FFFFFF"/>
            <w:noWrap/>
            <w:vAlign w:val="center"/>
            <w:hideMark/>
          </w:tcPr>
          <w:p w14:paraId="37459F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197,460,000</w:t>
            </w:r>
          </w:p>
        </w:tc>
        <w:tc>
          <w:tcPr>
            <w:tcW w:w="0" w:type="auto"/>
            <w:tcBorders>
              <w:top w:val="nil"/>
              <w:left w:val="nil"/>
              <w:bottom w:val="single" w:sz="4" w:space="0" w:color="auto"/>
              <w:right w:val="single" w:sz="4" w:space="0" w:color="auto"/>
            </w:tcBorders>
            <w:shd w:val="clear" w:color="000000" w:fill="FFFFFF"/>
            <w:noWrap/>
            <w:vAlign w:val="center"/>
            <w:hideMark/>
          </w:tcPr>
          <w:p w14:paraId="04F680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FFFFFF"/>
            <w:noWrap/>
            <w:vAlign w:val="center"/>
            <w:hideMark/>
          </w:tcPr>
          <w:p w14:paraId="7FB8A4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247,460,000</w:t>
            </w:r>
          </w:p>
        </w:tc>
        <w:tc>
          <w:tcPr>
            <w:tcW w:w="0" w:type="auto"/>
            <w:tcBorders>
              <w:top w:val="nil"/>
              <w:left w:val="nil"/>
              <w:bottom w:val="single" w:sz="4" w:space="0" w:color="auto"/>
              <w:right w:val="single" w:sz="4" w:space="0" w:color="auto"/>
            </w:tcBorders>
            <w:shd w:val="clear" w:color="000000" w:fill="FFFFFF"/>
            <w:noWrap/>
            <w:vAlign w:val="center"/>
            <w:hideMark/>
          </w:tcPr>
          <w:p w14:paraId="6999DB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E910F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1EA3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873D3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877E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0BAEE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E4221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A0715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D853FF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1426F2D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53F3CFC" w14:textId="10CE23CB"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1.5</w:t>
            </w:r>
          </w:p>
        </w:tc>
        <w:tc>
          <w:tcPr>
            <w:tcW w:w="0" w:type="auto"/>
            <w:tcBorders>
              <w:top w:val="nil"/>
              <w:left w:val="nil"/>
              <w:bottom w:val="single" w:sz="4" w:space="0" w:color="auto"/>
              <w:right w:val="single" w:sz="4" w:space="0" w:color="auto"/>
            </w:tcBorders>
            <w:shd w:val="clear" w:color="000000" w:fill="5B9BD5"/>
            <w:vAlign w:val="center"/>
            <w:hideMark/>
          </w:tcPr>
          <w:p w14:paraId="5613545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E9710F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473275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0B899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4E7C6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AC3C8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164,285,660</w:t>
            </w:r>
          </w:p>
        </w:tc>
        <w:tc>
          <w:tcPr>
            <w:tcW w:w="0" w:type="auto"/>
            <w:tcBorders>
              <w:top w:val="nil"/>
              <w:left w:val="nil"/>
              <w:bottom w:val="single" w:sz="4" w:space="0" w:color="auto"/>
              <w:right w:val="single" w:sz="4" w:space="0" w:color="auto"/>
            </w:tcBorders>
            <w:shd w:val="clear" w:color="000000" w:fill="5B9BD5"/>
            <w:vAlign w:val="center"/>
            <w:hideMark/>
          </w:tcPr>
          <w:p w14:paraId="6400D78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5B9BD5"/>
            <w:vAlign w:val="center"/>
            <w:hideMark/>
          </w:tcPr>
          <w:p w14:paraId="0F58902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214,285,660</w:t>
            </w:r>
          </w:p>
        </w:tc>
        <w:tc>
          <w:tcPr>
            <w:tcW w:w="0" w:type="auto"/>
            <w:tcBorders>
              <w:top w:val="nil"/>
              <w:left w:val="nil"/>
              <w:bottom w:val="single" w:sz="4" w:space="0" w:color="auto"/>
              <w:right w:val="single" w:sz="4" w:space="0" w:color="auto"/>
            </w:tcBorders>
            <w:shd w:val="clear" w:color="000000" w:fill="5B9BD5"/>
            <w:vAlign w:val="center"/>
            <w:hideMark/>
          </w:tcPr>
          <w:p w14:paraId="539E567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164,285,660</w:t>
            </w:r>
          </w:p>
        </w:tc>
        <w:tc>
          <w:tcPr>
            <w:tcW w:w="0" w:type="auto"/>
            <w:tcBorders>
              <w:top w:val="nil"/>
              <w:left w:val="nil"/>
              <w:bottom w:val="single" w:sz="4" w:space="0" w:color="auto"/>
              <w:right w:val="single" w:sz="4" w:space="0" w:color="auto"/>
            </w:tcBorders>
            <w:shd w:val="clear" w:color="000000" w:fill="5B9BD5"/>
            <w:vAlign w:val="center"/>
            <w:hideMark/>
          </w:tcPr>
          <w:p w14:paraId="7C69206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80DCAB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164,285,660</w:t>
            </w:r>
          </w:p>
        </w:tc>
        <w:tc>
          <w:tcPr>
            <w:tcW w:w="0" w:type="auto"/>
            <w:tcBorders>
              <w:top w:val="nil"/>
              <w:left w:val="nil"/>
              <w:bottom w:val="single" w:sz="4" w:space="0" w:color="auto"/>
              <w:right w:val="single" w:sz="4" w:space="0" w:color="auto"/>
            </w:tcBorders>
            <w:shd w:val="clear" w:color="000000" w:fill="5B9BD5"/>
            <w:vAlign w:val="center"/>
            <w:hideMark/>
          </w:tcPr>
          <w:p w14:paraId="7426B58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164,285,660</w:t>
            </w:r>
          </w:p>
        </w:tc>
        <w:tc>
          <w:tcPr>
            <w:tcW w:w="0" w:type="auto"/>
            <w:tcBorders>
              <w:top w:val="nil"/>
              <w:left w:val="nil"/>
              <w:bottom w:val="single" w:sz="4" w:space="0" w:color="auto"/>
              <w:right w:val="single" w:sz="4" w:space="0" w:color="auto"/>
            </w:tcBorders>
            <w:shd w:val="clear" w:color="000000" w:fill="5B9BD5"/>
            <w:vAlign w:val="center"/>
            <w:hideMark/>
          </w:tcPr>
          <w:p w14:paraId="0C0E0CB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20A0C2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164,285,660</w:t>
            </w:r>
          </w:p>
        </w:tc>
        <w:tc>
          <w:tcPr>
            <w:tcW w:w="0" w:type="auto"/>
            <w:tcBorders>
              <w:top w:val="nil"/>
              <w:left w:val="nil"/>
              <w:bottom w:val="single" w:sz="4" w:space="0" w:color="auto"/>
              <w:right w:val="single" w:sz="4" w:space="0" w:color="auto"/>
            </w:tcBorders>
            <w:shd w:val="clear" w:color="000000" w:fill="5B9BD5"/>
            <w:vAlign w:val="center"/>
            <w:hideMark/>
          </w:tcPr>
          <w:p w14:paraId="268178A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5B9BD5"/>
            <w:vAlign w:val="center"/>
            <w:hideMark/>
          </w:tcPr>
          <w:p w14:paraId="4FFD9C5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F64A0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5B9BD5"/>
            <w:vAlign w:val="center"/>
            <w:hideMark/>
          </w:tcPr>
          <w:p w14:paraId="627BE22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5B9BD5"/>
            <w:vAlign w:val="center"/>
            <w:hideMark/>
          </w:tcPr>
          <w:p w14:paraId="45A0B26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0E94CB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240,000</w:t>
            </w:r>
          </w:p>
        </w:tc>
        <w:tc>
          <w:tcPr>
            <w:tcW w:w="0" w:type="auto"/>
            <w:tcBorders>
              <w:top w:val="nil"/>
              <w:left w:val="nil"/>
              <w:bottom w:val="single" w:sz="4" w:space="0" w:color="auto"/>
              <w:right w:val="single" w:sz="4" w:space="0" w:color="auto"/>
            </w:tcBorders>
            <w:shd w:val="clear" w:color="000000" w:fill="5B9BD5"/>
            <w:vAlign w:val="center"/>
            <w:hideMark/>
          </w:tcPr>
          <w:p w14:paraId="5131223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493,336,980</w:t>
            </w:r>
          </w:p>
        </w:tc>
        <w:tc>
          <w:tcPr>
            <w:tcW w:w="0" w:type="auto"/>
            <w:tcBorders>
              <w:top w:val="nil"/>
              <w:left w:val="nil"/>
              <w:bottom w:val="single" w:sz="4" w:space="0" w:color="auto"/>
              <w:right w:val="single" w:sz="4" w:space="0" w:color="auto"/>
            </w:tcBorders>
            <w:shd w:val="clear" w:color="000000" w:fill="5B9BD5"/>
            <w:vAlign w:val="center"/>
            <w:hideMark/>
          </w:tcPr>
          <w:p w14:paraId="64FB272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5B9BD5"/>
            <w:vAlign w:val="center"/>
            <w:hideMark/>
          </w:tcPr>
          <w:p w14:paraId="12199DF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543,336,980</w:t>
            </w:r>
          </w:p>
        </w:tc>
        <w:tc>
          <w:tcPr>
            <w:tcW w:w="0" w:type="auto"/>
            <w:tcBorders>
              <w:top w:val="nil"/>
              <w:left w:val="nil"/>
              <w:bottom w:val="single" w:sz="4" w:space="0" w:color="auto"/>
              <w:right w:val="single" w:sz="4" w:space="0" w:color="auto"/>
            </w:tcBorders>
            <w:shd w:val="clear" w:color="000000" w:fill="5B9BD5"/>
            <w:vAlign w:val="center"/>
            <w:hideMark/>
          </w:tcPr>
          <w:p w14:paraId="7BCEF4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492,856,980</w:t>
            </w:r>
          </w:p>
        </w:tc>
        <w:tc>
          <w:tcPr>
            <w:tcW w:w="0" w:type="auto"/>
            <w:tcBorders>
              <w:top w:val="nil"/>
              <w:left w:val="nil"/>
              <w:bottom w:val="single" w:sz="4" w:space="0" w:color="auto"/>
              <w:right w:val="single" w:sz="4" w:space="0" w:color="auto"/>
            </w:tcBorders>
            <w:shd w:val="clear" w:color="000000" w:fill="5B9BD5"/>
            <w:vAlign w:val="center"/>
            <w:hideMark/>
          </w:tcPr>
          <w:p w14:paraId="4D79AF6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5B9BD5"/>
            <w:vAlign w:val="center"/>
            <w:hideMark/>
          </w:tcPr>
          <w:p w14:paraId="504AA21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542,856,980</w:t>
            </w:r>
          </w:p>
        </w:tc>
        <w:tc>
          <w:tcPr>
            <w:tcW w:w="0" w:type="auto"/>
            <w:tcBorders>
              <w:top w:val="nil"/>
              <w:left w:val="nil"/>
              <w:bottom w:val="single" w:sz="4" w:space="0" w:color="auto"/>
              <w:right w:val="single" w:sz="4" w:space="0" w:color="auto"/>
            </w:tcBorders>
            <w:shd w:val="clear" w:color="000000" w:fill="5B9BD5"/>
            <w:vAlign w:val="center"/>
            <w:hideMark/>
          </w:tcPr>
          <w:p w14:paraId="5A3A060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5B9BD5"/>
            <w:vAlign w:val="center"/>
            <w:hideMark/>
          </w:tcPr>
          <w:p w14:paraId="7F053B8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6C9FB8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5B9BD5"/>
            <w:vAlign w:val="center"/>
            <w:hideMark/>
          </w:tcPr>
          <w:p w14:paraId="0DC3D83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D4B86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57BB2D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58870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E5066D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186BEB1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noWrap/>
            <w:vAlign w:val="center"/>
            <w:hideMark/>
          </w:tcPr>
          <w:p w14:paraId="6D24F0C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w:t>
            </w:r>
          </w:p>
        </w:tc>
        <w:tc>
          <w:tcPr>
            <w:tcW w:w="0" w:type="auto"/>
            <w:tcBorders>
              <w:top w:val="nil"/>
              <w:left w:val="nil"/>
              <w:bottom w:val="single" w:sz="4" w:space="0" w:color="auto"/>
              <w:right w:val="single" w:sz="4" w:space="0" w:color="auto"/>
            </w:tcBorders>
            <w:shd w:val="clear" w:color="000000" w:fill="FCE4D6"/>
            <w:vAlign w:val="center"/>
            <w:hideMark/>
          </w:tcPr>
          <w:p w14:paraId="3D355D3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Zbatimi i efektshëm i qasjes administrative për të parandaluar infiltrimin e krimit të organizuar në ekonomi dhe në administratën publike</w:t>
            </w:r>
          </w:p>
        </w:tc>
        <w:tc>
          <w:tcPr>
            <w:tcW w:w="0" w:type="auto"/>
            <w:tcBorders>
              <w:top w:val="nil"/>
              <w:left w:val="nil"/>
              <w:bottom w:val="single" w:sz="4" w:space="0" w:color="auto"/>
              <w:right w:val="single" w:sz="4" w:space="0" w:color="auto"/>
            </w:tcBorders>
            <w:shd w:val="clear" w:color="000000" w:fill="FFFFFF"/>
            <w:vAlign w:val="center"/>
            <w:hideMark/>
          </w:tcPr>
          <w:p w14:paraId="434571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A13AA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F86CA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119E19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8EFD45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3B1E4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AA436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8CFF5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CFED9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7F3AE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A87CB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6A2FC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5CFB3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C2418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FC112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CF743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4E39E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B4804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4F31F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E1595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D1D51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8C18C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3C30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1DE4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9D538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3E68E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EEDF2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96D5F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F7A6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B957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7694A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D5C0F3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FC01D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83E48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63E105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E36618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1.6.1</w:t>
            </w:r>
          </w:p>
        </w:tc>
        <w:tc>
          <w:tcPr>
            <w:tcW w:w="0" w:type="auto"/>
            <w:tcBorders>
              <w:top w:val="nil"/>
              <w:left w:val="nil"/>
              <w:bottom w:val="single" w:sz="4" w:space="0" w:color="auto"/>
              <w:right w:val="single" w:sz="4" w:space="0" w:color="auto"/>
            </w:tcBorders>
            <w:shd w:val="clear" w:color="auto" w:fill="auto"/>
            <w:vAlign w:val="center"/>
            <w:hideMark/>
          </w:tcPr>
          <w:p w14:paraId="6747E6E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Hartimi i Udhëzuesit Kombëtar për Qasjen Administrative ndaj Krimit të Organizuar.</w:t>
            </w:r>
          </w:p>
        </w:tc>
        <w:tc>
          <w:tcPr>
            <w:tcW w:w="0" w:type="auto"/>
            <w:tcBorders>
              <w:top w:val="nil"/>
              <w:left w:val="nil"/>
              <w:bottom w:val="single" w:sz="4" w:space="0" w:color="000000"/>
              <w:right w:val="single" w:sz="4" w:space="0" w:color="000000"/>
            </w:tcBorders>
            <w:shd w:val="clear" w:color="000000" w:fill="FFFFFF"/>
            <w:vAlign w:val="center"/>
            <w:hideMark/>
          </w:tcPr>
          <w:p w14:paraId="4C715573" w14:textId="77777777" w:rsidR="00DB1B67" w:rsidRPr="002128A6" w:rsidRDefault="00DB1B67" w:rsidP="00DB1B67">
            <w:pPr>
              <w:spacing w:after="0" w:line="240" w:lineRule="auto"/>
              <w:jc w:val="center"/>
              <w:rPr>
                <w:rFonts w:ascii="Garamond" w:eastAsia="Times New Roman" w:hAnsi="Garamond" w:cs="Arial"/>
                <w:kern w:val="0"/>
                <w:sz w:val="4"/>
                <w:szCs w:val="8"/>
                <w14:ligatures w14:val="none"/>
              </w:rPr>
            </w:pPr>
            <w:r w:rsidRPr="002128A6">
              <w:rPr>
                <w:rFonts w:ascii="Garamond" w:eastAsia="Times New Roman" w:hAnsi="Garamond" w:cs="Arial"/>
                <w:kern w:val="0"/>
                <w:sz w:val="4"/>
                <w:szCs w:val="8"/>
                <w14:ligatures w14:val="none"/>
              </w:rPr>
              <w:t>91601AA</w:t>
            </w:r>
          </w:p>
        </w:tc>
        <w:tc>
          <w:tcPr>
            <w:tcW w:w="0" w:type="auto"/>
            <w:tcBorders>
              <w:top w:val="nil"/>
              <w:left w:val="nil"/>
              <w:bottom w:val="single" w:sz="4" w:space="0" w:color="auto"/>
              <w:right w:val="single" w:sz="4" w:space="0" w:color="auto"/>
            </w:tcBorders>
            <w:shd w:val="clear" w:color="auto" w:fill="auto"/>
            <w:vAlign w:val="center"/>
            <w:hideMark/>
          </w:tcPr>
          <w:p w14:paraId="32E805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auto" w:fill="auto"/>
            <w:vAlign w:val="center"/>
            <w:hideMark/>
          </w:tcPr>
          <w:p w14:paraId="0A2603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Qendra për Studimin e Demokracisë dhe Qeverisjes; Agjencia e Inteligjencës Financiare; Drejtoria e Përgjithshme e </w:t>
            </w:r>
            <w:r w:rsidRPr="002128A6">
              <w:rPr>
                <w:rFonts w:ascii="Garamond" w:eastAsia="Times New Roman" w:hAnsi="Garamond" w:cs="Times New Roman"/>
                <w:kern w:val="0"/>
                <w:sz w:val="4"/>
                <w:szCs w:val="8"/>
                <w14:ligatures w14:val="none"/>
              </w:rPr>
              <w:lastRenderedPageBreak/>
              <w:t>Doganave; Kontrolli i Lartë i Shtetit; Bashkitë</w:t>
            </w:r>
          </w:p>
        </w:tc>
        <w:tc>
          <w:tcPr>
            <w:tcW w:w="0" w:type="auto"/>
            <w:tcBorders>
              <w:top w:val="nil"/>
              <w:left w:val="nil"/>
              <w:bottom w:val="single" w:sz="4" w:space="0" w:color="auto"/>
              <w:right w:val="single" w:sz="4" w:space="0" w:color="auto"/>
            </w:tcBorders>
            <w:shd w:val="clear" w:color="000000" w:fill="FFFFFF"/>
            <w:noWrap/>
            <w:vAlign w:val="center"/>
            <w:hideMark/>
          </w:tcPr>
          <w:p w14:paraId="6F5FBB4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lastRenderedPageBreak/>
              <w:t>2026</w:t>
            </w:r>
          </w:p>
        </w:tc>
        <w:tc>
          <w:tcPr>
            <w:tcW w:w="0" w:type="auto"/>
            <w:tcBorders>
              <w:top w:val="nil"/>
              <w:left w:val="nil"/>
              <w:bottom w:val="single" w:sz="4" w:space="0" w:color="auto"/>
              <w:right w:val="single" w:sz="4" w:space="0" w:color="auto"/>
            </w:tcBorders>
            <w:shd w:val="clear" w:color="000000" w:fill="FFFFFF"/>
            <w:noWrap/>
            <w:vAlign w:val="center"/>
            <w:hideMark/>
          </w:tcPr>
          <w:p w14:paraId="46A084D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1714CA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B8CC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791,300</w:t>
            </w:r>
          </w:p>
        </w:tc>
        <w:tc>
          <w:tcPr>
            <w:tcW w:w="0" w:type="auto"/>
            <w:tcBorders>
              <w:top w:val="nil"/>
              <w:left w:val="nil"/>
              <w:bottom w:val="single" w:sz="4" w:space="0" w:color="auto"/>
              <w:right w:val="single" w:sz="4" w:space="0" w:color="auto"/>
            </w:tcBorders>
            <w:shd w:val="clear" w:color="000000" w:fill="FFFFFF"/>
            <w:noWrap/>
            <w:vAlign w:val="center"/>
            <w:hideMark/>
          </w:tcPr>
          <w:p w14:paraId="3389F0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791,300</w:t>
            </w:r>
          </w:p>
        </w:tc>
        <w:tc>
          <w:tcPr>
            <w:tcW w:w="0" w:type="auto"/>
            <w:tcBorders>
              <w:top w:val="nil"/>
              <w:left w:val="nil"/>
              <w:bottom w:val="single" w:sz="4" w:space="0" w:color="auto"/>
              <w:right w:val="single" w:sz="4" w:space="0" w:color="auto"/>
            </w:tcBorders>
            <w:shd w:val="clear" w:color="000000" w:fill="FFFFFF"/>
            <w:noWrap/>
            <w:vAlign w:val="center"/>
            <w:hideMark/>
          </w:tcPr>
          <w:p w14:paraId="4DCA89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E0B98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DE63B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8FC3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A44D0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032C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D725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1CB26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A3BD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9B99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15E3B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1679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49A7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89C36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791,300</w:t>
            </w:r>
          </w:p>
        </w:tc>
        <w:tc>
          <w:tcPr>
            <w:tcW w:w="0" w:type="auto"/>
            <w:tcBorders>
              <w:top w:val="nil"/>
              <w:left w:val="nil"/>
              <w:bottom w:val="single" w:sz="4" w:space="0" w:color="auto"/>
              <w:right w:val="single" w:sz="4" w:space="0" w:color="auto"/>
            </w:tcBorders>
            <w:shd w:val="clear" w:color="000000" w:fill="FFFFFF"/>
            <w:vAlign w:val="center"/>
            <w:hideMark/>
          </w:tcPr>
          <w:p w14:paraId="6BEC9D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791,300</w:t>
            </w:r>
          </w:p>
        </w:tc>
        <w:tc>
          <w:tcPr>
            <w:tcW w:w="0" w:type="auto"/>
            <w:tcBorders>
              <w:top w:val="nil"/>
              <w:left w:val="nil"/>
              <w:bottom w:val="single" w:sz="4" w:space="0" w:color="auto"/>
              <w:right w:val="single" w:sz="4" w:space="0" w:color="auto"/>
            </w:tcBorders>
            <w:shd w:val="clear" w:color="000000" w:fill="FFFFFF"/>
            <w:noWrap/>
            <w:vAlign w:val="center"/>
            <w:hideMark/>
          </w:tcPr>
          <w:p w14:paraId="6F5650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57CB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2A85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64B70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73009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8DDD8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1D5B9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F420E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791,300</w:t>
            </w:r>
          </w:p>
        </w:tc>
        <w:tc>
          <w:tcPr>
            <w:tcW w:w="0" w:type="auto"/>
            <w:tcBorders>
              <w:top w:val="nil"/>
              <w:left w:val="nil"/>
              <w:bottom w:val="single" w:sz="4" w:space="0" w:color="auto"/>
              <w:right w:val="single" w:sz="4" w:space="0" w:color="auto"/>
            </w:tcBorders>
            <w:shd w:val="clear" w:color="000000" w:fill="FFFFFF"/>
            <w:vAlign w:val="center"/>
            <w:hideMark/>
          </w:tcPr>
          <w:p w14:paraId="142E469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Projekti "Promovimi i përdorimit sistematik të qasjes administrative për </w:t>
            </w:r>
            <w:r w:rsidRPr="002128A6">
              <w:rPr>
                <w:rFonts w:ascii="Garamond" w:eastAsia="Times New Roman" w:hAnsi="Garamond" w:cs="Times New Roman"/>
                <w:kern w:val="0"/>
                <w:sz w:val="4"/>
                <w:szCs w:val="8"/>
                <w14:ligatures w14:val="none"/>
              </w:rPr>
              <w:lastRenderedPageBreak/>
              <w:t>të luftuar krimin e organizuar në Shqipëri" financuar nga Fondi Bullgar për Zhvillim dhe implementuar nga Qendra për Studimin e Demokracisë dhe Qeverisjes</w:t>
            </w:r>
          </w:p>
        </w:tc>
        <w:tc>
          <w:tcPr>
            <w:tcW w:w="0" w:type="auto"/>
            <w:tcBorders>
              <w:top w:val="nil"/>
              <w:left w:val="nil"/>
              <w:bottom w:val="single" w:sz="4" w:space="0" w:color="auto"/>
              <w:right w:val="single" w:sz="4" w:space="0" w:color="auto"/>
            </w:tcBorders>
            <w:shd w:val="clear" w:color="000000" w:fill="FFFFFF"/>
            <w:noWrap/>
            <w:vAlign w:val="center"/>
            <w:hideMark/>
          </w:tcPr>
          <w:p w14:paraId="4E565D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lastRenderedPageBreak/>
              <w:t>791,300</w:t>
            </w:r>
          </w:p>
        </w:tc>
        <w:tc>
          <w:tcPr>
            <w:tcW w:w="0" w:type="auto"/>
            <w:tcBorders>
              <w:top w:val="nil"/>
              <w:left w:val="nil"/>
              <w:bottom w:val="single" w:sz="4" w:space="0" w:color="auto"/>
              <w:right w:val="single" w:sz="8" w:space="0" w:color="auto"/>
            </w:tcBorders>
            <w:shd w:val="clear" w:color="000000" w:fill="FFFFFF"/>
            <w:vAlign w:val="center"/>
            <w:hideMark/>
          </w:tcPr>
          <w:p w14:paraId="623E97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72CB58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FA8959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1.6.2</w:t>
            </w:r>
          </w:p>
        </w:tc>
        <w:tc>
          <w:tcPr>
            <w:tcW w:w="0" w:type="auto"/>
            <w:tcBorders>
              <w:top w:val="nil"/>
              <w:left w:val="nil"/>
              <w:bottom w:val="single" w:sz="4" w:space="0" w:color="auto"/>
              <w:right w:val="single" w:sz="4" w:space="0" w:color="auto"/>
            </w:tcBorders>
            <w:shd w:val="clear" w:color="auto" w:fill="auto"/>
            <w:vAlign w:val="center"/>
            <w:hideMark/>
          </w:tcPr>
          <w:p w14:paraId="317F331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Ngritja e një rrjeti ndërinstitucional për zbatimin e qasjes administrative, që përfshin të gjitha agjencitë me kompetenca inspektimi dhe licencimi, për shkëmbimin e të dhënave dhe sinjalizimin e rrezikut.</w:t>
            </w:r>
          </w:p>
        </w:tc>
        <w:tc>
          <w:tcPr>
            <w:tcW w:w="0" w:type="auto"/>
            <w:tcBorders>
              <w:top w:val="nil"/>
              <w:left w:val="nil"/>
              <w:bottom w:val="single" w:sz="4" w:space="0" w:color="000000"/>
              <w:right w:val="single" w:sz="4" w:space="0" w:color="000000"/>
            </w:tcBorders>
            <w:shd w:val="clear" w:color="000000" w:fill="FFFFFF"/>
            <w:vAlign w:val="center"/>
            <w:hideMark/>
          </w:tcPr>
          <w:p w14:paraId="77D801F2" w14:textId="77777777" w:rsidR="00DB1B67" w:rsidRPr="002128A6" w:rsidRDefault="00DB1B67" w:rsidP="00DB1B67">
            <w:pPr>
              <w:spacing w:after="0" w:line="240" w:lineRule="auto"/>
              <w:jc w:val="center"/>
              <w:rPr>
                <w:rFonts w:ascii="Garamond" w:eastAsia="Times New Roman" w:hAnsi="Garamond" w:cs="Arial"/>
                <w:kern w:val="0"/>
                <w:sz w:val="4"/>
                <w:szCs w:val="8"/>
                <w14:ligatures w14:val="none"/>
              </w:rPr>
            </w:pPr>
            <w:r w:rsidRPr="002128A6">
              <w:rPr>
                <w:rFonts w:ascii="Garamond" w:eastAsia="Times New Roman" w:hAnsi="Garamond" w:cs="Arial"/>
                <w:kern w:val="0"/>
                <w:sz w:val="4"/>
                <w:szCs w:val="8"/>
                <w14:ligatures w14:val="none"/>
              </w:rPr>
              <w:t>91601AA</w:t>
            </w:r>
          </w:p>
        </w:tc>
        <w:tc>
          <w:tcPr>
            <w:tcW w:w="0" w:type="auto"/>
            <w:tcBorders>
              <w:top w:val="nil"/>
              <w:left w:val="nil"/>
              <w:bottom w:val="single" w:sz="4" w:space="0" w:color="auto"/>
              <w:right w:val="single" w:sz="4" w:space="0" w:color="auto"/>
            </w:tcBorders>
            <w:shd w:val="clear" w:color="auto" w:fill="auto"/>
            <w:vAlign w:val="center"/>
            <w:hideMark/>
          </w:tcPr>
          <w:p w14:paraId="34CFA6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Punëve të Brendshme </w:t>
            </w:r>
          </w:p>
        </w:tc>
        <w:tc>
          <w:tcPr>
            <w:tcW w:w="0" w:type="auto"/>
            <w:tcBorders>
              <w:top w:val="nil"/>
              <w:left w:val="nil"/>
              <w:bottom w:val="single" w:sz="4" w:space="0" w:color="auto"/>
              <w:right w:val="single" w:sz="4" w:space="0" w:color="auto"/>
            </w:tcBorders>
            <w:shd w:val="clear" w:color="auto" w:fill="auto"/>
            <w:vAlign w:val="center"/>
            <w:hideMark/>
          </w:tcPr>
          <w:p w14:paraId="1D25650F" w14:textId="28884256"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Qendra për Studimin e Demokracisë dhe Qeverisjes; Drejtoria e Përgjithshme e Tatimeve;</w:t>
            </w:r>
            <w:r w:rsidR="00822D6F">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Agjencia e Inteligjencës Financiare; Drejtoria e Përgjithshme e Doganave; Kontrolli i Lartë i Shtetit; Agjencia Kombëtare e Shoqërisë së Informacionit; ASIG; Bashkitë</w:t>
            </w:r>
          </w:p>
        </w:tc>
        <w:tc>
          <w:tcPr>
            <w:tcW w:w="0" w:type="auto"/>
            <w:tcBorders>
              <w:top w:val="nil"/>
              <w:left w:val="nil"/>
              <w:bottom w:val="single" w:sz="4" w:space="0" w:color="auto"/>
              <w:right w:val="single" w:sz="4" w:space="0" w:color="auto"/>
            </w:tcBorders>
            <w:shd w:val="clear" w:color="000000" w:fill="FFFFFF"/>
            <w:noWrap/>
            <w:vAlign w:val="center"/>
            <w:hideMark/>
          </w:tcPr>
          <w:p w14:paraId="3EA2A9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015AA2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0D1AE8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4F57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181,420</w:t>
            </w:r>
          </w:p>
        </w:tc>
        <w:tc>
          <w:tcPr>
            <w:tcW w:w="0" w:type="auto"/>
            <w:tcBorders>
              <w:top w:val="nil"/>
              <w:left w:val="nil"/>
              <w:bottom w:val="single" w:sz="4" w:space="0" w:color="auto"/>
              <w:right w:val="single" w:sz="4" w:space="0" w:color="auto"/>
            </w:tcBorders>
            <w:shd w:val="clear" w:color="000000" w:fill="FFFFFF"/>
            <w:noWrap/>
            <w:vAlign w:val="center"/>
            <w:hideMark/>
          </w:tcPr>
          <w:p w14:paraId="6AD2FF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181,420</w:t>
            </w:r>
          </w:p>
        </w:tc>
        <w:tc>
          <w:tcPr>
            <w:tcW w:w="0" w:type="auto"/>
            <w:tcBorders>
              <w:top w:val="nil"/>
              <w:left w:val="nil"/>
              <w:bottom w:val="single" w:sz="4" w:space="0" w:color="auto"/>
              <w:right w:val="single" w:sz="4" w:space="0" w:color="auto"/>
            </w:tcBorders>
            <w:shd w:val="clear" w:color="000000" w:fill="FFFFFF"/>
            <w:noWrap/>
            <w:vAlign w:val="center"/>
            <w:hideMark/>
          </w:tcPr>
          <w:p w14:paraId="3BADA5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FA4F4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5301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7EB9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A0E3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0410B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A6DF3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1B2C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88C19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1A8AA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E9A7C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79BB9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C19B9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DFB2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181,420</w:t>
            </w:r>
          </w:p>
        </w:tc>
        <w:tc>
          <w:tcPr>
            <w:tcW w:w="0" w:type="auto"/>
            <w:tcBorders>
              <w:top w:val="nil"/>
              <w:left w:val="nil"/>
              <w:bottom w:val="single" w:sz="4" w:space="0" w:color="auto"/>
              <w:right w:val="single" w:sz="4" w:space="0" w:color="auto"/>
            </w:tcBorders>
            <w:shd w:val="clear" w:color="000000" w:fill="FFFFFF"/>
            <w:vAlign w:val="center"/>
            <w:hideMark/>
          </w:tcPr>
          <w:p w14:paraId="5DCDDD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181,420</w:t>
            </w:r>
          </w:p>
        </w:tc>
        <w:tc>
          <w:tcPr>
            <w:tcW w:w="0" w:type="auto"/>
            <w:tcBorders>
              <w:top w:val="nil"/>
              <w:left w:val="nil"/>
              <w:bottom w:val="single" w:sz="4" w:space="0" w:color="auto"/>
              <w:right w:val="single" w:sz="4" w:space="0" w:color="auto"/>
            </w:tcBorders>
            <w:shd w:val="clear" w:color="000000" w:fill="FFFFFF"/>
            <w:noWrap/>
            <w:vAlign w:val="center"/>
            <w:hideMark/>
          </w:tcPr>
          <w:p w14:paraId="3DC90D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1F2B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DA4B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9B09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2BA3B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851D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6BF39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10322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181,420</w:t>
            </w:r>
          </w:p>
        </w:tc>
        <w:tc>
          <w:tcPr>
            <w:tcW w:w="0" w:type="auto"/>
            <w:tcBorders>
              <w:top w:val="nil"/>
              <w:left w:val="nil"/>
              <w:bottom w:val="single" w:sz="4" w:space="0" w:color="auto"/>
              <w:right w:val="single" w:sz="4" w:space="0" w:color="auto"/>
            </w:tcBorders>
            <w:shd w:val="clear" w:color="000000" w:fill="FFFFFF"/>
            <w:vAlign w:val="center"/>
            <w:hideMark/>
          </w:tcPr>
          <w:p w14:paraId="005F315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Projekti "Promovimi i përdorimit sistematik të qasjes administrative për të luftuar krimin e organizuar në Shqipëri" financuar nga Fondi Bullgar për Zhvillim dhe implementuar nga Qendra për Studimin e Demokracisë dhe Qeverisjes</w:t>
            </w:r>
          </w:p>
        </w:tc>
        <w:tc>
          <w:tcPr>
            <w:tcW w:w="0" w:type="auto"/>
            <w:tcBorders>
              <w:top w:val="nil"/>
              <w:left w:val="nil"/>
              <w:bottom w:val="single" w:sz="4" w:space="0" w:color="auto"/>
              <w:right w:val="single" w:sz="4" w:space="0" w:color="auto"/>
            </w:tcBorders>
            <w:shd w:val="clear" w:color="000000" w:fill="FFFFFF"/>
            <w:noWrap/>
            <w:vAlign w:val="center"/>
            <w:hideMark/>
          </w:tcPr>
          <w:p w14:paraId="5EF5AC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181,420</w:t>
            </w:r>
          </w:p>
        </w:tc>
        <w:tc>
          <w:tcPr>
            <w:tcW w:w="0" w:type="auto"/>
            <w:tcBorders>
              <w:top w:val="nil"/>
              <w:left w:val="nil"/>
              <w:bottom w:val="single" w:sz="4" w:space="0" w:color="auto"/>
              <w:right w:val="single" w:sz="8" w:space="0" w:color="auto"/>
            </w:tcBorders>
            <w:shd w:val="clear" w:color="000000" w:fill="FFFFFF"/>
            <w:vAlign w:val="center"/>
            <w:hideMark/>
          </w:tcPr>
          <w:p w14:paraId="11D944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3108637"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D8F853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1.6.3</w:t>
            </w:r>
          </w:p>
        </w:tc>
        <w:tc>
          <w:tcPr>
            <w:tcW w:w="0" w:type="auto"/>
            <w:tcBorders>
              <w:top w:val="nil"/>
              <w:left w:val="nil"/>
              <w:bottom w:val="single" w:sz="4" w:space="0" w:color="auto"/>
              <w:right w:val="single" w:sz="4" w:space="0" w:color="auto"/>
            </w:tcBorders>
            <w:shd w:val="clear" w:color="auto" w:fill="auto"/>
            <w:vAlign w:val="center"/>
            <w:hideMark/>
          </w:tcPr>
          <w:p w14:paraId="45F7103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Ngritja e mekanizmave të verifikimit të integritetit për operatorët ekonomikë që marrin pjesë në tenderë publikë, licenca, ose subvencione shtetërore, përmes filtrave të bazuar në të dhëna administrative.</w:t>
            </w:r>
          </w:p>
        </w:tc>
        <w:tc>
          <w:tcPr>
            <w:tcW w:w="0" w:type="auto"/>
            <w:tcBorders>
              <w:top w:val="nil"/>
              <w:left w:val="nil"/>
              <w:bottom w:val="single" w:sz="4" w:space="0" w:color="000000"/>
              <w:right w:val="single" w:sz="4" w:space="0" w:color="000000"/>
            </w:tcBorders>
            <w:shd w:val="clear" w:color="000000" w:fill="FFFFFF"/>
            <w:vAlign w:val="center"/>
            <w:hideMark/>
          </w:tcPr>
          <w:p w14:paraId="3235B10C" w14:textId="77777777" w:rsidR="00DB1B67" w:rsidRPr="002128A6" w:rsidRDefault="00DB1B67" w:rsidP="00DB1B67">
            <w:pPr>
              <w:spacing w:after="0" w:line="240" w:lineRule="auto"/>
              <w:jc w:val="center"/>
              <w:rPr>
                <w:rFonts w:ascii="Garamond" w:eastAsia="Times New Roman" w:hAnsi="Garamond" w:cs="Arial"/>
                <w:kern w:val="0"/>
                <w:sz w:val="4"/>
                <w:szCs w:val="8"/>
                <w14:ligatures w14:val="none"/>
              </w:rPr>
            </w:pPr>
            <w:r w:rsidRPr="002128A6">
              <w:rPr>
                <w:rFonts w:ascii="Garamond" w:eastAsia="Times New Roman" w:hAnsi="Garamond" w:cs="Arial"/>
                <w:kern w:val="0"/>
                <w:sz w:val="4"/>
                <w:szCs w:val="8"/>
                <w14:ligatures w14:val="none"/>
              </w:rPr>
              <w:t>91601AA</w:t>
            </w:r>
          </w:p>
        </w:tc>
        <w:tc>
          <w:tcPr>
            <w:tcW w:w="0" w:type="auto"/>
            <w:tcBorders>
              <w:top w:val="nil"/>
              <w:left w:val="nil"/>
              <w:bottom w:val="single" w:sz="4" w:space="0" w:color="auto"/>
              <w:right w:val="single" w:sz="4" w:space="0" w:color="auto"/>
            </w:tcBorders>
            <w:shd w:val="clear" w:color="auto" w:fill="auto"/>
            <w:vAlign w:val="center"/>
            <w:hideMark/>
          </w:tcPr>
          <w:p w14:paraId="50D5F3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auto" w:fill="auto"/>
            <w:vAlign w:val="center"/>
            <w:hideMark/>
          </w:tcPr>
          <w:p w14:paraId="3AEB3CAF" w14:textId="0E65B2AA"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Qendra për Studimin e Demokracisë dhe Qeverisjes; Drejtoria e Përgjithshme e Tatimeve;</w:t>
            </w:r>
            <w:r w:rsidR="00822D6F">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Agjencia e Inteligjencës Financiare; Drejtoria e Përgjithshme e Doganave; Kontrolli i Lartë i Shtetit; Agjencia Kombëtare e Shoqërisë së Informacionit; ASIG; Bashkitë</w:t>
            </w:r>
          </w:p>
        </w:tc>
        <w:tc>
          <w:tcPr>
            <w:tcW w:w="0" w:type="auto"/>
            <w:tcBorders>
              <w:top w:val="nil"/>
              <w:left w:val="nil"/>
              <w:bottom w:val="single" w:sz="4" w:space="0" w:color="auto"/>
              <w:right w:val="single" w:sz="4" w:space="0" w:color="auto"/>
            </w:tcBorders>
            <w:shd w:val="clear" w:color="000000" w:fill="FFFFFF"/>
            <w:noWrap/>
            <w:vAlign w:val="center"/>
            <w:hideMark/>
          </w:tcPr>
          <w:p w14:paraId="6D83CE7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749514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163CBD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34A9A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540,400</w:t>
            </w:r>
          </w:p>
        </w:tc>
        <w:tc>
          <w:tcPr>
            <w:tcW w:w="0" w:type="auto"/>
            <w:tcBorders>
              <w:top w:val="nil"/>
              <w:left w:val="nil"/>
              <w:bottom w:val="single" w:sz="4" w:space="0" w:color="auto"/>
              <w:right w:val="single" w:sz="4" w:space="0" w:color="auto"/>
            </w:tcBorders>
            <w:shd w:val="clear" w:color="000000" w:fill="FFFFFF"/>
            <w:noWrap/>
            <w:vAlign w:val="center"/>
            <w:hideMark/>
          </w:tcPr>
          <w:p w14:paraId="502618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540,400</w:t>
            </w:r>
          </w:p>
        </w:tc>
        <w:tc>
          <w:tcPr>
            <w:tcW w:w="0" w:type="auto"/>
            <w:tcBorders>
              <w:top w:val="nil"/>
              <w:left w:val="nil"/>
              <w:bottom w:val="single" w:sz="4" w:space="0" w:color="auto"/>
              <w:right w:val="single" w:sz="4" w:space="0" w:color="auto"/>
            </w:tcBorders>
            <w:shd w:val="clear" w:color="000000" w:fill="FFFFFF"/>
            <w:noWrap/>
            <w:vAlign w:val="center"/>
            <w:hideMark/>
          </w:tcPr>
          <w:p w14:paraId="608EFB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46A6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7D65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AB91A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A4198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17C64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C2BCB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72C99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513E1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6B42C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1E56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BEA0D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D1D51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BEB1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540,400</w:t>
            </w:r>
          </w:p>
        </w:tc>
        <w:tc>
          <w:tcPr>
            <w:tcW w:w="0" w:type="auto"/>
            <w:tcBorders>
              <w:top w:val="nil"/>
              <w:left w:val="nil"/>
              <w:bottom w:val="single" w:sz="4" w:space="0" w:color="auto"/>
              <w:right w:val="single" w:sz="4" w:space="0" w:color="auto"/>
            </w:tcBorders>
            <w:shd w:val="clear" w:color="000000" w:fill="FFFFFF"/>
            <w:vAlign w:val="center"/>
            <w:hideMark/>
          </w:tcPr>
          <w:p w14:paraId="56A51E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540,400</w:t>
            </w:r>
          </w:p>
        </w:tc>
        <w:tc>
          <w:tcPr>
            <w:tcW w:w="0" w:type="auto"/>
            <w:tcBorders>
              <w:top w:val="nil"/>
              <w:left w:val="nil"/>
              <w:bottom w:val="single" w:sz="4" w:space="0" w:color="auto"/>
              <w:right w:val="single" w:sz="4" w:space="0" w:color="auto"/>
            </w:tcBorders>
            <w:shd w:val="clear" w:color="000000" w:fill="FFFFFF"/>
            <w:noWrap/>
            <w:vAlign w:val="center"/>
            <w:hideMark/>
          </w:tcPr>
          <w:p w14:paraId="1798CF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5DBD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46C9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9E82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0DCD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8A6F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2D6CC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7650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540,400</w:t>
            </w:r>
          </w:p>
        </w:tc>
        <w:tc>
          <w:tcPr>
            <w:tcW w:w="0" w:type="auto"/>
            <w:tcBorders>
              <w:top w:val="nil"/>
              <w:left w:val="nil"/>
              <w:bottom w:val="single" w:sz="4" w:space="0" w:color="auto"/>
              <w:right w:val="single" w:sz="4" w:space="0" w:color="auto"/>
            </w:tcBorders>
            <w:shd w:val="clear" w:color="000000" w:fill="FFFFFF"/>
            <w:vAlign w:val="center"/>
            <w:hideMark/>
          </w:tcPr>
          <w:p w14:paraId="4700E7A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Projekti "Promovimi i përdorimit sistematik të qasjes administrative për të luftuar krimin e organizuar në Shqipëri" financuar nga Fondi Bullgar për Zhvillim dhe implementuar nga Qendra për Studimin e Demokracisë dhe Qeverisjes</w:t>
            </w:r>
          </w:p>
        </w:tc>
        <w:tc>
          <w:tcPr>
            <w:tcW w:w="0" w:type="auto"/>
            <w:tcBorders>
              <w:top w:val="nil"/>
              <w:left w:val="nil"/>
              <w:bottom w:val="single" w:sz="4" w:space="0" w:color="auto"/>
              <w:right w:val="single" w:sz="4" w:space="0" w:color="auto"/>
            </w:tcBorders>
            <w:shd w:val="clear" w:color="000000" w:fill="FFFFFF"/>
            <w:noWrap/>
            <w:vAlign w:val="center"/>
            <w:hideMark/>
          </w:tcPr>
          <w:p w14:paraId="08C44C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540,400</w:t>
            </w:r>
          </w:p>
        </w:tc>
        <w:tc>
          <w:tcPr>
            <w:tcW w:w="0" w:type="auto"/>
            <w:tcBorders>
              <w:top w:val="nil"/>
              <w:left w:val="nil"/>
              <w:bottom w:val="single" w:sz="4" w:space="0" w:color="auto"/>
              <w:right w:val="single" w:sz="8" w:space="0" w:color="auto"/>
            </w:tcBorders>
            <w:shd w:val="clear" w:color="000000" w:fill="FFFFFF"/>
            <w:vAlign w:val="center"/>
            <w:hideMark/>
          </w:tcPr>
          <w:p w14:paraId="6DAA8D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3BADCE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518FE2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1.6.4</w:t>
            </w:r>
          </w:p>
        </w:tc>
        <w:tc>
          <w:tcPr>
            <w:tcW w:w="0" w:type="auto"/>
            <w:tcBorders>
              <w:top w:val="nil"/>
              <w:left w:val="nil"/>
              <w:bottom w:val="single" w:sz="4" w:space="0" w:color="auto"/>
              <w:right w:val="single" w:sz="4" w:space="0" w:color="auto"/>
            </w:tcBorders>
            <w:shd w:val="clear" w:color="auto" w:fill="auto"/>
            <w:vAlign w:val="center"/>
            <w:hideMark/>
          </w:tcPr>
          <w:p w14:paraId="0ADA66A6" w14:textId="4A173B12"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Trajnimi i zyrtarëve të administratës publike dhe vendore mbi qasjen administrative, menaxhimin e rrezikut dhe parandalimin e infiltrimit kriminal në vendimmarrjen administrative.</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000000"/>
              <w:right w:val="single" w:sz="4" w:space="0" w:color="000000"/>
            </w:tcBorders>
            <w:shd w:val="clear" w:color="000000" w:fill="FFFFFF"/>
            <w:vAlign w:val="center"/>
            <w:hideMark/>
          </w:tcPr>
          <w:p w14:paraId="77A0B14A" w14:textId="77777777" w:rsidR="00DB1B67" w:rsidRPr="002128A6" w:rsidRDefault="00DB1B67" w:rsidP="00DB1B67">
            <w:pPr>
              <w:spacing w:after="0" w:line="240" w:lineRule="auto"/>
              <w:jc w:val="center"/>
              <w:rPr>
                <w:rFonts w:ascii="Garamond" w:eastAsia="Times New Roman" w:hAnsi="Garamond" w:cs="Arial"/>
                <w:kern w:val="0"/>
                <w:sz w:val="4"/>
                <w:szCs w:val="8"/>
                <w14:ligatures w14:val="none"/>
              </w:rPr>
            </w:pPr>
            <w:r w:rsidRPr="002128A6">
              <w:rPr>
                <w:rFonts w:ascii="Garamond" w:eastAsia="Times New Roman" w:hAnsi="Garamond" w:cs="Arial"/>
                <w:kern w:val="0"/>
                <w:sz w:val="4"/>
                <w:szCs w:val="8"/>
                <w14:ligatures w14:val="none"/>
              </w:rPr>
              <w:t>91601AA</w:t>
            </w:r>
          </w:p>
        </w:tc>
        <w:tc>
          <w:tcPr>
            <w:tcW w:w="0" w:type="auto"/>
            <w:tcBorders>
              <w:top w:val="nil"/>
              <w:left w:val="nil"/>
              <w:bottom w:val="single" w:sz="4" w:space="0" w:color="auto"/>
              <w:right w:val="single" w:sz="4" w:space="0" w:color="auto"/>
            </w:tcBorders>
            <w:shd w:val="clear" w:color="auto" w:fill="auto"/>
            <w:vAlign w:val="center"/>
            <w:hideMark/>
          </w:tcPr>
          <w:p w14:paraId="6ABE4C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auto" w:fill="auto"/>
            <w:vAlign w:val="center"/>
            <w:hideMark/>
          </w:tcPr>
          <w:p w14:paraId="218BDA59" w14:textId="2C1C56D1"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Qendra për Studimin e Demokracisë dhe Qeverisjes; Shkolla Shqiptare e Administratës Publike;</w:t>
            </w:r>
            <w:r w:rsidR="00822D6F">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 xml:space="preserve">Ministria e </w:t>
            </w:r>
            <w:r w:rsidR="00822D6F" w:rsidRPr="002128A6">
              <w:rPr>
                <w:rFonts w:ascii="Garamond" w:eastAsia="Times New Roman" w:hAnsi="Garamond" w:cs="Times New Roman"/>
                <w:kern w:val="0"/>
                <w:sz w:val="4"/>
                <w:szCs w:val="8"/>
                <w14:ligatures w14:val="none"/>
              </w:rPr>
              <w:t>Financave; Drejtoria</w:t>
            </w:r>
            <w:r w:rsidRPr="002128A6">
              <w:rPr>
                <w:rFonts w:ascii="Garamond" w:eastAsia="Times New Roman" w:hAnsi="Garamond" w:cs="Times New Roman"/>
                <w:kern w:val="0"/>
                <w:sz w:val="4"/>
                <w:szCs w:val="8"/>
                <w14:ligatures w14:val="none"/>
              </w:rPr>
              <w:t xml:space="preserve"> e Përgjithshme e Tatimeve; Bashkitë</w:t>
            </w:r>
          </w:p>
        </w:tc>
        <w:tc>
          <w:tcPr>
            <w:tcW w:w="0" w:type="auto"/>
            <w:tcBorders>
              <w:top w:val="nil"/>
              <w:left w:val="nil"/>
              <w:bottom w:val="single" w:sz="4" w:space="0" w:color="auto"/>
              <w:right w:val="single" w:sz="4" w:space="0" w:color="auto"/>
            </w:tcBorders>
            <w:shd w:val="clear" w:color="000000" w:fill="FFFFFF"/>
            <w:noWrap/>
            <w:vAlign w:val="center"/>
            <w:hideMark/>
          </w:tcPr>
          <w:p w14:paraId="0D445E5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12E46A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noWrap/>
            <w:vAlign w:val="center"/>
            <w:hideMark/>
          </w:tcPr>
          <w:p w14:paraId="5FCD04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7458C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518,688</w:t>
            </w:r>
          </w:p>
        </w:tc>
        <w:tc>
          <w:tcPr>
            <w:tcW w:w="0" w:type="auto"/>
            <w:tcBorders>
              <w:top w:val="nil"/>
              <w:left w:val="nil"/>
              <w:bottom w:val="single" w:sz="4" w:space="0" w:color="auto"/>
              <w:right w:val="single" w:sz="4" w:space="0" w:color="auto"/>
            </w:tcBorders>
            <w:shd w:val="clear" w:color="000000" w:fill="FFFFFF"/>
            <w:noWrap/>
            <w:vAlign w:val="center"/>
            <w:hideMark/>
          </w:tcPr>
          <w:p w14:paraId="221D40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518,688</w:t>
            </w:r>
          </w:p>
        </w:tc>
        <w:tc>
          <w:tcPr>
            <w:tcW w:w="0" w:type="auto"/>
            <w:tcBorders>
              <w:top w:val="nil"/>
              <w:left w:val="nil"/>
              <w:bottom w:val="single" w:sz="4" w:space="0" w:color="auto"/>
              <w:right w:val="single" w:sz="4" w:space="0" w:color="auto"/>
            </w:tcBorders>
            <w:shd w:val="clear" w:color="000000" w:fill="FFFFFF"/>
            <w:noWrap/>
            <w:vAlign w:val="center"/>
            <w:hideMark/>
          </w:tcPr>
          <w:p w14:paraId="574BD3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FE16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B85B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ABDA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E6A7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C497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1F794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09EC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1CBE5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3064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98686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8D13A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BB26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C805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518,688</w:t>
            </w:r>
          </w:p>
        </w:tc>
        <w:tc>
          <w:tcPr>
            <w:tcW w:w="0" w:type="auto"/>
            <w:tcBorders>
              <w:top w:val="nil"/>
              <w:left w:val="nil"/>
              <w:bottom w:val="single" w:sz="4" w:space="0" w:color="auto"/>
              <w:right w:val="single" w:sz="4" w:space="0" w:color="auto"/>
            </w:tcBorders>
            <w:shd w:val="clear" w:color="000000" w:fill="FFFFFF"/>
            <w:vAlign w:val="center"/>
            <w:hideMark/>
          </w:tcPr>
          <w:p w14:paraId="0788F2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518,688</w:t>
            </w:r>
          </w:p>
        </w:tc>
        <w:tc>
          <w:tcPr>
            <w:tcW w:w="0" w:type="auto"/>
            <w:tcBorders>
              <w:top w:val="nil"/>
              <w:left w:val="nil"/>
              <w:bottom w:val="single" w:sz="4" w:space="0" w:color="auto"/>
              <w:right w:val="single" w:sz="4" w:space="0" w:color="auto"/>
            </w:tcBorders>
            <w:shd w:val="clear" w:color="000000" w:fill="FFFFFF"/>
            <w:noWrap/>
            <w:vAlign w:val="center"/>
            <w:hideMark/>
          </w:tcPr>
          <w:p w14:paraId="2BDC0A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382DE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E96CC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A284C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0838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17DB6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EC34F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5D038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518,688</w:t>
            </w:r>
          </w:p>
        </w:tc>
        <w:tc>
          <w:tcPr>
            <w:tcW w:w="0" w:type="auto"/>
            <w:tcBorders>
              <w:top w:val="nil"/>
              <w:left w:val="nil"/>
              <w:bottom w:val="single" w:sz="4" w:space="0" w:color="auto"/>
              <w:right w:val="single" w:sz="4" w:space="0" w:color="auto"/>
            </w:tcBorders>
            <w:shd w:val="clear" w:color="000000" w:fill="FFFFFF"/>
            <w:vAlign w:val="center"/>
            <w:hideMark/>
          </w:tcPr>
          <w:p w14:paraId="200FBEC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Projekti "Promovimi i përdorimit sistematik të qasjes administrative për të luftuar krimin e organizuar në Shqipëri" financuar nga Fondi Bullgar për Zhvillim dhe implementuar nga Qendra për Studimin e Demokracisë dhe Qeverisjes</w:t>
            </w:r>
          </w:p>
        </w:tc>
        <w:tc>
          <w:tcPr>
            <w:tcW w:w="0" w:type="auto"/>
            <w:tcBorders>
              <w:top w:val="nil"/>
              <w:left w:val="nil"/>
              <w:bottom w:val="single" w:sz="4" w:space="0" w:color="auto"/>
              <w:right w:val="single" w:sz="4" w:space="0" w:color="auto"/>
            </w:tcBorders>
            <w:shd w:val="clear" w:color="000000" w:fill="FFFFFF"/>
            <w:noWrap/>
            <w:vAlign w:val="center"/>
            <w:hideMark/>
          </w:tcPr>
          <w:p w14:paraId="171599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518,688</w:t>
            </w:r>
          </w:p>
        </w:tc>
        <w:tc>
          <w:tcPr>
            <w:tcW w:w="0" w:type="auto"/>
            <w:tcBorders>
              <w:top w:val="nil"/>
              <w:left w:val="nil"/>
              <w:bottom w:val="single" w:sz="4" w:space="0" w:color="auto"/>
              <w:right w:val="single" w:sz="8" w:space="0" w:color="auto"/>
            </w:tcBorders>
            <w:shd w:val="clear" w:color="000000" w:fill="FFFFFF"/>
            <w:vAlign w:val="center"/>
            <w:hideMark/>
          </w:tcPr>
          <w:p w14:paraId="32B278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858E26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3079A4F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5B954C4" w14:textId="600CCEBD"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1.6</w:t>
            </w:r>
          </w:p>
        </w:tc>
        <w:tc>
          <w:tcPr>
            <w:tcW w:w="0" w:type="auto"/>
            <w:tcBorders>
              <w:top w:val="nil"/>
              <w:left w:val="nil"/>
              <w:bottom w:val="single" w:sz="4" w:space="0" w:color="auto"/>
              <w:right w:val="single" w:sz="4" w:space="0" w:color="auto"/>
            </w:tcBorders>
            <w:shd w:val="clear" w:color="000000" w:fill="5B9BD5"/>
            <w:vAlign w:val="center"/>
            <w:hideMark/>
          </w:tcPr>
          <w:p w14:paraId="71F5CB4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D84481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56CEB0B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525F0B6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2345C9A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7561E4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DD55BD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2,031,808</w:t>
            </w:r>
          </w:p>
        </w:tc>
        <w:tc>
          <w:tcPr>
            <w:tcW w:w="0" w:type="auto"/>
            <w:tcBorders>
              <w:top w:val="nil"/>
              <w:left w:val="nil"/>
              <w:bottom w:val="single" w:sz="4" w:space="0" w:color="auto"/>
              <w:right w:val="single" w:sz="4" w:space="0" w:color="auto"/>
            </w:tcBorders>
            <w:shd w:val="clear" w:color="000000" w:fill="5B9BD5"/>
            <w:vAlign w:val="center"/>
            <w:hideMark/>
          </w:tcPr>
          <w:p w14:paraId="0D32431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2,031,808</w:t>
            </w:r>
          </w:p>
        </w:tc>
        <w:tc>
          <w:tcPr>
            <w:tcW w:w="0" w:type="auto"/>
            <w:tcBorders>
              <w:top w:val="nil"/>
              <w:left w:val="nil"/>
              <w:bottom w:val="single" w:sz="4" w:space="0" w:color="auto"/>
              <w:right w:val="single" w:sz="4" w:space="0" w:color="auto"/>
            </w:tcBorders>
            <w:shd w:val="clear" w:color="000000" w:fill="5B9BD5"/>
            <w:vAlign w:val="center"/>
            <w:hideMark/>
          </w:tcPr>
          <w:p w14:paraId="5C43C0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E49AD8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B93017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1AB070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93922C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FF835E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03A058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CF25DC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905CBA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E61BC0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677188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1F4F7E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DD6C18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2CBB19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2,031,808</w:t>
            </w:r>
          </w:p>
        </w:tc>
        <w:tc>
          <w:tcPr>
            <w:tcW w:w="0" w:type="auto"/>
            <w:tcBorders>
              <w:top w:val="nil"/>
              <w:left w:val="nil"/>
              <w:bottom w:val="single" w:sz="4" w:space="0" w:color="auto"/>
              <w:right w:val="single" w:sz="4" w:space="0" w:color="auto"/>
            </w:tcBorders>
            <w:shd w:val="clear" w:color="000000" w:fill="5B9BD5"/>
            <w:vAlign w:val="center"/>
            <w:hideMark/>
          </w:tcPr>
          <w:p w14:paraId="7B67B76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2,031,808</w:t>
            </w:r>
          </w:p>
        </w:tc>
        <w:tc>
          <w:tcPr>
            <w:tcW w:w="0" w:type="auto"/>
            <w:tcBorders>
              <w:top w:val="nil"/>
              <w:left w:val="nil"/>
              <w:bottom w:val="single" w:sz="4" w:space="0" w:color="auto"/>
              <w:right w:val="single" w:sz="4" w:space="0" w:color="auto"/>
            </w:tcBorders>
            <w:shd w:val="clear" w:color="000000" w:fill="5B9BD5"/>
            <w:vAlign w:val="center"/>
            <w:hideMark/>
          </w:tcPr>
          <w:p w14:paraId="54F3DF4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ACA9AF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9A7B13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146BA1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15DCAC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63977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5A3CA7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79A7E1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2,031,808</w:t>
            </w:r>
          </w:p>
        </w:tc>
        <w:tc>
          <w:tcPr>
            <w:tcW w:w="0" w:type="auto"/>
            <w:tcBorders>
              <w:top w:val="nil"/>
              <w:left w:val="nil"/>
              <w:bottom w:val="single" w:sz="4" w:space="0" w:color="auto"/>
              <w:right w:val="single" w:sz="4" w:space="0" w:color="auto"/>
            </w:tcBorders>
            <w:shd w:val="clear" w:color="000000" w:fill="5B9BD5"/>
            <w:vAlign w:val="center"/>
            <w:hideMark/>
          </w:tcPr>
          <w:p w14:paraId="1CE2EE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8F5B08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2,031,808</w:t>
            </w:r>
          </w:p>
        </w:tc>
        <w:tc>
          <w:tcPr>
            <w:tcW w:w="0" w:type="auto"/>
            <w:tcBorders>
              <w:top w:val="nil"/>
              <w:left w:val="nil"/>
              <w:bottom w:val="single" w:sz="4" w:space="0" w:color="auto"/>
              <w:right w:val="single" w:sz="4" w:space="0" w:color="auto"/>
            </w:tcBorders>
            <w:shd w:val="clear" w:color="000000" w:fill="5B9BD5"/>
            <w:vAlign w:val="center"/>
            <w:hideMark/>
          </w:tcPr>
          <w:p w14:paraId="1481F32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02375FC6" w14:textId="77777777" w:rsidTr="005305FA">
        <w:trPr>
          <w:trHeight w:val="20"/>
          <w:jc w:val="center"/>
        </w:trPr>
        <w:tc>
          <w:tcPr>
            <w:tcW w:w="1245" w:type="dxa"/>
            <w:tcBorders>
              <w:top w:val="nil"/>
              <w:left w:val="single" w:sz="8" w:space="0" w:color="auto"/>
              <w:bottom w:val="nil"/>
              <w:right w:val="single" w:sz="4" w:space="0" w:color="auto"/>
            </w:tcBorders>
            <w:shd w:val="clear" w:color="000000" w:fill="9BC2E6"/>
            <w:vAlign w:val="center"/>
            <w:hideMark/>
          </w:tcPr>
          <w:p w14:paraId="6127A3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9BC2E6"/>
            <w:vAlign w:val="center"/>
            <w:hideMark/>
          </w:tcPr>
          <w:p w14:paraId="48C9D6C1" w14:textId="595E54CD"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totale Q</w:t>
            </w:r>
            <w:r w:rsidRPr="002128A6">
              <w:rPr>
                <w:rFonts w:ascii="Garamond" w:eastAsia="Times New Roman" w:hAnsi="Garamond" w:cs="Calibri"/>
                <w:b/>
                <w:bCs/>
                <w:kern w:val="0"/>
                <w:sz w:val="4"/>
                <w:szCs w:val="8"/>
                <w14:ligatures w14:val="none"/>
              </w:rPr>
              <w:t>ë</w:t>
            </w:r>
            <w:r w:rsidRPr="002128A6">
              <w:rPr>
                <w:rFonts w:ascii="Garamond" w:eastAsia="Times New Roman" w:hAnsi="Garamond" w:cs="Times New Roman"/>
                <w:b/>
                <w:bCs/>
                <w:kern w:val="0"/>
                <w:sz w:val="4"/>
                <w:szCs w:val="8"/>
                <w14:ligatures w14:val="none"/>
              </w:rPr>
              <w:t>llimi i Politik</w:t>
            </w:r>
            <w:r w:rsidRPr="002128A6">
              <w:rPr>
                <w:rFonts w:ascii="Garamond" w:eastAsia="Times New Roman" w:hAnsi="Garamond" w:cs="Calibri"/>
                <w:b/>
                <w:bCs/>
                <w:kern w:val="0"/>
                <w:sz w:val="4"/>
                <w:szCs w:val="8"/>
                <w14:ligatures w14:val="none"/>
              </w:rPr>
              <w:t>ë</w:t>
            </w:r>
            <w:r w:rsidRPr="002128A6">
              <w:rPr>
                <w:rFonts w:ascii="Garamond" w:eastAsia="Times New Roman" w:hAnsi="Garamond" w:cs="Times New Roman"/>
                <w:b/>
                <w:bCs/>
                <w:kern w:val="0"/>
                <w:sz w:val="4"/>
                <w:szCs w:val="8"/>
                <w14:ligatures w14:val="none"/>
              </w:rPr>
              <w:t>s I (objektiva specifik</w:t>
            </w:r>
            <w:r w:rsidR="00B76863" w:rsidRPr="002128A6">
              <w:rPr>
                <w:rFonts w:ascii="Garamond" w:eastAsia="Times New Roman" w:hAnsi="Garamond" w:cs="Times New Roman"/>
                <w:b/>
                <w:bCs/>
                <w:kern w:val="0"/>
                <w:sz w:val="4"/>
                <w:szCs w:val="8"/>
                <w14:ligatures w14:val="none"/>
              </w:rPr>
              <w:t xml:space="preserve">ë </w:t>
            </w:r>
            <w:r w:rsidRPr="002128A6">
              <w:rPr>
                <w:rFonts w:ascii="Garamond" w:eastAsia="Times New Roman" w:hAnsi="Garamond" w:cs="Times New Roman"/>
                <w:b/>
                <w:bCs/>
                <w:kern w:val="0"/>
                <w:sz w:val="4"/>
                <w:szCs w:val="8"/>
                <w14:ligatures w14:val="none"/>
              </w:rPr>
              <w:t>1.1+1.2+1.3+1.4+1.5+1.6)</w:t>
            </w:r>
          </w:p>
        </w:tc>
        <w:tc>
          <w:tcPr>
            <w:tcW w:w="0" w:type="auto"/>
            <w:tcBorders>
              <w:top w:val="nil"/>
              <w:left w:val="nil"/>
              <w:bottom w:val="nil"/>
              <w:right w:val="single" w:sz="4" w:space="0" w:color="auto"/>
            </w:tcBorders>
            <w:shd w:val="clear" w:color="000000" w:fill="9BC2E6"/>
            <w:vAlign w:val="center"/>
            <w:hideMark/>
          </w:tcPr>
          <w:p w14:paraId="0240816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9BC2E6"/>
            <w:vAlign w:val="center"/>
            <w:hideMark/>
          </w:tcPr>
          <w:p w14:paraId="7FB13DB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9BC2E6"/>
            <w:vAlign w:val="center"/>
            <w:hideMark/>
          </w:tcPr>
          <w:p w14:paraId="4D993B2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9BC2E6"/>
            <w:vAlign w:val="center"/>
            <w:hideMark/>
          </w:tcPr>
          <w:p w14:paraId="0A7FDF7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9BC2E6"/>
            <w:vAlign w:val="center"/>
            <w:hideMark/>
          </w:tcPr>
          <w:p w14:paraId="66AD12A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9BC2E6"/>
            <w:vAlign w:val="center"/>
            <w:hideMark/>
          </w:tcPr>
          <w:p w14:paraId="18B1678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10,002,642,935</w:t>
            </w:r>
          </w:p>
        </w:tc>
        <w:tc>
          <w:tcPr>
            <w:tcW w:w="0" w:type="auto"/>
            <w:tcBorders>
              <w:top w:val="nil"/>
              <w:left w:val="nil"/>
              <w:bottom w:val="nil"/>
              <w:right w:val="single" w:sz="4" w:space="0" w:color="auto"/>
            </w:tcBorders>
            <w:shd w:val="clear" w:color="000000" w:fill="9BC2E6"/>
            <w:vAlign w:val="center"/>
            <w:hideMark/>
          </w:tcPr>
          <w:p w14:paraId="68DCD41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1,319,862,408</w:t>
            </w:r>
          </w:p>
        </w:tc>
        <w:tc>
          <w:tcPr>
            <w:tcW w:w="0" w:type="auto"/>
            <w:tcBorders>
              <w:top w:val="nil"/>
              <w:left w:val="nil"/>
              <w:bottom w:val="nil"/>
              <w:right w:val="single" w:sz="4" w:space="0" w:color="auto"/>
            </w:tcBorders>
            <w:shd w:val="clear" w:color="000000" w:fill="9BC2E6"/>
            <w:vAlign w:val="center"/>
            <w:hideMark/>
          </w:tcPr>
          <w:p w14:paraId="7AC09B5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11,322,505,343</w:t>
            </w:r>
          </w:p>
        </w:tc>
        <w:tc>
          <w:tcPr>
            <w:tcW w:w="0" w:type="auto"/>
            <w:tcBorders>
              <w:top w:val="nil"/>
              <w:left w:val="nil"/>
              <w:bottom w:val="nil"/>
              <w:right w:val="single" w:sz="4" w:space="0" w:color="auto"/>
            </w:tcBorders>
            <w:shd w:val="clear" w:color="000000" w:fill="9BC2E6"/>
            <w:vAlign w:val="center"/>
            <w:hideMark/>
          </w:tcPr>
          <w:p w14:paraId="4A13580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1,072,817,541</w:t>
            </w:r>
          </w:p>
        </w:tc>
        <w:tc>
          <w:tcPr>
            <w:tcW w:w="0" w:type="auto"/>
            <w:tcBorders>
              <w:top w:val="nil"/>
              <w:left w:val="nil"/>
              <w:bottom w:val="nil"/>
              <w:right w:val="single" w:sz="4" w:space="0" w:color="auto"/>
            </w:tcBorders>
            <w:shd w:val="clear" w:color="000000" w:fill="9BC2E6"/>
            <w:vAlign w:val="center"/>
            <w:hideMark/>
          </w:tcPr>
          <w:p w14:paraId="6324EA1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262,312,500</w:t>
            </w:r>
          </w:p>
        </w:tc>
        <w:tc>
          <w:tcPr>
            <w:tcW w:w="0" w:type="auto"/>
            <w:tcBorders>
              <w:top w:val="nil"/>
              <w:left w:val="nil"/>
              <w:bottom w:val="nil"/>
              <w:right w:val="single" w:sz="4" w:space="0" w:color="auto"/>
            </w:tcBorders>
            <w:shd w:val="clear" w:color="000000" w:fill="9BC2E6"/>
            <w:vAlign w:val="center"/>
            <w:hideMark/>
          </w:tcPr>
          <w:p w14:paraId="1A3493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1,335,130,041</w:t>
            </w:r>
          </w:p>
        </w:tc>
        <w:tc>
          <w:tcPr>
            <w:tcW w:w="0" w:type="auto"/>
            <w:tcBorders>
              <w:top w:val="nil"/>
              <w:left w:val="nil"/>
              <w:bottom w:val="nil"/>
              <w:right w:val="single" w:sz="4" w:space="0" w:color="auto"/>
            </w:tcBorders>
            <w:shd w:val="clear" w:color="000000" w:fill="9BC2E6"/>
            <w:vAlign w:val="center"/>
            <w:hideMark/>
          </w:tcPr>
          <w:p w14:paraId="6DFC08C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1,074,467,541</w:t>
            </w:r>
          </w:p>
        </w:tc>
        <w:tc>
          <w:tcPr>
            <w:tcW w:w="0" w:type="auto"/>
            <w:tcBorders>
              <w:top w:val="nil"/>
              <w:left w:val="nil"/>
              <w:bottom w:val="nil"/>
              <w:right w:val="single" w:sz="4" w:space="0" w:color="auto"/>
            </w:tcBorders>
            <w:shd w:val="clear" w:color="000000" w:fill="9BC2E6"/>
            <w:vAlign w:val="center"/>
            <w:hideMark/>
          </w:tcPr>
          <w:p w14:paraId="78E9032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262,312,500</w:t>
            </w:r>
          </w:p>
        </w:tc>
        <w:tc>
          <w:tcPr>
            <w:tcW w:w="0" w:type="auto"/>
            <w:tcBorders>
              <w:top w:val="nil"/>
              <w:left w:val="nil"/>
              <w:bottom w:val="nil"/>
              <w:right w:val="single" w:sz="4" w:space="0" w:color="auto"/>
            </w:tcBorders>
            <w:shd w:val="clear" w:color="000000" w:fill="9BC2E6"/>
            <w:vAlign w:val="center"/>
            <w:hideMark/>
          </w:tcPr>
          <w:p w14:paraId="1E2A884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1,336,780,041</w:t>
            </w:r>
          </w:p>
        </w:tc>
        <w:tc>
          <w:tcPr>
            <w:tcW w:w="0" w:type="auto"/>
            <w:tcBorders>
              <w:top w:val="nil"/>
              <w:left w:val="nil"/>
              <w:bottom w:val="nil"/>
              <w:right w:val="single" w:sz="4" w:space="0" w:color="auto"/>
            </w:tcBorders>
            <w:shd w:val="clear" w:color="000000" w:fill="9BC2E6"/>
            <w:vAlign w:val="center"/>
            <w:hideMark/>
          </w:tcPr>
          <w:p w14:paraId="60BA933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358,421,881</w:t>
            </w:r>
          </w:p>
        </w:tc>
        <w:tc>
          <w:tcPr>
            <w:tcW w:w="0" w:type="auto"/>
            <w:tcBorders>
              <w:top w:val="nil"/>
              <w:left w:val="nil"/>
              <w:bottom w:val="nil"/>
              <w:right w:val="single" w:sz="4" w:space="0" w:color="auto"/>
            </w:tcBorders>
            <w:shd w:val="clear" w:color="000000" w:fill="9BC2E6"/>
            <w:vAlign w:val="center"/>
            <w:hideMark/>
          </w:tcPr>
          <w:p w14:paraId="70AE57C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nil"/>
              <w:right w:val="single" w:sz="4" w:space="0" w:color="auto"/>
            </w:tcBorders>
            <w:shd w:val="clear" w:color="000000" w:fill="9BC2E6"/>
            <w:vAlign w:val="center"/>
            <w:hideMark/>
          </w:tcPr>
          <w:p w14:paraId="6B6A735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358,421,881</w:t>
            </w:r>
          </w:p>
        </w:tc>
        <w:tc>
          <w:tcPr>
            <w:tcW w:w="0" w:type="auto"/>
            <w:tcBorders>
              <w:top w:val="nil"/>
              <w:left w:val="nil"/>
              <w:bottom w:val="nil"/>
              <w:right w:val="single" w:sz="4" w:space="0" w:color="auto"/>
            </w:tcBorders>
            <w:shd w:val="clear" w:color="000000" w:fill="9BC2E6"/>
            <w:vAlign w:val="center"/>
            <w:hideMark/>
          </w:tcPr>
          <w:p w14:paraId="6DD7A8C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358,421,881</w:t>
            </w:r>
          </w:p>
        </w:tc>
        <w:tc>
          <w:tcPr>
            <w:tcW w:w="0" w:type="auto"/>
            <w:tcBorders>
              <w:top w:val="nil"/>
              <w:left w:val="nil"/>
              <w:bottom w:val="nil"/>
              <w:right w:val="single" w:sz="4" w:space="0" w:color="auto"/>
            </w:tcBorders>
            <w:shd w:val="clear" w:color="000000" w:fill="9BC2E6"/>
            <w:vAlign w:val="center"/>
            <w:hideMark/>
          </w:tcPr>
          <w:p w14:paraId="05736C0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nil"/>
              <w:right w:val="single" w:sz="4" w:space="0" w:color="auto"/>
            </w:tcBorders>
            <w:shd w:val="clear" w:color="000000" w:fill="9BC2E6"/>
            <w:vAlign w:val="center"/>
            <w:hideMark/>
          </w:tcPr>
          <w:p w14:paraId="380350B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358,421,881</w:t>
            </w:r>
          </w:p>
        </w:tc>
        <w:tc>
          <w:tcPr>
            <w:tcW w:w="0" w:type="auto"/>
            <w:tcBorders>
              <w:top w:val="nil"/>
              <w:left w:val="nil"/>
              <w:bottom w:val="nil"/>
              <w:right w:val="single" w:sz="4" w:space="0" w:color="auto"/>
            </w:tcBorders>
            <w:shd w:val="clear" w:color="000000" w:fill="9BC2E6"/>
            <w:vAlign w:val="center"/>
            <w:hideMark/>
          </w:tcPr>
          <w:p w14:paraId="723D05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12,866,771,779</w:t>
            </w:r>
          </w:p>
        </w:tc>
        <w:tc>
          <w:tcPr>
            <w:tcW w:w="0" w:type="auto"/>
            <w:tcBorders>
              <w:top w:val="nil"/>
              <w:left w:val="nil"/>
              <w:bottom w:val="nil"/>
              <w:right w:val="single" w:sz="4" w:space="0" w:color="auto"/>
            </w:tcBorders>
            <w:shd w:val="clear" w:color="000000" w:fill="9BC2E6"/>
            <w:vAlign w:val="center"/>
            <w:hideMark/>
          </w:tcPr>
          <w:p w14:paraId="29FA8BB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1,844,487,408</w:t>
            </w:r>
          </w:p>
        </w:tc>
        <w:tc>
          <w:tcPr>
            <w:tcW w:w="0" w:type="auto"/>
            <w:tcBorders>
              <w:top w:val="nil"/>
              <w:left w:val="nil"/>
              <w:bottom w:val="nil"/>
              <w:right w:val="single" w:sz="4" w:space="0" w:color="auto"/>
            </w:tcBorders>
            <w:shd w:val="clear" w:color="000000" w:fill="9BC2E6"/>
            <w:vAlign w:val="center"/>
            <w:hideMark/>
          </w:tcPr>
          <w:p w14:paraId="0BCFE0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14,711,259,187</w:t>
            </w:r>
          </w:p>
        </w:tc>
        <w:tc>
          <w:tcPr>
            <w:tcW w:w="0" w:type="auto"/>
            <w:tcBorders>
              <w:top w:val="nil"/>
              <w:left w:val="nil"/>
              <w:bottom w:val="nil"/>
              <w:right w:val="single" w:sz="4" w:space="0" w:color="auto"/>
            </w:tcBorders>
            <w:shd w:val="clear" w:color="000000" w:fill="9BC2E6"/>
            <w:vAlign w:val="center"/>
            <w:hideMark/>
          </w:tcPr>
          <w:p w14:paraId="40DAC4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12,149,928,017</w:t>
            </w:r>
          </w:p>
        </w:tc>
        <w:tc>
          <w:tcPr>
            <w:tcW w:w="0" w:type="auto"/>
            <w:tcBorders>
              <w:top w:val="nil"/>
              <w:left w:val="nil"/>
              <w:bottom w:val="nil"/>
              <w:right w:val="single" w:sz="4" w:space="0" w:color="auto"/>
            </w:tcBorders>
            <w:shd w:val="clear" w:color="000000" w:fill="9BC2E6"/>
            <w:vAlign w:val="center"/>
            <w:hideMark/>
          </w:tcPr>
          <w:p w14:paraId="23A2E76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1,108,967,000</w:t>
            </w:r>
          </w:p>
        </w:tc>
        <w:tc>
          <w:tcPr>
            <w:tcW w:w="0" w:type="auto"/>
            <w:tcBorders>
              <w:top w:val="nil"/>
              <w:left w:val="nil"/>
              <w:bottom w:val="nil"/>
              <w:right w:val="single" w:sz="4" w:space="0" w:color="auto"/>
            </w:tcBorders>
            <w:shd w:val="clear" w:color="000000" w:fill="9BC2E6"/>
            <w:vAlign w:val="center"/>
            <w:hideMark/>
          </w:tcPr>
          <w:p w14:paraId="3B9423D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13,258,895,017</w:t>
            </w:r>
          </w:p>
        </w:tc>
        <w:tc>
          <w:tcPr>
            <w:tcW w:w="0" w:type="auto"/>
            <w:tcBorders>
              <w:top w:val="nil"/>
              <w:left w:val="nil"/>
              <w:bottom w:val="nil"/>
              <w:right w:val="single" w:sz="4" w:space="0" w:color="auto"/>
            </w:tcBorders>
            <w:shd w:val="clear" w:color="000000" w:fill="9BC2E6"/>
            <w:vAlign w:val="center"/>
            <w:hideMark/>
          </w:tcPr>
          <w:p w14:paraId="3D3015F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716,843,762</w:t>
            </w:r>
          </w:p>
        </w:tc>
        <w:tc>
          <w:tcPr>
            <w:tcW w:w="0" w:type="auto"/>
            <w:tcBorders>
              <w:top w:val="nil"/>
              <w:left w:val="nil"/>
              <w:bottom w:val="nil"/>
              <w:right w:val="single" w:sz="4" w:space="0" w:color="auto"/>
            </w:tcBorders>
            <w:shd w:val="clear" w:color="000000" w:fill="9BC2E6"/>
            <w:vAlign w:val="center"/>
            <w:hideMark/>
          </w:tcPr>
          <w:p w14:paraId="78C7B8A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nil"/>
              <w:right w:val="single" w:sz="4" w:space="0" w:color="auto"/>
            </w:tcBorders>
            <w:shd w:val="clear" w:color="000000" w:fill="9BC2E6"/>
            <w:vAlign w:val="center"/>
            <w:hideMark/>
          </w:tcPr>
          <w:p w14:paraId="2103347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716,843,762</w:t>
            </w:r>
          </w:p>
        </w:tc>
        <w:tc>
          <w:tcPr>
            <w:tcW w:w="0" w:type="auto"/>
            <w:tcBorders>
              <w:top w:val="nil"/>
              <w:left w:val="nil"/>
              <w:bottom w:val="nil"/>
              <w:right w:val="single" w:sz="4" w:space="0" w:color="auto"/>
            </w:tcBorders>
            <w:shd w:val="clear" w:color="000000" w:fill="9BC2E6"/>
            <w:vAlign w:val="center"/>
            <w:hideMark/>
          </w:tcPr>
          <w:p w14:paraId="130148D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nil"/>
              <w:right w:val="single" w:sz="4" w:space="0" w:color="auto"/>
            </w:tcBorders>
            <w:shd w:val="clear" w:color="000000" w:fill="9BC2E6"/>
            <w:vAlign w:val="center"/>
            <w:hideMark/>
          </w:tcPr>
          <w:p w14:paraId="335471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735,520,408</w:t>
            </w:r>
          </w:p>
        </w:tc>
        <w:tc>
          <w:tcPr>
            <w:tcW w:w="0" w:type="auto"/>
            <w:tcBorders>
              <w:top w:val="nil"/>
              <w:left w:val="nil"/>
              <w:bottom w:val="nil"/>
              <w:right w:val="single" w:sz="4" w:space="0" w:color="auto"/>
            </w:tcBorders>
            <w:shd w:val="clear" w:color="000000" w:fill="9BC2E6"/>
            <w:vAlign w:val="center"/>
            <w:hideMark/>
          </w:tcPr>
          <w:p w14:paraId="4991CAC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nil"/>
              <w:right w:val="single" w:sz="4" w:space="0" w:color="auto"/>
            </w:tcBorders>
            <w:shd w:val="clear" w:color="000000" w:fill="9BC2E6"/>
            <w:vAlign w:val="center"/>
            <w:hideMark/>
          </w:tcPr>
          <w:p w14:paraId="791C36D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735,520,408</w:t>
            </w:r>
          </w:p>
        </w:tc>
        <w:tc>
          <w:tcPr>
            <w:tcW w:w="0" w:type="auto"/>
            <w:tcBorders>
              <w:top w:val="nil"/>
              <w:left w:val="nil"/>
              <w:bottom w:val="nil"/>
              <w:right w:val="single" w:sz="4" w:space="0" w:color="auto"/>
            </w:tcBorders>
            <w:shd w:val="clear" w:color="000000" w:fill="9BC2E6"/>
            <w:vAlign w:val="center"/>
            <w:hideMark/>
          </w:tcPr>
          <w:p w14:paraId="4A71939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10668B7C" w14:textId="77777777" w:rsidTr="005305FA">
        <w:trPr>
          <w:trHeight w:val="20"/>
          <w:jc w:val="center"/>
        </w:trPr>
        <w:tc>
          <w:tcPr>
            <w:tcW w:w="13943" w:type="dxa"/>
            <w:gridSpan w:val="36"/>
            <w:tcBorders>
              <w:top w:val="single" w:sz="8" w:space="0" w:color="auto"/>
              <w:left w:val="single" w:sz="8" w:space="0" w:color="auto"/>
              <w:bottom w:val="single" w:sz="8" w:space="0" w:color="auto"/>
              <w:right w:val="single" w:sz="8" w:space="0" w:color="000000"/>
            </w:tcBorders>
            <w:shd w:val="clear" w:color="000000" w:fill="FFFFFF"/>
            <w:vAlign w:val="center"/>
            <w:hideMark/>
          </w:tcPr>
          <w:p w14:paraId="4231ED3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QËLLIMI I POLITIKËS II: NDJEKJA PENALE DHE GODITJA E KRIMIT TË ORGANIZUAR DHE KRIMEVE TË RËNDA </w:t>
            </w:r>
          </w:p>
        </w:tc>
      </w:tr>
      <w:tr w:rsidR="00F54824" w:rsidRPr="002128A6" w14:paraId="2A19550D" w14:textId="77777777" w:rsidTr="005305FA">
        <w:trPr>
          <w:trHeight w:val="20"/>
          <w:jc w:val="center"/>
        </w:trPr>
        <w:tc>
          <w:tcPr>
            <w:tcW w:w="13943" w:type="dxa"/>
            <w:gridSpan w:val="36"/>
            <w:tcBorders>
              <w:top w:val="single" w:sz="8" w:space="0" w:color="auto"/>
              <w:left w:val="single" w:sz="8" w:space="0" w:color="auto"/>
              <w:bottom w:val="single" w:sz="8" w:space="0" w:color="auto"/>
              <w:right w:val="single" w:sz="8" w:space="0" w:color="000000"/>
            </w:tcBorders>
            <w:shd w:val="clear" w:color="000000" w:fill="FFFFFF"/>
            <w:vAlign w:val="center"/>
            <w:hideMark/>
          </w:tcPr>
          <w:p w14:paraId="679A6B75" w14:textId="79DC08B4"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III. Programi buxhetor që kontribuon për qëllimin e politikës: Programi 01110 Ministria e Punëve të Brendshme; Programi 03140, Policia e Shtetit; Programi 1012020, IKRKT; Programi 01110, Ministria e Shëndetësisë dhe Mirëqenies Sociale; Programi 03440, Drejtoria e Përgjithshme e Burgjeve; Programi 1014001, Ministria e Drejtësisë.</w:t>
            </w:r>
            <w:r w:rsidR="00F54824" w:rsidRPr="002128A6">
              <w:rPr>
                <w:rFonts w:ascii="Garamond" w:eastAsia="Times New Roman" w:hAnsi="Garamond" w:cs="Times New Roman"/>
                <w:b/>
                <w:bCs/>
                <w:kern w:val="0"/>
                <w:sz w:val="4"/>
                <w:szCs w:val="8"/>
                <w14:ligatures w14:val="none"/>
              </w:rPr>
              <w:t xml:space="preserve"> </w:t>
            </w:r>
          </w:p>
        </w:tc>
      </w:tr>
      <w:tr w:rsidR="00F54824" w:rsidRPr="002128A6" w14:paraId="6D9AE7F0" w14:textId="77777777" w:rsidTr="005305FA">
        <w:trPr>
          <w:trHeight w:val="20"/>
          <w:jc w:val="center"/>
        </w:trPr>
        <w:tc>
          <w:tcPr>
            <w:tcW w:w="1245" w:type="dxa"/>
            <w:vMerge w:val="restart"/>
            <w:tcBorders>
              <w:top w:val="nil"/>
              <w:left w:val="single" w:sz="8" w:space="0" w:color="auto"/>
              <w:bottom w:val="single" w:sz="8" w:space="0" w:color="000000"/>
              <w:right w:val="single" w:sz="4" w:space="0" w:color="auto"/>
            </w:tcBorders>
            <w:shd w:val="clear" w:color="000000" w:fill="FFFFFF"/>
            <w:vAlign w:val="center"/>
            <w:hideMark/>
          </w:tcPr>
          <w:p w14:paraId="4BE59C3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Nr.</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42A6A7A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Titulli </w:t>
            </w:r>
          </w:p>
        </w:tc>
        <w:tc>
          <w:tcPr>
            <w:tcW w:w="0" w:type="auto"/>
            <w:tcBorders>
              <w:top w:val="nil"/>
              <w:left w:val="nil"/>
              <w:bottom w:val="single" w:sz="4" w:space="0" w:color="auto"/>
              <w:right w:val="single" w:sz="4" w:space="0" w:color="auto"/>
            </w:tcBorders>
            <w:shd w:val="clear" w:color="000000" w:fill="FFFFFF"/>
            <w:vAlign w:val="center"/>
            <w:hideMark/>
          </w:tcPr>
          <w:p w14:paraId="0E7A519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Programi buxhetor </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0598CFDF" w14:textId="13EC8168"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Institucionet përgjegjëse</w:t>
            </w:r>
          </w:p>
        </w:tc>
        <w:tc>
          <w:tcPr>
            <w:tcW w:w="0" w:type="auto"/>
            <w:gridSpan w:val="2"/>
            <w:tcBorders>
              <w:top w:val="single" w:sz="8" w:space="0" w:color="auto"/>
              <w:left w:val="nil"/>
              <w:bottom w:val="single" w:sz="4" w:space="0" w:color="auto"/>
              <w:right w:val="single" w:sz="8" w:space="0" w:color="000000"/>
            </w:tcBorders>
            <w:shd w:val="clear" w:color="000000" w:fill="FFFFFF"/>
            <w:vAlign w:val="center"/>
            <w:hideMark/>
          </w:tcPr>
          <w:p w14:paraId="526B5276" w14:textId="72F4A94B"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Afati i </w:t>
            </w:r>
            <w:r w:rsidR="008A598F" w:rsidRPr="002128A6">
              <w:rPr>
                <w:rFonts w:ascii="Garamond" w:eastAsia="Times New Roman" w:hAnsi="Garamond" w:cs="Times New Roman"/>
                <w:b/>
                <w:bCs/>
                <w:kern w:val="0"/>
                <w:sz w:val="4"/>
                <w:szCs w:val="8"/>
                <w14:ligatures w14:val="none"/>
              </w:rPr>
              <w:t xml:space="preserve">zbatimit </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A475866" w14:textId="02BE8B39"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indikative/2026</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E173199" w14:textId="031EFAF6"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indikative/2027</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AD68DD3" w14:textId="308C7D78"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indikative/2028</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40BD04A" w14:textId="22DF15FD"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indikative/2029</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4426B72" w14:textId="423DE20E"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indikative/2030</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320AF9C" w14:textId="41AF68BD"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40921"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indikative/Totale</w:t>
            </w:r>
          </w:p>
        </w:tc>
        <w:tc>
          <w:tcPr>
            <w:tcW w:w="0" w:type="auto"/>
            <w:gridSpan w:val="10"/>
            <w:tcBorders>
              <w:top w:val="single" w:sz="4" w:space="0" w:color="auto"/>
              <w:left w:val="nil"/>
              <w:bottom w:val="single" w:sz="4" w:space="0" w:color="auto"/>
              <w:right w:val="single" w:sz="4" w:space="0" w:color="000000"/>
            </w:tcBorders>
            <w:shd w:val="clear" w:color="000000" w:fill="FFFFFF"/>
            <w:vAlign w:val="center"/>
            <w:hideMark/>
          </w:tcPr>
          <w:p w14:paraId="37FDBA2E" w14:textId="338D7E21"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Burimi i </w:t>
            </w:r>
            <w:r w:rsidR="008A598F" w:rsidRPr="002128A6">
              <w:rPr>
                <w:rFonts w:ascii="Garamond" w:eastAsia="Times New Roman" w:hAnsi="Garamond" w:cs="Times New Roman"/>
                <w:b/>
                <w:bCs/>
                <w:kern w:val="0"/>
                <w:sz w:val="4"/>
                <w:szCs w:val="8"/>
                <w14:ligatures w14:val="none"/>
              </w:rPr>
              <w:t>financimit</w:t>
            </w:r>
          </w:p>
        </w:tc>
        <w:tc>
          <w:tcPr>
            <w:tcW w:w="0" w:type="auto"/>
            <w:vMerge w:val="restart"/>
            <w:tcBorders>
              <w:top w:val="single" w:sz="4" w:space="0" w:color="auto"/>
              <w:left w:val="single" w:sz="4" w:space="0" w:color="auto"/>
              <w:bottom w:val="single" w:sz="4" w:space="0" w:color="000000"/>
              <w:right w:val="single" w:sz="8" w:space="0" w:color="auto"/>
            </w:tcBorders>
            <w:shd w:val="clear" w:color="000000" w:fill="FFFFFF"/>
            <w:vAlign w:val="center"/>
            <w:hideMark/>
          </w:tcPr>
          <w:p w14:paraId="1BDC4DA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Hendeku financiar </w:t>
            </w:r>
          </w:p>
        </w:tc>
      </w:tr>
      <w:tr w:rsidR="00F54824" w:rsidRPr="002128A6" w14:paraId="1EF85164" w14:textId="77777777" w:rsidTr="005305FA">
        <w:trPr>
          <w:trHeight w:val="20"/>
          <w:jc w:val="center"/>
        </w:trPr>
        <w:tc>
          <w:tcPr>
            <w:tcW w:w="1245" w:type="dxa"/>
            <w:vMerge/>
            <w:tcBorders>
              <w:top w:val="nil"/>
              <w:left w:val="single" w:sz="8" w:space="0" w:color="auto"/>
              <w:bottom w:val="single" w:sz="8" w:space="0" w:color="000000"/>
              <w:right w:val="single" w:sz="4" w:space="0" w:color="auto"/>
            </w:tcBorders>
            <w:vAlign w:val="center"/>
            <w:hideMark/>
          </w:tcPr>
          <w:p w14:paraId="7FFFBE98"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113FBD2A"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5548B61E" w14:textId="7CEAD12D"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Referenca e Rezultatit me produktet e programit buxhetor</w:t>
            </w:r>
            <w:r w:rsidR="00F54824" w:rsidRPr="002128A6">
              <w:rPr>
                <w:rFonts w:ascii="Garamond" w:eastAsia="Times New Roman" w:hAnsi="Garamond" w:cs="Times New Roman"/>
                <w:b/>
                <w:bCs/>
                <w:kern w:val="0"/>
                <w:sz w:val="4"/>
                <w:szCs w:val="8"/>
                <w14:ligatures w14:val="none"/>
              </w:rPr>
              <w:t xml:space="preserve"> </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617F902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përgjegjës</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75C9767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përgjegjës</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4CD38934" w14:textId="245DBED3"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fillimit</w:t>
            </w:r>
          </w:p>
        </w:tc>
        <w:tc>
          <w:tcPr>
            <w:tcW w:w="0" w:type="auto"/>
            <w:vMerge w:val="restart"/>
            <w:tcBorders>
              <w:top w:val="nil"/>
              <w:left w:val="single" w:sz="4" w:space="0" w:color="auto"/>
              <w:bottom w:val="single" w:sz="8" w:space="0" w:color="000000"/>
              <w:right w:val="single" w:sz="8" w:space="0" w:color="auto"/>
            </w:tcBorders>
            <w:shd w:val="clear" w:color="000000" w:fill="FFFFFF"/>
            <w:vAlign w:val="center"/>
            <w:hideMark/>
          </w:tcPr>
          <w:p w14:paraId="6A436A07" w14:textId="041D6DFC"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mbarimit</w:t>
            </w:r>
          </w:p>
        </w:tc>
        <w:tc>
          <w:tcPr>
            <w:tcW w:w="0" w:type="auto"/>
            <w:gridSpan w:val="3"/>
            <w:vMerge/>
            <w:tcBorders>
              <w:top w:val="nil"/>
              <w:left w:val="single" w:sz="4" w:space="0" w:color="auto"/>
              <w:bottom w:val="single" w:sz="8" w:space="0" w:color="000000"/>
              <w:right w:val="single" w:sz="8" w:space="0" w:color="auto"/>
            </w:tcBorders>
            <w:vAlign w:val="center"/>
            <w:hideMark/>
          </w:tcPr>
          <w:p w14:paraId="37477C1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4C704743"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0A6AA511"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384B3AD8"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391D36C1"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30CA4C20"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tcBorders>
              <w:top w:val="single" w:sz="4" w:space="0" w:color="auto"/>
              <w:left w:val="nil"/>
              <w:bottom w:val="single" w:sz="4" w:space="0" w:color="auto"/>
              <w:right w:val="single" w:sz="4" w:space="0" w:color="000000"/>
            </w:tcBorders>
            <w:shd w:val="clear" w:color="000000" w:fill="FFFFFF"/>
            <w:vAlign w:val="center"/>
            <w:hideMark/>
          </w:tcPr>
          <w:p w14:paraId="5BD7427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PBA 2026-2028 (në lekë)</w:t>
            </w:r>
          </w:p>
        </w:tc>
        <w:tc>
          <w:tcPr>
            <w:tcW w:w="0" w:type="auto"/>
            <w:gridSpan w:val="3"/>
            <w:tcBorders>
              <w:top w:val="single" w:sz="4" w:space="0" w:color="auto"/>
              <w:left w:val="nil"/>
              <w:bottom w:val="single" w:sz="4" w:space="0" w:color="auto"/>
              <w:right w:val="single" w:sz="4" w:space="0" w:color="000000"/>
            </w:tcBorders>
            <w:shd w:val="clear" w:color="000000" w:fill="FFFFFF"/>
            <w:vAlign w:val="center"/>
            <w:hideMark/>
          </w:tcPr>
          <w:p w14:paraId="6C1CA23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PBA 2028-2030 (në lekë)</w:t>
            </w:r>
          </w:p>
        </w:tc>
        <w:tc>
          <w:tcPr>
            <w:tcW w:w="0" w:type="auto"/>
            <w:gridSpan w:val="4"/>
            <w:tcBorders>
              <w:top w:val="single" w:sz="4" w:space="0" w:color="auto"/>
              <w:left w:val="nil"/>
              <w:bottom w:val="single" w:sz="4" w:space="0" w:color="auto"/>
              <w:right w:val="single" w:sz="4" w:space="0" w:color="000000"/>
            </w:tcBorders>
            <w:shd w:val="clear" w:color="000000" w:fill="FFFFFF"/>
            <w:vAlign w:val="center"/>
            <w:hideMark/>
          </w:tcPr>
          <w:p w14:paraId="21882EE3" w14:textId="1F3A1D3F"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Financim i Huaj</w:t>
            </w:r>
            <w:r w:rsidR="00F54824" w:rsidRPr="002128A6">
              <w:rPr>
                <w:rFonts w:ascii="Garamond" w:eastAsia="Times New Roman" w:hAnsi="Garamond" w:cs="Times New Roman"/>
                <w:b/>
                <w:bCs/>
                <w:kern w:val="0"/>
                <w:sz w:val="4"/>
                <w:szCs w:val="8"/>
                <w14:ligatures w14:val="none"/>
              </w:rPr>
              <w:t xml:space="preserve"> </w:t>
            </w:r>
            <w:r w:rsidRPr="002128A6">
              <w:rPr>
                <w:rFonts w:ascii="Garamond" w:eastAsia="Times New Roman" w:hAnsi="Garamond" w:cs="Times New Roman"/>
                <w:b/>
                <w:bCs/>
                <w:kern w:val="0"/>
                <w:sz w:val="4"/>
                <w:szCs w:val="8"/>
                <w14:ligatures w14:val="none"/>
              </w:rPr>
              <w:t>(në</w:t>
            </w:r>
            <w:r w:rsidR="00F54824" w:rsidRPr="002128A6">
              <w:rPr>
                <w:rFonts w:ascii="Garamond" w:eastAsia="Times New Roman" w:hAnsi="Garamond" w:cs="Times New Roman"/>
                <w:b/>
                <w:bCs/>
                <w:kern w:val="0"/>
                <w:sz w:val="4"/>
                <w:szCs w:val="8"/>
                <w14:ligatures w14:val="none"/>
              </w:rPr>
              <w:t xml:space="preserve"> </w:t>
            </w:r>
            <w:r w:rsidRPr="002128A6">
              <w:rPr>
                <w:rFonts w:ascii="Garamond" w:eastAsia="Times New Roman" w:hAnsi="Garamond" w:cs="Times New Roman"/>
                <w:b/>
                <w:bCs/>
                <w:kern w:val="0"/>
                <w:sz w:val="4"/>
                <w:szCs w:val="8"/>
                <w14:ligatures w14:val="none"/>
              </w:rPr>
              <w:t>lekë)</w:t>
            </w:r>
          </w:p>
        </w:tc>
        <w:tc>
          <w:tcPr>
            <w:tcW w:w="0" w:type="auto"/>
            <w:vMerge/>
            <w:tcBorders>
              <w:top w:val="single" w:sz="4" w:space="0" w:color="auto"/>
              <w:left w:val="single" w:sz="4" w:space="0" w:color="auto"/>
              <w:bottom w:val="single" w:sz="4" w:space="0" w:color="000000"/>
              <w:right w:val="single" w:sz="8" w:space="0" w:color="auto"/>
            </w:tcBorders>
            <w:vAlign w:val="center"/>
            <w:hideMark/>
          </w:tcPr>
          <w:p w14:paraId="007B8DB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r>
      <w:tr w:rsidR="00F54824" w:rsidRPr="002128A6" w14:paraId="3DC4157A" w14:textId="77777777" w:rsidTr="005305FA">
        <w:trPr>
          <w:trHeight w:val="20"/>
          <w:jc w:val="center"/>
        </w:trPr>
        <w:tc>
          <w:tcPr>
            <w:tcW w:w="1245" w:type="dxa"/>
            <w:vMerge/>
            <w:tcBorders>
              <w:top w:val="nil"/>
              <w:left w:val="single" w:sz="8" w:space="0" w:color="auto"/>
              <w:bottom w:val="single" w:sz="8" w:space="0" w:color="000000"/>
              <w:right w:val="single" w:sz="4" w:space="0" w:color="auto"/>
            </w:tcBorders>
            <w:vAlign w:val="center"/>
            <w:hideMark/>
          </w:tcPr>
          <w:p w14:paraId="26828AC9"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7912F80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67C197BA"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08E6B88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1641D37C"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765AF79D"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8" w:space="0" w:color="auto"/>
            </w:tcBorders>
            <w:vAlign w:val="center"/>
            <w:hideMark/>
          </w:tcPr>
          <w:p w14:paraId="1ADA2B63"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BF376D" w14:textId="26E32CD9"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48BE2E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431874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1C42F65D" w14:textId="496C95CC"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4FF20BC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13B9A6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5444EA2C" w14:textId="65212EB5"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72D8764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753F13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0FCAEB03" w14:textId="24C6B0A9"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76A68D5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6E89CFE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37F97D80" w14:textId="015BE671"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795074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1E8BE31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779450F5" w14:textId="5C90979D"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0FF2B2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nil"/>
            </w:tcBorders>
            <w:shd w:val="clear" w:color="000000" w:fill="FFFFFF"/>
            <w:vAlign w:val="center"/>
            <w:hideMark/>
          </w:tcPr>
          <w:p w14:paraId="6CA9526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CB9AF4" w14:textId="77474846"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3C04529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0CE13D6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BSH</w:t>
            </w:r>
          </w:p>
        </w:tc>
        <w:tc>
          <w:tcPr>
            <w:tcW w:w="0" w:type="auto"/>
            <w:tcBorders>
              <w:top w:val="nil"/>
              <w:left w:val="nil"/>
              <w:bottom w:val="single" w:sz="4" w:space="0" w:color="auto"/>
              <w:right w:val="single" w:sz="4" w:space="0" w:color="auto"/>
            </w:tcBorders>
            <w:shd w:val="clear" w:color="000000" w:fill="FFFFFF"/>
            <w:vAlign w:val="center"/>
            <w:hideMark/>
          </w:tcPr>
          <w:p w14:paraId="37FE5EE2" w14:textId="6A479877"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348AC73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4B0A3F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BSH</w:t>
            </w:r>
          </w:p>
        </w:tc>
        <w:tc>
          <w:tcPr>
            <w:tcW w:w="0" w:type="auto"/>
            <w:tcBorders>
              <w:top w:val="nil"/>
              <w:left w:val="nil"/>
              <w:bottom w:val="single" w:sz="4" w:space="0" w:color="auto"/>
              <w:right w:val="single" w:sz="4" w:space="0" w:color="auto"/>
            </w:tcBorders>
            <w:shd w:val="clear" w:color="000000" w:fill="FFFFFF"/>
            <w:vAlign w:val="center"/>
            <w:hideMark/>
          </w:tcPr>
          <w:p w14:paraId="632F6739" w14:textId="3E434E29"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2C97EBD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5B408EA5"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Emri donatorit/Titullin e projektit </w:t>
            </w:r>
          </w:p>
        </w:tc>
        <w:tc>
          <w:tcPr>
            <w:tcW w:w="0" w:type="auto"/>
            <w:tcBorders>
              <w:top w:val="nil"/>
              <w:left w:val="nil"/>
              <w:bottom w:val="single" w:sz="4" w:space="0" w:color="auto"/>
              <w:right w:val="single" w:sz="4" w:space="0" w:color="auto"/>
            </w:tcBorders>
            <w:shd w:val="clear" w:color="000000" w:fill="FFFFFF"/>
            <w:vAlign w:val="center"/>
            <w:hideMark/>
          </w:tcPr>
          <w:p w14:paraId="56AD387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Financim i Huaj</w:t>
            </w:r>
          </w:p>
        </w:tc>
        <w:tc>
          <w:tcPr>
            <w:tcW w:w="0" w:type="auto"/>
            <w:vMerge/>
            <w:tcBorders>
              <w:top w:val="single" w:sz="4" w:space="0" w:color="auto"/>
              <w:left w:val="single" w:sz="4" w:space="0" w:color="auto"/>
              <w:bottom w:val="single" w:sz="4" w:space="0" w:color="000000"/>
              <w:right w:val="single" w:sz="8" w:space="0" w:color="auto"/>
            </w:tcBorders>
            <w:vAlign w:val="center"/>
            <w:hideMark/>
          </w:tcPr>
          <w:p w14:paraId="4E5C15FB"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r>
      <w:tr w:rsidR="00F54824" w:rsidRPr="002128A6" w14:paraId="50F5322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7FA7C74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w:t>
            </w:r>
          </w:p>
        </w:tc>
        <w:tc>
          <w:tcPr>
            <w:tcW w:w="0" w:type="auto"/>
            <w:tcBorders>
              <w:top w:val="nil"/>
              <w:left w:val="nil"/>
              <w:bottom w:val="single" w:sz="4" w:space="0" w:color="auto"/>
              <w:right w:val="nil"/>
            </w:tcBorders>
            <w:shd w:val="clear" w:color="000000" w:fill="FCE4D6"/>
            <w:vAlign w:val="center"/>
            <w:hideMark/>
          </w:tcPr>
          <w:p w14:paraId="6295BCD2"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Reduktimi i disponueshmërisë, prodhimit dhe trafikimit të narkotikëve përmes forcimit të zbulimit, hetimit dhe koordinimit ndërinstitucional</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79BB3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A0F77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E678F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5F3A8E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FA419D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757EFD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23C965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003ED5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058A68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29DEB6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600851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3A291C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562F99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7B257F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689136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25F295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66539C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30B515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2DFF67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3A3DA6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6A254D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3424AF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7E6E42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670B68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3BC70C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5E3DF1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097080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3BED9E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25E4D4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56BE14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5522A8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2D95469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52C13F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5A9CEB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4EFA913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6123A9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2.1.1</w:t>
            </w:r>
          </w:p>
        </w:tc>
        <w:tc>
          <w:tcPr>
            <w:tcW w:w="0" w:type="auto"/>
            <w:tcBorders>
              <w:top w:val="nil"/>
              <w:left w:val="nil"/>
              <w:bottom w:val="single" w:sz="4" w:space="0" w:color="auto"/>
              <w:right w:val="single" w:sz="4" w:space="0" w:color="auto"/>
            </w:tcBorders>
            <w:shd w:val="clear" w:color="F1F5F9" w:fill="FFFFFF"/>
            <w:vAlign w:val="center"/>
            <w:hideMark/>
          </w:tcPr>
          <w:p w14:paraId="745F659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Goditja në fushën e narkotikëve përmes operacioneve të zbulimit të udhëhequra nga inteligjenca dhe teknologjia, përfshirë përdorimin sistematik të inteligjencës kriminale, mjeteve analitike, kapaciteteve të mbikëqyrjes dhe veprimeve operacionale të synuara për të identifikuar, ndërprerë dhe shkatërruar rrjetet kriminale të lidhura me drogën.</w:t>
            </w:r>
          </w:p>
        </w:tc>
        <w:tc>
          <w:tcPr>
            <w:tcW w:w="0" w:type="auto"/>
            <w:tcBorders>
              <w:top w:val="nil"/>
              <w:left w:val="nil"/>
              <w:bottom w:val="single" w:sz="4" w:space="0" w:color="auto"/>
              <w:right w:val="single" w:sz="4" w:space="0" w:color="auto"/>
            </w:tcBorders>
            <w:shd w:val="clear" w:color="000000" w:fill="FFFFFF"/>
            <w:vAlign w:val="center"/>
            <w:hideMark/>
          </w:tcPr>
          <w:p w14:paraId="0ACA03F1" w14:textId="7BC6ABF9"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305E8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14A8E5F6" w14:textId="67AFEE56"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 xml:space="preserve">Autoriteti Kombëtar për Sigurinë Kibernetike; Shërbimi Informativ i Shtetit; Drejtoria e Përgjithshme e Doganave; Ministria e Shëndetësisë dhe </w:t>
            </w:r>
            <w:r w:rsidRPr="002128A6">
              <w:rPr>
                <w:rFonts w:ascii="Garamond" w:eastAsia="Times New Roman" w:hAnsi="Garamond" w:cs="Times New Roman"/>
                <w:kern w:val="0"/>
                <w:sz w:val="4"/>
                <w:szCs w:val="8"/>
                <w14:ligatures w14:val="none"/>
              </w:rPr>
              <w:lastRenderedPageBreak/>
              <w:t>Mirëqenies Sociale;</w:t>
            </w:r>
          </w:p>
        </w:tc>
        <w:tc>
          <w:tcPr>
            <w:tcW w:w="0" w:type="auto"/>
            <w:tcBorders>
              <w:top w:val="nil"/>
              <w:left w:val="nil"/>
              <w:bottom w:val="single" w:sz="4" w:space="0" w:color="auto"/>
              <w:right w:val="single" w:sz="4" w:space="0" w:color="auto"/>
            </w:tcBorders>
            <w:shd w:val="clear" w:color="000000" w:fill="FFFFFF"/>
            <w:vAlign w:val="center"/>
            <w:hideMark/>
          </w:tcPr>
          <w:p w14:paraId="2E8AB9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lastRenderedPageBreak/>
              <w:t>2026</w:t>
            </w:r>
          </w:p>
        </w:tc>
        <w:tc>
          <w:tcPr>
            <w:tcW w:w="0" w:type="auto"/>
            <w:tcBorders>
              <w:top w:val="nil"/>
              <w:left w:val="nil"/>
              <w:bottom w:val="single" w:sz="4" w:space="0" w:color="auto"/>
              <w:right w:val="single" w:sz="4" w:space="0" w:color="auto"/>
            </w:tcBorders>
            <w:shd w:val="clear" w:color="000000" w:fill="FFFFFF"/>
            <w:vAlign w:val="center"/>
            <w:hideMark/>
          </w:tcPr>
          <w:p w14:paraId="1AEDF32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595B4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4B3869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E3D0F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1787FF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5752A0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7EBD0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4CA92C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110E27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71EB5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202C43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5D2C32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38871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2470E9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1ACB02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2583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2F41BC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466,436,160</w:t>
            </w:r>
          </w:p>
        </w:tc>
        <w:tc>
          <w:tcPr>
            <w:tcW w:w="0" w:type="auto"/>
            <w:tcBorders>
              <w:top w:val="nil"/>
              <w:left w:val="nil"/>
              <w:bottom w:val="single" w:sz="4" w:space="0" w:color="auto"/>
              <w:right w:val="single" w:sz="4" w:space="0" w:color="auto"/>
            </w:tcBorders>
            <w:shd w:val="clear" w:color="000000" w:fill="FFFFFF"/>
            <w:vAlign w:val="center"/>
            <w:hideMark/>
          </w:tcPr>
          <w:p w14:paraId="07DD48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F3C69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466,436,160</w:t>
            </w:r>
          </w:p>
        </w:tc>
        <w:tc>
          <w:tcPr>
            <w:tcW w:w="0" w:type="auto"/>
            <w:tcBorders>
              <w:top w:val="nil"/>
              <w:left w:val="nil"/>
              <w:bottom w:val="single" w:sz="4" w:space="0" w:color="auto"/>
              <w:right w:val="single" w:sz="4" w:space="0" w:color="auto"/>
            </w:tcBorders>
            <w:shd w:val="clear" w:color="000000" w:fill="FFFFFF"/>
            <w:noWrap/>
            <w:vAlign w:val="center"/>
            <w:hideMark/>
          </w:tcPr>
          <w:p w14:paraId="5BAA3F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279,861,696</w:t>
            </w:r>
          </w:p>
        </w:tc>
        <w:tc>
          <w:tcPr>
            <w:tcW w:w="0" w:type="auto"/>
            <w:tcBorders>
              <w:top w:val="nil"/>
              <w:left w:val="nil"/>
              <w:bottom w:val="single" w:sz="4" w:space="0" w:color="auto"/>
              <w:right w:val="single" w:sz="4" w:space="0" w:color="auto"/>
            </w:tcBorders>
            <w:shd w:val="clear" w:color="000000" w:fill="FFFFFF"/>
            <w:noWrap/>
            <w:vAlign w:val="center"/>
            <w:hideMark/>
          </w:tcPr>
          <w:p w14:paraId="2D5FA0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8A2EB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279,861,696</w:t>
            </w:r>
          </w:p>
        </w:tc>
        <w:tc>
          <w:tcPr>
            <w:tcW w:w="0" w:type="auto"/>
            <w:tcBorders>
              <w:top w:val="nil"/>
              <w:left w:val="nil"/>
              <w:bottom w:val="single" w:sz="4" w:space="0" w:color="auto"/>
              <w:right w:val="single" w:sz="4" w:space="0" w:color="auto"/>
            </w:tcBorders>
            <w:shd w:val="clear" w:color="000000" w:fill="FFFFFF"/>
            <w:noWrap/>
            <w:vAlign w:val="center"/>
            <w:hideMark/>
          </w:tcPr>
          <w:p w14:paraId="2D2131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186,574,464</w:t>
            </w:r>
          </w:p>
        </w:tc>
        <w:tc>
          <w:tcPr>
            <w:tcW w:w="0" w:type="auto"/>
            <w:tcBorders>
              <w:top w:val="nil"/>
              <w:left w:val="nil"/>
              <w:bottom w:val="single" w:sz="4" w:space="0" w:color="auto"/>
              <w:right w:val="single" w:sz="4" w:space="0" w:color="auto"/>
            </w:tcBorders>
            <w:shd w:val="clear" w:color="000000" w:fill="FFFFFF"/>
            <w:noWrap/>
            <w:vAlign w:val="center"/>
            <w:hideMark/>
          </w:tcPr>
          <w:p w14:paraId="6D83A0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A634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186,574,464</w:t>
            </w:r>
          </w:p>
        </w:tc>
        <w:tc>
          <w:tcPr>
            <w:tcW w:w="0" w:type="auto"/>
            <w:tcBorders>
              <w:top w:val="nil"/>
              <w:left w:val="nil"/>
              <w:bottom w:val="single" w:sz="4" w:space="0" w:color="auto"/>
              <w:right w:val="single" w:sz="4" w:space="0" w:color="auto"/>
            </w:tcBorders>
            <w:shd w:val="clear" w:color="000000" w:fill="FFFFFF"/>
            <w:vAlign w:val="center"/>
            <w:hideMark/>
          </w:tcPr>
          <w:p w14:paraId="1C2B6B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C5E5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12BC6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8D330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8F30B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3D4F7F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3677D9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2.1.2</w:t>
            </w:r>
          </w:p>
        </w:tc>
        <w:tc>
          <w:tcPr>
            <w:tcW w:w="0" w:type="auto"/>
            <w:tcBorders>
              <w:top w:val="nil"/>
              <w:left w:val="nil"/>
              <w:bottom w:val="single" w:sz="4" w:space="0" w:color="auto"/>
              <w:right w:val="single" w:sz="4" w:space="0" w:color="auto"/>
            </w:tcBorders>
            <w:shd w:val="clear" w:color="F1F5F9" w:fill="FFFFFF"/>
            <w:vAlign w:val="center"/>
            <w:hideMark/>
          </w:tcPr>
          <w:p w14:paraId="144A72F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Përditësimi dhe mirëmbajtja e bazës së veçantë të të dhënave për kultivimin e bimëve narkotike me informacion nga të gjitha burimet e mundshme të brendshme dhe të jashtme, përfshirë raportimin e autoriteteve ligjzbatuese, konstatimet e monitorimit në distancë, informacionin gjyqësor dhe kontributet e partnerëve ndërkombëtarë, për të mbështetur analizën e riskut, synimin dhe planifikimin operacional.kontributet e partnerëve ndërkombëtarë, për të mbështetur analizën e rrezikut, synimin dhe planifikimin operacional.</w:t>
            </w:r>
          </w:p>
        </w:tc>
        <w:tc>
          <w:tcPr>
            <w:tcW w:w="0" w:type="auto"/>
            <w:tcBorders>
              <w:top w:val="nil"/>
              <w:left w:val="nil"/>
              <w:bottom w:val="single" w:sz="4" w:space="0" w:color="auto"/>
              <w:right w:val="single" w:sz="4" w:space="0" w:color="auto"/>
            </w:tcBorders>
            <w:shd w:val="clear" w:color="000000" w:fill="FFFFFF"/>
            <w:vAlign w:val="center"/>
            <w:hideMark/>
          </w:tcPr>
          <w:p w14:paraId="0728FE12" w14:textId="6340C6E2"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AA79C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1B2EC1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BCC5A8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9BA2D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6800C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495D0D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1E448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7DC1FF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168617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139AE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0CEB65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3D9D90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0B5FE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40F1E3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1AA9B0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AD898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626B8E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5342BE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8AF1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676191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131,441,830</w:t>
            </w:r>
          </w:p>
        </w:tc>
        <w:tc>
          <w:tcPr>
            <w:tcW w:w="0" w:type="auto"/>
            <w:tcBorders>
              <w:top w:val="nil"/>
              <w:left w:val="nil"/>
              <w:bottom w:val="single" w:sz="4" w:space="0" w:color="auto"/>
              <w:right w:val="single" w:sz="4" w:space="0" w:color="auto"/>
            </w:tcBorders>
            <w:shd w:val="clear" w:color="000000" w:fill="FFFFFF"/>
            <w:vAlign w:val="center"/>
            <w:hideMark/>
          </w:tcPr>
          <w:p w14:paraId="25234E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68DF7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131,441,830</w:t>
            </w:r>
          </w:p>
        </w:tc>
        <w:tc>
          <w:tcPr>
            <w:tcW w:w="0" w:type="auto"/>
            <w:tcBorders>
              <w:top w:val="nil"/>
              <w:left w:val="nil"/>
              <w:bottom w:val="single" w:sz="4" w:space="0" w:color="auto"/>
              <w:right w:val="single" w:sz="4" w:space="0" w:color="auto"/>
            </w:tcBorders>
            <w:shd w:val="clear" w:color="000000" w:fill="FFFFFF"/>
            <w:noWrap/>
            <w:vAlign w:val="center"/>
            <w:hideMark/>
          </w:tcPr>
          <w:p w14:paraId="1F521E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78,865,098</w:t>
            </w:r>
          </w:p>
        </w:tc>
        <w:tc>
          <w:tcPr>
            <w:tcW w:w="0" w:type="auto"/>
            <w:tcBorders>
              <w:top w:val="nil"/>
              <w:left w:val="nil"/>
              <w:bottom w:val="single" w:sz="4" w:space="0" w:color="auto"/>
              <w:right w:val="single" w:sz="4" w:space="0" w:color="auto"/>
            </w:tcBorders>
            <w:shd w:val="clear" w:color="000000" w:fill="FFFFFF"/>
            <w:noWrap/>
            <w:vAlign w:val="center"/>
            <w:hideMark/>
          </w:tcPr>
          <w:p w14:paraId="2C6031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160A5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78,865,098</w:t>
            </w:r>
          </w:p>
        </w:tc>
        <w:tc>
          <w:tcPr>
            <w:tcW w:w="0" w:type="auto"/>
            <w:tcBorders>
              <w:top w:val="nil"/>
              <w:left w:val="nil"/>
              <w:bottom w:val="single" w:sz="4" w:space="0" w:color="auto"/>
              <w:right w:val="single" w:sz="4" w:space="0" w:color="auto"/>
            </w:tcBorders>
            <w:shd w:val="clear" w:color="000000" w:fill="FFFFFF"/>
            <w:noWrap/>
            <w:vAlign w:val="center"/>
            <w:hideMark/>
          </w:tcPr>
          <w:p w14:paraId="73BFE5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52,576,732</w:t>
            </w:r>
          </w:p>
        </w:tc>
        <w:tc>
          <w:tcPr>
            <w:tcW w:w="0" w:type="auto"/>
            <w:tcBorders>
              <w:top w:val="nil"/>
              <w:left w:val="nil"/>
              <w:bottom w:val="single" w:sz="4" w:space="0" w:color="auto"/>
              <w:right w:val="single" w:sz="4" w:space="0" w:color="auto"/>
            </w:tcBorders>
            <w:shd w:val="clear" w:color="000000" w:fill="FFFFFF"/>
            <w:noWrap/>
            <w:vAlign w:val="center"/>
            <w:hideMark/>
          </w:tcPr>
          <w:p w14:paraId="23E316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EB93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52,576,732</w:t>
            </w:r>
          </w:p>
        </w:tc>
        <w:tc>
          <w:tcPr>
            <w:tcW w:w="0" w:type="auto"/>
            <w:tcBorders>
              <w:top w:val="nil"/>
              <w:left w:val="nil"/>
              <w:bottom w:val="single" w:sz="4" w:space="0" w:color="auto"/>
              <w:right w:val="single" w:sz="4" w:space="0" w:color="auto"/>
            </w:tcBorders>
            <w:shd w:val="clear" w:color="000000" w:fill="FFFFFF"/>
            <w:vAlign w:val="center"/>
            <w:hideMark/>
          </w:tcPr>
          <w:p w14:paraId="3D8FC6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FBA2F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B7B82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71FD6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B7F75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31222B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BD24D9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2.1.3</w:t>
            </w:r>
          </w:p>
        </w:tc>
        <w:tc>
          <w:tcPr>
            <w:tcW w:w="0" w:type="auto"/>
            <w:tcBorders>
              <w:top w:val="nil"/>
              <w:left w:val="nil"/>
              <w:bottom w:val="single" w:sz="4" w:space="0" w:color="auto"/>
              <w:right w:val="single" w:sz="4" w:space="0" w:color="auto"/>
            </w:tcBorders>
            <w:shd w:val="clear" w:color="FEF3C7" w:fill="FFFFFF"/>
            <w:vAlign w:val="center"/>
            <w:hideMark/>
          </w:tcPr>
          <w:p w14:paraId="1DF6728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Rritja e bashkëpunimit ndërinstitucional dhe efikasitetit me agjencitë e ligjzbatuese, si Prokuroria e Posaçme kundër Korrupsionit dhe Krimit të Organizuar, BKH-ja dhe Prokuroritë me Juridiksion të Përgjithshëm, përmes aktiviteteve periodike të përbashkëta për çështje specifike, me qëllim operacionet e përbashkëta kundër krimit të organizuar që synojnë rritjen e zbulimit, hetimit dhe ndjekjes penale të veprave penale përfshirë përmes protokolleve të bashkëpunimit, planifikimit të koordinuar operacional, dhe trajnimeve të përbashkëta. </w:t>
            </w:r>
          </w:p>
        </w:tc>
        <w:tc>
          <w:tcPr>
            <w:tcW w:w="0" w:type="auto"/>
            <w:tcBorders>
              <w:top w:val="nil"/>
              <w:left w:val="nil"/>
              <w:bottom w:val="single" w:sz="4" w:space="0" w:color="auto"/>
              <w:right w:val="single" w:sz="4" w:space="0" w:color="auto"/>
            </w:tcBorders>
            <w:shd w:val="clear" w:color="000000" w:fill="FFFFFF"/>
            <w:vAlign w:val="center"/>
            <w:hideMark/>
          </w:tcPr>
          <w:p w14:paraId="1295012F" w14:textId="66C124AD"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95B34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3B0856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Posaçme; Byroja Kombëtare e Hetimit; Prokuroria e Përgjithshme</w:t>
            </w:r>
          </w:p>
        </w:tc>
        <w:tc>
          <w:tcPr>
            <w:tcW w:w="0" w:type="auto"/>
            <w:tcBorders>
              <w:top w:val="nil"/>
              <w:left w:val="nil"/>
              <w:bottom w:val="single" w:sz="4" w:space="0" w:color="auto"/>
              <w:right w:val="single" w:sz="4" w:space="0" w:color="auto"/>
            </w:tcBorders>
            <w:shd w:val="clear" w:color="000000" w:fill="FFFFFF"/>
            <w:vAlign w:val="center"/>
            <w:hideMark/>
          </w:tcPr>
          <w:p w14:paraId="49DF16A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E73D1E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C47E2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3CCA58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9C1FD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621C42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714277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F979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06ABF2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0D8C52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B57B5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4EE685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7C8E7F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1C717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4DEFB3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7FB8B7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C568D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85,319,247</w:t>
            </w:r>
          </w:p>
        </w:tc>
        <w:tc>
          <w:tcPr>
            <w:tcW w:w="0" w:type="auto"/>
            <w:tcBorders>
              <w:top w:val="nil"/>
              <w:left w:val="nil"/>
              <w:bottom w:val="single" w:sz="4" w:space="0" w:color="auto"/>
              <w:right w:val="single" w:sz="4" w:space="0" w:color="auto"/>
            </w:tcBorders>
            <w:shd w:val="clear" w:color="000000" w:fill="FFFFFF"/>
            <w:vAlign w:val="center"/>
            <w:hideMark/>
          </w:tcPr>
          <w:p w14:paraId="4F846A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426,596,235</w:t>
            </w:r>
          </w:p>
        </w:tc>
        <w:tc>
          <w:tcPr>
            <w:tcW w:w="0" w:type="auto"/>
            <w:tcBorders>
              <w:top w:val="nil"/>
              <w:left w:val="nil"/>
              <w:bottom w:val="single" w:sz="4" w:space="0" w:color="auto"/>
              <w:right w:val="single" w:sz="4" w:space="0" w:color="auto"/>
            </w:tcBorders>
            <w:shd w:val="clear" w:color="000000" w:fill="FFFFFF"/>
            <w:vAlign w:val="center"/>
            <w:hideMark/>
          </w:tcPr>
          <w:p w14:paraId="25F590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8A52D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426,596,235</w:t>
            </w:r>
          </w:p>
        </w:tc>
        <w:tc>
          <w:tcPr>
            <w:tcW w:w="0" w:type="auto"/>
            <w:tcBorders>
              <w:top w:val="nil"/>
              <w:left w:val="nil"/>
              <w:bottom w:val="single" w:sz="4" w:space="0" w:color="auto"/>
              <w:right w:val="single" w:sz="4" w:space="0" w:color="auto"/>
            </w:tcBorders>
            <w:shd w:val="clear" w:color="000000" w:fill="FFFFFF"/>
            <w:noWrap/>
            <w:vAlign w:val="center"/>
            <w:hideMark/>
          </w:tcPr>
          <w:p w14:paraId="53C4DB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255,957,741</w:t>
            </w:r>
          </w:p>
        </w:tc>
        <w:tc>
          <w:tcPr>
            <w:tcW w:w="0" w:type="auto"/>
            <w:tcBorders>
              <w:top w:val="nil"/>
              <w:left w:val="nil"/>
              <w:bottom w:val="single" w:sz="4" w:space="0" w:color="auto"/>
              <w:right w:val="single" w:sz="4" w:space="0" w:color="auto"/>
            </w:tcBorders>
            <w:shd w:val="clear" w:color="000000" w:fill="FFFFFF"/>
            <w:noWrap/>
            <w:vAlign w:val="center"/>
            <w:hideMark/>
          </w:tcPr>
          <w:p w14:paraId="422082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42A5C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255,957,741</w:t>
            </w:r>
          </w:p>
        </w:tc>
        <w:tc>
          <w:tcPr>
            <w:tcW w:w="0" w:type="auto"/>
            <w:tcBorders>
              <w:top w:val="nil"/>
              <w:left w:val="nil"/>
              <w:bottom w:val="single" w:sz="4" w:space="0" w:color="auto"/>
              <w:right w:val="single" w:sz="4" w:space="0" w:color="auto"/>
            </w:tcBorders>
            <w:shd w:val="clear" w:color="000000" w:fill="FFFFFF"/>
            <w:noWrap/>
            <w:vAlign w:val="center"/>
            <w:hideMark/>
          </w:tcPr>
          <w:p w14:paraId="182300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170,638,494</w:t>
            </w:r>
          </w:p>
        </w:tc>
        <w:tc>
          <w:tcPr>
            <w:tcW w:w="0" w:type="auto"/>
            <w:tcBorders>
              <w:top w:val="nil"/>
              <w:left w:val="nil"/>
              <w:bottom w:val="single" w:sz="4" w:space="0" w:color="auto"/>
              <w:right w:val="single" w:sz="4" w:space="0" w:color="auto"/>
            </w:tcBorders>
            <w:shd w:val="clear" w:color="000000" w:fill="FFFFFF"/>
            <w:noWrap/>
            <w:vAlign w:val="center"/>
            <w:hideMark/>
          </w:tcPr>
          <w:p w14:paraId="11C537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5DC04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170,638,494</w:t>
            </w:r>
          </w:p>
        </w:tc>
        <w:tc>
          <w:tcPr>
            <w:tcW w:w="0" w:type="auto"/>
            <w:tcBorders>
              <w:top w:val="nil"/>
              <w:left w:val="nil"/>
              <w:bottom w:val="single" w:sz="4" w:space="0" w:color="auto"/>
              <w:right w:val="single" w:sz="4" w:space="0" w:color="auto"/>
            </w:tcBorders>
            <w:shd w:val="clear" w:color="000000" w:fill="FFFFFF"/>
            <w:vAlign w:val="center"/>
            <w:hideMark/>
          </w:tcPr>
          <w:p w14:paraId="7496DC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8965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40F0BB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0426D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F5ECE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E6A416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7D9A722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2.1.4</w:t>
            </w:r>
          </w:p>
        </w:tc>
        <w:tc>
          <w:tcPr>
            <w:tcW w:w="0" w:type="auto"/>
            <w:tcBorders>
              <w:top w:val="nil"/>
              <w:left w:val="nil"/>
              <w:bottom w:val="single" w:sz="4" w:space="0" w:color="auto"/>
              <w:right w:val="single" w:sz="4" w:space="0" w:color="auto"/>
            </w:tcBorders>
            <w:shd w:val="clear" w:color="F1F5F9" w:fill="FFFFFF"/>
            <w:vAlign w:val="center"/>
            <w:hideMark/>
          </w:tcPr>
          <w:p w14:paraId="2919C983" w14:textId="13A03671"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hetimeve proaktive të veprave penale në fushën e narkotikëve me qëllim</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parandalimin dhe goditjen e aktiviteteve kriminale, përfshirë përmes nisjes së çështjeve të bazuara në inteligjencë, zbatimit të teknikave proaktive të hetimit special dhe prioritizimit të hetimeve që synojnë organizatorët, lehtësuesit, logjistikën dhe të ardhurat nga krimi.</w:t>
            </w:r>
          </w:p>
        </w:tc>
        <w:tc>
          <w:tcPr>
            <w:tcW w:w="0" w:type="auto"/>
            <w:tcBorders>
              <w:top w:val="nil"/>
              <w:left w:val="nil"/>
              <w:bottom w:val="single" w:sz="4" w:space="0" w:color="auto"/>
              <w:right w:val="single" w:sz="4" w:space="0" w:color="auto"/>
            </w:tcBorders>
            <w:shd w:val="clear" w:color="000000" w:fill="FFFFFF"/>
            <w:vAlign w:val="center"/>
            <w:hideMark/>
          </w:tcPr>
          <w:p w14:paraId="5D5478EF" w14:textId="5B787C7F"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B05A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648F3C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w:t>
            </w:r>
          </w:p>
        </w:tc>
        <w:tc>
          <w:tcPr>
            <w:tcW w:w="0" w:type="auto"/>
            <w:tcBorders>
              <w:top w:val="nil"/>
              <w:left w:val="nil"/>
              <w:bottom w:val="single" w:sz="4" w:space="0" w:color="auto"/>
              <w:right w:val="single" w:sz="4" w:space="0" w:color="auto"/>
            </w:tcBorders>
            <w:shd w:val="clear" w:color="000000" w:fill="FFFFFF"/>
            <w:vAlign w:val="center"/>
            <w:hideMark/>
          </w:tcPr>
          <w:p w14:paraId="660459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4FE9499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3B980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3E77E3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611C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608095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40007A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759D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5421E9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340888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5B3A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34E5B1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6AE766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A4F61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625079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444F48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A20F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93,287,232</w:t>
            </w:r>
          </w:p>
        </w:tc>
        <w:tc>
          <w:tcPr>
            <w:tcW w:w="0" w:type="auto"/>
            <w:tcBorders>
              <w:top w:val="nil"/>
              <w:left w:val="nil"/>
              <w:bottom w:val="single" w:sz="4" w:space="0" w:color="auto"/>
              <w:right w:val="single" w:sz="4" w:space="0" w:color="auto"/>
            </w:tcBorders>
            <w:shd w:val="clear" w:color="000000" w:fill="FFFFFF"/>
            <w:vAlign w:val="center"/>
            <w:hideMark/>
          </w:tcPr>
          <w:p w14:paraId="5448A2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466,436,160</w:t>
            </w:r>
          </w:p>
        </w:tc>
        <w:tc>
          <w:tcPr>
            <w:tcW w:w="0" w:type="auto"/>
            <w:tcBorders>
              <w:top w:val="nil"/>
              <w:left w:val="nil"/>
              <w:bottom w:val="single" w:sz="4" w:space="0" w:color="auto"/>
              <w:right w:val="single" w:sz="4" w:space="0" w:color="auto"/>
            </w:tcBorders>
            <w:shd w:val="clear" w:color="000000" w:fill="FFFFFF"/>
            <w:vAlign w:val="center"/>
            <w:hideMark/>
          </w:tcPr>
          <w:p w14:paraId="017BC3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41075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466,436,160</w:t>
            </w:r>
          </w:p>
        </w:tc>
        <w:tc>
          <w:tcPr>
            <w:tcW w:w="0" w:type="auto"/>
            <w:tcBorders>
              <w:top w:val="nil"/>
              <w:left w:val="nil"/>
              <w:bottom w:val="single" w:sz="4" w:space="0" w:color="auto"/>
              <w:right w:val="single" w:sz="4" w:space="0" w:color="auto"/>
            </w:tcBorders>
            <w:shd w:val="clear" w:color="000000" w:fill="FFFFFF"/>
            <w:noWrap/>
            <w:vAlign w:val="center"/>
            <w:hideMark/>
          </w:tcPr>
          <w:p w14:paraId="06732C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279,861,696</w:t>
            </w:r>
          </w:p>
        </w:tc>
        <w:tc>
          <w:tcPr>
            <w:tcW w:w="0" w:type="auto"/>
            <w:tcBorders>
              <w:top w:val="nil"/>
              <w:left w:val="nil"/>
              <w:bottom w:val="single" w:sz="4" w:space="0" w:color="auto"/>
              <w:right w:val="single" w:sz="4" w:space="0" w:color="auto"/>
            </w:tcBorders>
            <w:shd w:val="clear" w:color="000000" w:fill="FFFFFF"/>
            <w:noWrap/>
            <w:vAlign w:val="center"/>
            <w:hideMark/>
          </w:tcPr>
          <w:p w14:paraId="0B7F2D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8F90A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279,861,696</w:t>
            </w:r>
          </w:p>
        </w:tc>
        <w:tc>
          <w:tcPr>
            <w:tcW w:w="0" w:type="auto"/>
            <w:tcBorders>
              <w:top w:val="nil"/>
              <w:left w:val="nil"/>
              <w:bottom w:val="single" w:sz="4" w:space="0" w:color="auto"/>
              <w:right w:val="single" w:sz="4" w:space="0" w:color="auto"/>
            </w:tcBorders>
            <w:shd w:val="clear" w:color="000000" w:fill="FFFFFF"/>
            <w:noWrap/>
            <w:vAlign w:val="center"/>
            <w:hideMark/>
          </w:tcPr>
          <w:p w14:paraId="7518D6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186,574,464</w:t>
            </w:r>
          </w:p>
        </w:tc>
        <w:tc>
          <w:tcPr>
            <w:tcW w:w="0" w:type="auto"/>
            <w:tcBorders>
              <w:top w:val="nil"/>
              <w:left w:val="nil"/>
              <w:bottom w:val="single" w:sz="4" w:space="0" w:color="auto"/>
              <w:right w:val="single" w:sz="4" w:space="0" w:color="auto"/>
            </w:tcBorders>
            <w:shd w:val="clear" w:color="000000" w:fill="FFFFFF"/>
            <w:noWrap/>
            <w:vAlign w:val="center"/>
            <w:hideMark/>
          </w:tcPr>
          <w:p w14:paraId="54F5E9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8FBF7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186,574,464</w:t>
            </w:r>
          </w:p>
        </w:tc>
        <w:tc>
          <w:tcPr>
            <w:tcW w:w="0" w:type="auto"/>
            <w:tcBorders>
              <w:top w:val="nil"/>
              <w:left w:val="nil"/>
              <w:bottom w:val="single" w:sz="4" w:space="0" w:color="auto"/>
              <w:right w:val="single" w:sz="4" w:space="0" w:color="auto"/>
            </w:tcBorders>
            <w:shd w:val="clear" w:color="000000" w:fill="FFFFFF"/>
            <w:vAlign w:val="center"/>
            <w:hideMark/>
          </w:tcPr>
          <w:p w14:paraId="7546D2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905EE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9CD19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22257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A8AEB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086A40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BF937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2.1.5</w:t>
            </w:r>
          </w:p>
        </w:tc>
        <w:tc>
          <w:tcPr>
            <w:tcW w:w="0" w:type="auto"/>
            <w:tcBorders>
              <w:top w:val="nil"/>
              <w:left w:val="nil"/>
              <w:bottom w:val="single" w:sz="4" w:space="0" w:color="auto"/>
              <w:right w:val="single" w:sz="4" w:space="0" w:color="auto"/>
            </w:tcBorders>
            <w:shd w:val="clear" w:color="F1F5F9" w:fill="FFFFFF"/>
            <w:vAlign w:val="center"/>
            <w:hideMark/>
          </w:tcPr>
          <w:p w14:paraId="02E2CA21" w14:textId="019B6848"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Monitorimi dhe kontrolli i territorit për parandalimin</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e kultivimit të bimëve narkotike, përfshirë përmes kontrolleve të koordinuara në terren, monitorimit ajror dhe teknologjik, planifikimit të patrullave të bazuar në rrezik dhe veprimeve të reagimit të shpejtë për identifikimin, verifikimin dhe eliminimin e zonave të dyshuara të kultivimit.</w:t>
            </w:r>
          </w:p>
        </w:tc>
        <w:tc>
          <w:tcPr>
            <w:tcW w:w="0" w:type="auto"/>
            <w:tcBorders>
              <w:top w:val="nil"/>
              <w:left w:val="nil"/>
              <w:bottom w:val="single" w:sz="4" w:space="0" w:color="auto"/>
              <w:right w:val="single" w:sz="4" w:space="0" w:color="auto"/>
            </w:tcBorders>
            <w:shd w:val="clear" w:color="000000" w:fill="FFFFFF"/>
            <w:vAlign w:val="center"/>
            <w:hideMark/>
          </w:tcPr>
          <w:p w14:paraId="5170F75B" w14:textId="7AC83C30"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91604AR</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5CE2D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01BC6C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Inspektorati Kombëtar i Mbrojtjes së Territorit;Shërbimi Informativ i Shtetit;</w:t>
            </w:r>
          </w:p>
        </w:tc>
        <w:tc>
          <w:tcPr>
            <w:tcW w:w="0" w:type="auto"/>
            <w:tcBorders>
              <w:top w:val="nil"/>
              <w:left w:val="nil"/>
              <w:bottom w:val="single" w:sz="4" w:space="0" w:color="auto"/>
              <w:right w:val="single" w:sz="4" w:space="0" w:color="auto"/>
            </w:tcBorders>
            <w:shd w:val="clear" w:color="000000" w:fill="FFFFFF"/>
            <w:vAlign w:val="center"/>
            <w:hideMark/>
          </w:tcPr>
          <w:p w14:paraId="34A775B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75B43D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345C0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45F420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18D58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6693C0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4D454D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B70C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6765CC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47634F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7E225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49BDE9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15B91D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A531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5173FC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69989D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D521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26,288,366</w:t>
            </w:r>
          </w:p>
        </w:tc>
        <w:tc>
          <w:tcPr>
            <w:tcW w:w="0" w:type="auto"/>
            <w:tcBorders>
              <w:top w:val="nil"/>
              <w:left w:val="nil"/>
              <w:bottom w:val="single" w:sz="4" w:space="0" w:color="auto"/>
              <w:right w:val="single" w:sz="4" w:space="0" w:color="auto"/>
            </w:tcBorders>
            <w:shd w:val="clear" w:color="000000" w:fill="FFFFFF"/>
            <w:vAlign w:val="center"/>
            <w:hideMark/>
          </w:tcPr>
          <w:p w14:paraId="716B4F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131,441,830</w:t>
            </w:r>
          </w:p>
        </w:tc>
        <w:tc>
          <w:tcPr>
            <w:tcW w:w="0" w:type="auto"/>
            <w:tcBorders>
              <w:top w:val="nil"/>
              <w:left w:val="nil"/>
              <w:bottom w:val="single" w:sz="4" w:space="0" w:color="auto"/>
              <w:right w:val="single" w:sz="4" w:space="0" w:color="auto"/>
            </w:tcBorders>
            <w:shd w:val="clear" w:color="000000" w:fill="FFFFFF"/>
            <w:vAlign w:val="center"/>
            <w:hideMark/>
          </w:tcPr>
          <w:p w14:paraId="3CCD3B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7055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131,441,830</w:t>
            </w:r>
          </w:p>
        </w:tc>
        <w:tc>
          <w:tcPr>
            <w:tcW w:w="0" w:type="auto"/>
            <w:tcBorders>
              <w:top w:val="nil"/>
              <w:left w:val="nil"/>
              <w:bottom w:val="single" w:sz="4" w:space="0" w:color="auto"/>
              <w:right w:val="single" w:sz="4" w:space="0" w:color="auto"/>
            </w:tcBorders>
            <w:shd w:val="clear" w:color="000000" w:fill="FFFFFF"/>
            <w:noWrap/>
            <w:vAlign w:val="center"/>
            <w:hideMark/>
          </w:tcPr>
          <w:p w14:paraId="789750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78,865,098</w:t>
            </w:r>
          </w:p>
        </w:tc>
        <w:tc>
          <w:tcPr>
            <w:tcW w:w="0" w:type="auto"/>
            <w:tcBorders>
              <w:top w:val="nil"/>
              <w:left w:val="nil"/>
              <w:bottom w:val="single" w:sz="4" w:space="0" w:color="auto"/>
              <w:right w:val="single" w:sz="4" w:space="0" w:color="auto"/>
            </w:tcBorders>
            <w:shd w:val="clear" w:color="000000" w:fill="FFFFFF"/>
            <w:noWrap/>
            <w:vAlign w:val="center"/>
            <w:hideMark/>
          </w:tcPr>
          <w:p w14:paraId="5FED2C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8C42D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78,865,098</w:t>
            </w:r>
          </w:p>
        </w:tc>
        <w:tc>
          <w:tcPr>
            <w:tcW w:w="0" w:type="auto"/>
            <w:tcBorders>
              <w:top w:val="nil"/>
              <w:left w:val="nil"/>
              <w:bottom w:val="single" w:sz="4" w:space="0" w:color="auto"/>
              <w:right w:val="single" w:sz="4" w:space="0" w:color="auto"/>
            </w:tcBorders>
            <w:shd w:val="clear" w:color="000000" w:fill="FFFFFF"/>
            <w:noWrap/>
            <w:vAlign w:val="center"/>
            <w:hideMark/>
          </w:tcPr>
          <w:p w14:paraId="0913B8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52,576,732</w:t>
            </w:r>
          </w:p>
        </w:tc>
        <w:tc>
          <w:tcPr>
            <w:tcW w:w="0" w:type="auto"/>
            <w:tcBorders>
              <w:top w:val="nil"/>
              <w:left w:val="nil"/>
              <w:bottom w:val="single" w:sz="4" w:space="0" w:color="auto"/>
              <w:right w:val="single" w:sz="4" w:space="0" w:color="auto"/>
            </w:tcBorders>
            <w:shd w:val="clear" w:color="000000" w:fill="FFFFFF"/>
            <w:noWrap/>
            <w:vAlign w:val="center"/>
            <w:hideMark/>
          </w:tcPr>
          <w:p w14:paraId="5491A8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F46A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52,576,732</w:t>
            </w:r>
          </w:p>
        </w:tc>
        <w:tc>
          <w:tcPr>
            <w:tcW w:w="0" w:type="auto"/>
            <w:tcBorders>
              <w:top w:val="nil"/>
              <w:left w:val="nil"/>
              <w:bottom w:val="single" w:sz="4" w:space="0" w:color="auto"/>
              <w:right w:val="single" w:sz="4" w:space="0" w:color="auto"/>
            </w:tcBorders>
            <w:shd w:val="clear" w:color="000000" w:fill="FFFFFF"/>
            <w:vAlign w:val="center"/>
            <w:hideMark/>
          </w:tcPr>
          <w:p w14:paraId="25B00A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D8A57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530D3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2E26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58AFF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3F7726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FA631F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2.1.6</w:t>
            </w:r>
          </w:p>
        </w:tc>
        <w:tc>
          <w:tcPr>
            <w:tcW w:w="0" w:type="auto"/>
            <w:tcBorders>
              <w:top w:val="nil"/>
              <w:left w:val="nil"/>
              <w:bottom w:val="single" w:sz="4" w:space="0" w:color="auto"/>
              <w:right w:val="single" w:sz="4" w:space="0" w:color="auto"/>
            </w:tcBorders>
            <w:shd w:val="clear" w:color="F1F5F9" w:fill="FFFFFF"/>
            <w:vAlign w:val="center"/>
            <w:hideMark/>
          </w:tcPr>
          <w:p w14:paraId="05D88B5C" w14:textId="27A59231"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Forcimi i kapaciteteve dhe procedurave për shkëmbimin e informacionit mbi Sistemin e Paralajmërimit të Hershëm për </w:t>
            </w:r>
            <w:r w:rsidR="00822D6F" w:rsidRPr="002128A6">
              <w:rPr>
                <w:rFonts w:ascii="Garamond" w:eastAsia="Times New Roman" w:hAnsi="Garamond" w:cs="Times New Roman"/>
                <w:kern w:val="0"/>
                <w:sz w:val="4"/>
                <w:szCs w:val="8"/>
                <w14:ligatures w14:val="none"/>
              </w:rPr>
              <w:t>lëndët</w:t>
            </w:r>
            <w:r w:rsidRPr="002128A6">
              <w:rPr>
                <w:rFonts w:ascii="Garamond" w:eastAsia="Times New Roman" w:hAnsi="Garamond" w:cs="Times New Roman"/>
                <w:kern w:val="0"/>
                <w:sz w:val="4"/>
                <w:szCs w:val="8"/>
                <w14:ligatures w14:val="none"/>
              </w:rPr>
              <w:t xml:space="preserve"> e reja psikotrope (NPS), me qëllim rritjen e koordinimit institucional dhe efikasitetit në identifikimin dhe përgjigjen ndaj NPS, përfshirë përmes rrugëve të qarta të raportimit, bashkëpunimit laboratorik dhe flukseve të strukturuara të informacionit me partnerët përkatës kombëtarë dhe ndërkombëtarë.</w:t>
            </w:r>
          </w:p>
        </w:tc>
        <w:tc>
          <w:tcPr>
            <w:tcW w:w="0" w:type="auto"/>
            <w:tcBorders>
              <w:top w:val="nil"/>
              <w:left w:val="nil"/>
              <w:bottom w:val="single" w:sz="4" w:space="0" w:color="auto"/>
              <w:right w:val="single" w:sz="4" w:space="0" w:color="auto"/>
            </w:tcBorders>
            <w:shd w:val="clear" w:color="000000" w:fill="FFFFFF"/>
            <w:vAlign w:val="center"/>
            <w:hideMark/>
          </w:tcPr>
          <w:p w14:paraId="5F66F0BB" w14:textId="6DE009F2"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91301AA; 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B2E2B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Policia e Shtetit </w:t>
            </w:r>
          </w:p>
        </w:tc>
        <w:tc>
          <w:tcPr>
            <w:tcW w:w="0" w:type="auto"/>
            <w:tcBorders>
              <w:top w:val="nil"/>
              <w:left w:val="nil"/>
              <w:bottom w:val="single" w:sz="4" w:space="0" w:color="auto"/>
              <w:right w:val="single" w:sz="4" w:space="0" w:color="auto"/>
            </w:tcBorders>
            <w:shd w:val="clear" w:color="000000" w:fill="FFFFFF"/>
            <w:vAlign w:val="center"/>
            <w:hideMark/>
          </w:tcPr>
          <w:p w14:paraId="054780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Drejtoria e Përgjithshme e Doganave; ISHP; AKBPM; Observatori Kombëtar për Drogat; ZSKD; AKPB;MSHMS; QSUT; AKKC; Ministria e Punëve të Brendshme; Sistemi i Paralajmërimit të Hershëm/PSH; Ministria e Drejtësisë, Ministria e Financave, Ministria për Evropën dhe Punët e Jashtme; Ministria e Arsimit; Ministria e Bujqësisë dhe Zhvillimit Rural; Ministria e Mjedist; Prokuroria e Përgjithshme; Shërbimi Informativ i Shtetit; Organizatat joqeveritare që veprojnë në fushën e drogave dhe shëndetit publik; EUDA; </w:t>
            </w:r>
          </w:p>
        </w:tc>
        <w:tc>
          <w:tcPr>
            <w:tcW w:w="0" w:type="auto"/>
            <w:tcBorders>
              <w:top w:val="nil"/>
              <w:left w:val="nil"/>
              <w:bottom w:val="single" w:sz="4" w:space="0" w:color="auto"/>
              <w:right w:val="single" w:sz="4" w:space="0" w:color="auto"/>
            </w:tcBorders>
            <w:shd w:val="clear" w:color="000000" w:fill="FFFFFF"/>
            <w:vAlign w:val="center"/>
            <w:hideMark/>
          </w:tcPr>
          <w:p w14:paraId="232328E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2027</w:t>
            </w:r>
          </w:p>
        </w:tc>
        <w:tc>
          <w:tcPr>
            <w:tcW w:w="0" w:type="auto"/>
            <w:tcBorders>
              <w:top w:val="nil"/>
              <w:left w:val="nil"/>
              <w:bottom w:val="single" w:sz="4" w:space="0" w:color="auto"/>
              <w:right w:val="single" w:sz="4" w:space="0" w:color="auto"/>
            </w:tcBorders>
            <w:shd w:val="clear" w:color="000000" w:fill="FFFFFF"/>
            <w:vAlign w:val="center"/>
            <w:hideMark/>
          </w:tcPr>
          <w:p w14:paraId="16E425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97F1F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2CF6AA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FF2B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113D80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7F6BE1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A920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3B4759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3B3A74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C8EB1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193D8C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694483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699D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62BCF8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0691D7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3F840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4,657,225</w:t>
            </w:r>
          </w:p>
        </w:tc>
        <w:tc>
          <w:tcPr>
            <w:tcW w:w="0" w:type="auto"/>
            <w:tcBorders>
              <w:top w:val="nil"/>
              <w:left w:val="nil"/>
              <w:bottom w:val="single" w:sz="4" w:space="0" w:color="auto"/>
              <w:right w:val="single" w:sz="4" w:space="0" w:color="auto"/>
            </w:tcBorders>
            <w:shd w:val="clear" w:color="000000" w:fill="FFFFFF"/>
            <w:vAlign w:val="center"/>
            <w:hideMark/>
          </w:tcPr>
          <w:p w14:paraId="05E24F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23,286,125</w:t>
            </w:r>
          </w:p>
        </w:tc>
        <w:tc>
          <w:tcPr>
            <w:tcW w:w="0" w:type="auto"/>
            <w:tcBorders>
              <w:top w:val="nil"/>
              <w:left w:val="nil"/>
              <w:bottom w:val="single" w:sz="4" w:space="0" w:color="auto"/>
              <w:right w:val="single" w:sz="4" w:space="0" w:color="auto"/>
            </w:tcBorders>
            <w:shd w:val="clear" w:color="000000" w:fill="FFFFFF"/>
            <w:vAlign w:val="center"/>
            <w:hideMark/>
          </w:tcPr>
          <w:p w14:paraId="56054C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48C6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23,286,125</w:t>
            </w:r>
          </w:p>
        </w:tc>
        <w:tc>
          <w:tcPr>
            <w:tcW w:w="0" w:type="auto"/>
            <w:tcBorders>
              <w:top w:val="nil"/>
              <w:left w:val="nil"/>
              <w:bottom w:val="single" w:sz="4" w:space="0" w:color="auto"/>
              <w:right w:val="single" w:sz="4" w:space="0" w:color="auto"/>
            </w:tcBorders>
            <w:shd w:val="clear" w:color="000000" w:fill="FFFFFF"/>
            <w:noWrap/>
            <w:vAlign w:val="center"/>
            <w:hideMark/>
          </w:tcPr>
          <w:p w14:paraId="16F4CA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13,971,675</w:t>
            </w:r>
          </w:p>
        </w:tc>
        <w:tc>
          <w:tcPr>
            <w:tcW w:w="0" w:type="auto"/>
            <w:tcBorders>
              <w:top w:val="nil"/>
              <w:left w:val="nil"/>
              <w:bottom w:val="single" w:sz="4" w:space="0" w:color="auto"/>
              <w:right w:val="single" w:sz="4" w:space="0" w:color="auto"/>
            </w:tcBorders>
            <w:shd w:val="clear" w:color="000000" w:fill="FFFFFF"/>
            <w:noWrap/>
            <w:vAlign w:val="center"/>
            <w:hideMark/>
          </w:tcPr>
          <w:p w14:paraId="480ACB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11B9C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13,971,675</w:t>
            </w:r>
          </w:p>
        </w:tc>
        <w:tc>
          <w:tcPr>
            <w:tcW w:w="0" w:type="auto"/>
            <w:tcBorders>
              <w:top w:val="nil"/>
              <w:left w:val="nil"/>
              <w:bottom w:val="single" w:sz="4" w:space="0" w:color="auto"/>
              <w:right w:val="single" w:sz="4" w:space="0" w:color="auto"/>
            </w:tcBorders>
            <w:shd w:val="clear" w:color="000000" w:fill="FFFFFF"/>
            <w:noWrap/>
            <w:vAlign w:val="center"/>
            <w:hideMark/>
          </w:tcPr>
          <w:p w14:paraId="7B5141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9,314,450</w:t>
            </w:r>
          </w:p>
        </w:tc>
        <w:tc>
          <w:tcPr>
            <w:tcW w:w="0" w:type="auto"/>
            <w:tcBorders>
              <w:top w:val="nil"/>
              <w:left w:val="nil"/>
              <w:bottom w:val="single" w:sz="4" w:space="0" w:color="auto"/>
              <w:right w:val="single" w:sz="4" w:space="0" w:color="auto"/>
            </w:tcBorders>
            <w:shd w:val="clear" w:color="000000" w:fill="FFFFFF"/>
            <w:noWrap/>
            <w:vAlign w:val="center"/>
            <w:hideMark/>
          </w:tcPr>
          <w:p w14:paraId="774BF1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850E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9,314,450</w:t>
            </w:r>
          </w:p>
        </w:tc>
        <w:tc>
          <w:tcPr>
            <w:tcW w:w="0" w:type="auto"/>
            <w:tcBorders>
              <w:top w:val="nil"/>
              <w:left w:val="nil"/>
              <w:bottom w:val="single" w:sz="4" w:space="0" w:color="auto"/>
              <w:right w:val="single" w:sz="4" w:space="0" w:color="auto"/>
            </w:tcBorders>
            <w:shd w:val="clear" w:color="000000" w:fill="FFFFFF"/>
            <w:vAlign w:val="center"/>
            <w:hideMark/>
          </w:tcPr>
          <w:p w14:paraId="06905C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2A7B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7D1F6A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CF16F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54285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24F8BF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17A4F2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2.1.7</w:t>
            </w:r>
          </w:p>
        </w:tc>
        <w:tc>
          <w:tcPr>
            <w:tcW w:w="0" w:type="auto"/>
            <w:tcBorders>
              <w:top w:val="nil"/>
              <w:left w:val="nil"/>
              <w:bottom w:val="single" w:sz="4" w:space="0" w:color="auto"/>
              <w:right w:val="single" w:sz="4" w:space="0" w:color="auto"/>
            </w:tcBorders>
            <w:shd w:val="clear" w:color="F1F5F9" w:fill="FFFFFF"/>
            <w:vAlign w:val="center"/>
            <w:hideMark/>
          </w:tcPr>
          <w:p w14:paraId="4C3BF4F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kapaciteteve teknologjike për shkatërrimin e sigurt dhe mjedisor neutral të substancave narkotike dhe psikotrope, përfshirë përmes përmirësimit të infrastrukturës dhe pajisjeve përkatëse, zbatimit të standardeve të sigurisë dhe mjedisit dhe sigurimit të procedurave të gjurmueshme për ruajtjen, transportin dhe shkatërrimin.</w:t>
            </w:r>
          </w:p>
        </w:tc>
        <w:tc>
          <w:tcPr>
            <w:tcW w:w="0" w:type="auto"/>
            <w:tcBorders>
              <w:top w:val="nil"/>
              <w:left w:val="nil"/>
              <w:bottom w:val="single" w:sz="4" w:space="0" w:color="auto"/>
              <w:right w:val="single" w:sz="4" w:space="0" w:color="auto"/>
            </w:tcBorders>
            <w:shd w:val="clear" w:color="000000" w:fill="FFFFFF"/>
            <w:vAlign w:val="center"/>
            <w:hideMark/>
          </w:tcPr>
          <w:p w14:paraId="3330B6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90604AR</w:t>
            </w:r>
          </w:p>
        </w:tc>
        <w:tc>
          <w:tcPr>
            <w:tcW w:w="0" w:type="auto"/>
            <w:tcBorders>
              <w:top w:val="nil"/>
              <w:left w:val="nil"/>
              <w:bottom w:val="single" w:sz="4" w:space="0" w:color="auto"/>
              <w:right w:val="single" w:sz="4" w:space="0" w:color="auto"/>
            </w:tcBorders>
            <w:shd w:val="clear" w:color="000000" w:fill="FFFFFF"/>
            <w:vAlign w:val="center"/>
            <w:hideMark/>
          </w:tcPr>
          <w:p w14:paraId="6EE7F8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Policia e Shtetit </w:t>
            </w:r>
          </w:p>
        </w:tc>
        <w:tc>
          <w:tcPr>
            <w:tcW w:w="0" w:type="auto"/>
            <w:tcBorders>
              <w:top w:val="nil"/>
              <w:left w:val="nil"/>
              <w:bottom w:val="single" w:sz="4" w:space="0" w:color="auto"/>
              <w:right w:val="single" w:sz="4" w:space="0" w:color="auto"/>
            </w:tcBorders>
            <w:shd w:val="clear" w:color="000000" w:fill="FFFFFF"/>
            <w:vAlign w:val="center"/>
            <w:hideMark/>
          </w:tcPr>
          <w:p w14:paraId="544366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8BAF89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7DFADE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B1EF9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4E524B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14C2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25787C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1A5AAB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3604B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402C9A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0A1CCF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E4343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457186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2F4FF7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9DF3E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746C0E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7085A7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65F7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2,847,554</w:t>
            </w:r>
          </w:p>
        </w:tc>
        <w:tc>
          <w:tcPr>
            <w:tcW w:w="0" w:type="auto"/>
            <w:tcBorders>
              <w:top w:val="nil"/>
              <w:left w:val="nil"/>
              <w:bottom w:val="single" w:sz="4" w:space="0" w:color="auto"/>
              <w:right w:val="single" w:sz="4" w:space="0" w:color="auto"/>
            </w:tcBorders>
            <w:shd w:val="clear" w:color="000000" w:fill="FFFFFF"/>
            <w:vAlign w:val="center"/>
            <w:hideMark/>
          </w:tcPr>
          <w:p w14:paraId="2CDDBD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14,237,770</w:t>
            </w:r>
          </w:p>
        </w:tc>
        <w:tc>
          <w:tcPr>
            <w:tcW w:w="0" w:type="auto"/>
            <w:tcBorders>
              <w:top w:val="nil"/>
              <w:left w:val="nil"/>
              <w:bottom w:val="single" w:sz="4" w:space="0" w:color="auto"/>
              <w:right w:val="single" w:sz="4" w:space="0" w:color="auto"/>
            </w:tcBorders>
            <w:shd w:val="clear" w:color="000000" w:fill="FFFFFF"/>
            <w:vAlign w:val="center"/>
            <w:hideMark/>
          </w:tcPr>
          <w:p w14:paraId="51C2F3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FE01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14,237,770</w:t>
            </w:r>
          </w:p>
        </w:tc>
        <w:tc>
          <w:tcPr>
            <w:tcW w:w="0" w:type="auto"/>
            <w:tcBorders>
              <w:top w:val="nil"/>
              <w:left w:val="nil"/>
              <w:bottom w:val="single" w:sz="4" w:space="0" w:color="auto"/>
              <w:right w:val="single" w:sz="4" w:space="0" w:color="auto"/>
            </w:tcBorders>
            <w:shd w:val="clear" w:color="000000" w:fill="FFFFFF"/>
            <w:noWrap/>
            <w:vAlign w:val="center"/>
            <w:hideMark/>
          </w:tcPr>
          <w:p w14:paraId="3187EF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8,542,662</w:t>
            </w:r>
          </w:p>
        </w:tc>
        <w:tc>
          <w:tcPr>
            <w:tcW w:w="0" w:type="auto"/>
            <w:tcBorders>
              <w:top w:val="nil"/>
              <w:left w:val="nil"/>
              <w:bottom w:val="single" w:sz="4" w:space="0" w:color="auto"/>
              <w:right w:val="single" w:sz="4" w:space="0" w:color="auto"/>
            </w:tcBorders>
            <w:shd w:val="clear" w:color="000000" w:fill="FFFFFF"/>
            <w:noWrap/>
            <w:vAlign w:val="center"/>
            <w:hideMark/>
          </w:tcPr>
          <w:p w14:paraId="470D5E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6E770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8,542,662</w:t>
            </w:r>
          </w:p>
        </w:tc>
        <w:tc>
          <w:tcPr>
            <w:tcW w:w="0" w:type="auto"/>
            <w:tcBorders>
              <w:top w:val="nil"/>
              <w:left w:val="nil"/>
              <w:bottom w:val="single" w:sz="4" w:space="0" w:color="auto"/>
              <w:right w:val="single" w:sz="4" w:space="0" w:color="auto"/>
            </w:tcBorders>
            <w:shd w:val="clear" w:color="000000" w:fill="FFFFFF"/>
            <w:noWrap/>
            <w:vAlign w:val="center"/>
            <w:hideMark/>
          </w:tcPr>
          <w:p w14:paraId="57DBCD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5,695,108</w:t>
            </w:r>
          </w:p>
        </w:tc>
        <w:tc>
          <w:tcPr>
            <w:tcW w:w="0" w:type="auto"/>
            <w:tcBorders>
              <w:top w:val="nil"/>
              <w:left w:val="nil"/>
              <w:bottom w:val="single" w:sz="4" w:space="0" w:color="auto"/>
              <w:right w:val="single" w:sz="4" w:space="0" w:color="auto"/>
            </w:tcBorders>
            <w:shd w:val="clear" w:color="000000" w:fill="FFFFFF"/>
            <w:noWrap/>
            <w:vAlign w:val="center"/>
            <w:hideMark/>
          </w:tcPr>
          <w:p w14:paraId="2669BF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1F078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5,695,108</w:t>
            </w:r>
          </w:p>
        </w:tc>
        <w:tc>
          <w:tcPr>
            <w:tcW w:w="0" w:type="auto"/>
            <w:tcBorders>
              <w:top w:val="nil"/>
              <w:left w:val="nil"/>
              <w:bottom w:val="single" w:sz="4" w:space="0" w:color="auto"/>
              <w:right w:val="single" w:sz="4" w:space="0" w:color="auto"/>
            </w:tcBorders>
            <w:shd w:val="clear" w:color="000000" w:fill="FFFFFF"/>
            <w:vAlign w:val="center"/>
            <w:hideMark/>
          </w:tcPr>
          <w:p w14:paraId="4154AC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879BC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15109D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CF262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9AF39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ED05C1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423E052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2.1.8</w:t>
            </w:r>
          </w:p>
        </w:tc>
        <w:tc>
          <w:tcPr>
            <w:tcW w:w="0" w:type="auto"/>
            <w:tcBorders>
              <w:top w:val="nil"/>
              <w:left w:val="nil"/>
              <w:bottom w:val="single" w:sz="4" w:space="0" w:color="auto"/>
              <w:right w:val="single" w:sz="4" w:space="0" w:color="auto"/>
            </w:tcBorders>
            <w:shd w:val="clear" w:color="auto" w:fill="auto"/>
            <w:vAlign w:val="center"/>
            <w:hideMark/>
          </w:tcPr>
          <w:p w14:paraId="6057969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Koordinimi dhe mbështetja e zbatimit të projektit “Horizon Europe - Cluster 3, Civil Security for Society”, në fushën e zbulimit, identifikimit dhe gjurmimit të shpejtë dhe novator të farave dhe bimëve të kanabisit në kufirin doganor, përfshirë përmes koordinimit ndërinstitucional, testimit operacional dhe integrimit të produkteve të projektit në praktikat e kontrollit kufitar.</w:t>
            </w:r>
          </w:p>
        </w:tc>
        <w:tc>
          <w:tcPr>
            <w:tcW w:w="0" w:type="auto"/>
            <w:tcBorders>
              <w:top w:val="nil"/>
              <w:left w:val="nil"/>
              <w:bottom w:val="single" w:sz="4" w:space="0" w:color="auto"/>
              <w:right w:val="single" w:sz="4" w:space="0" w:color="auto"/>
            </w:tcBorders>
            <w:shd w:val="clear" w:color="000000" w:fill="FFFFFF"/>
            <w:vAlign w:val="center"/>
            <w:hideMark/>
          </w:tcPr>
          <w:p w14:paraId="1B39AD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0745091305AK</w:t>
            </w:r>
          </w:p>
        </w:tc>
        <w:tc>
          <w:tcPr>
            <w:tcW w:w="0" w:type="auto"/>
            <w:tcBorders>
              <w:top w:val="nil"/>
              <w:left w:val="nil"/>
              <w:bottom w:val="single" w:sz="4" w:space="0" w:color="auto"/>
              <w:right w:val="single" w:sz="4" w:space="0" w:color="auto"/>
            </w:tcBorders>
            <w:shd w:val="clear" w:color="auto" w:fill="auto"/>
            <w:vAlign w:val="center"/>
            <w:hideMark/>
          </w:tcPr>
          <w:p w14:paraId="0EBEDE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Kombëtare e Kontrollit të Cannabis-it</w:t>
            </w:r>
          </w:p>
        </w:tc>
        <w:tc>
          <w:tcPr>
            <w:tcW w:w="0" w:type="auto"/>
            <w:tcBorders>
              <w:top w:val="nil"/>
              <w:left w:val="nil"/>
              <w:bottom w:val="single" w:sz="4" w:space="0" w:color="auto"/>
              <w:right w:val="single" w:sz="4" w:space="0" w:color="auto"/>
            </w:tcBorders>
            <w:shd w:val="clear" w:color="auto" w:fill="auto"/>
            <w:vAlign w:val="center"/>
            <w:hideMark/>
          </w:tcPr>
          <w:p w14:paraId="4B66EA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Brendshme/Policia e Shtetit; Drejtoria e Përgjithshme e Doganave;</w:t>
            </w:r>
          </w:p>
        </w:tc>
        <w:tc>
          <w:tcPr>
            <w:tcW w:w="0" w:type="auto"/>
            <w:tcBorders>
              <w:top w:val="nil"/>
              <w:left w:val="nil"/>
              <w:bottom w:val="single" w:sz="4" w:space="0" w:color="auto"/>
              <w:right w:val="single" w:sz="4" w:space="0" w:color="auto"/>
            </w:tcBorders>
            <w:shd w:val="clear" w:color="auto" w:fill="auto"/>
            <w:vAlign w:val="center"/>
            <w:hideMark/>
          </w:tcPr>
          <w:p w14:paraId="464ED02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5894240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6374C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527066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0CC4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2DDC7C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7EA9FE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A8CDC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68FA04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5A87C8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20AB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4E5B81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27802C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B28B9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646394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5B37FA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9C97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44,219</w:t>
            </w:r>
          </w:p>
        </w:tc>
        <w:tc>
          <w:tcPr>
            <w:tcW w:w="0" w:type="auto"/>
            <w:tcBorders>
              <w:top w:val="nil"/>
              <w:left w:val="nil"/>
              <w:bottom w:val="single" w:sz="4" w:space="0" w:color="auto"/>
              <w:right w:val="single" w:sz="4" w:space="0" w:color="auto"/>
            </w:tcBorders>
            <w:shd w:val="clear" w:color="000000" w:fill="FFFFFF"/>
            <w:vAlign w:val="center"/>
            <w:hideMark/>
          </w:tcPr>
          <w:p w14:paraId="4B62A4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221,095</w:t>
            </w:r>
          </w:p>
        </w:tc>
        <w:tc>
          <w:tcPr>
            <w:tcW w:w="0" w:type="auto"/>
            <w:tcBorders>
              <w:top w:val="nil"/>
              <w:left w:val="nil"/>
              <w:bottom w:val="single" w:sz="4" w:space="0" w:color="auto"/>
              <w:right w:val="single" w:sz="4" w:space="0" w:color="auto"/>
            </w:tcBorders>
            <w:shd w:val="clear" w:color="000000" w:fill="FFFFFF"/>
            <w:vAlign w:val="center"/>
            <w:hideMark/>
          </w:tcPr>
          <w:p w14:paraId="225540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A936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221,095</w:t>
            </w:r>
          </w:p>
        </w:tc>
        <w:tc>
          <w:tcPr>
            <w:tcW w:w="0" w:type="auto"/>
            <w:tcBorders>
              <w:top w:val="nil"/>
              <w:left w:val="nil"/>
              <w:bottom w:val="single" w:sz="4" w:space="0" w:color="auto"/>
              <w:right w:val="single" w:sz="4" w:space="0" w:color="auto"/>
            </w:tcBorders>
            <w:shd w:val="clear" w:color="000000" w:fill="FFFFFF"/>
            <w:noWrap/>
            <w:vAlign w:val="center"/>
            <w:hideMark/>
          </w:tcPr>
          <w:p w14:paraId="6590CB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132,657</w:t>
            </w:r>
          </w:p>
        </w:tc>
        <w:tc>
          <w:tcPr>
            <w:tcW w:w="0" w:type="auto"/>
            <w:tcBorders>
              <w:top w:val="nil"/>
              <w:left w:val="nil"/>
              <w:bottom w:val="single" w:sz="4" w:space="0" w:color="auto"/>
              <w:right w:val="single" w:sz="4" w:space="0" w:color="auto"/>
            </w:tcBorders>
            <w:shd w:val="clear" w:color="000000" w:fill="FFFFFF"/>
            <w:noWrap/>
            <w:vAlign w:val="center"/>
            <w:hideMark/>
          </w:tcPr>
          <w:p w14:paraId="7ECB40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6686D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132,657</w:t>
            </w:r>
          </w:p>
        </w:tc>
        <w:tc>
          <w:tcPr>
            <w:tcW w:w="0" w:type="auto"/>
            <w:tcBorders>
              <w:top w:val="nil"/>
              <w:left w:val="nil"/>
              <w:bottom w:val="single" w:sz="4" w:space="0" w:color="auto"/>
              <w:right w:val="single" w:sz="4" w:space="0" w:color="auto"/>
            </w:tcBorders>
            <w:shd w:val="clear" w:color="000000" w:fill="FFFFFF"/>
            <w:noWrap/>
            <w:vAlign w:val="center"/>
            <w:hideMark/>
          </w:tcPr>
          <w:p w14:paraId="7F364D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88,438</w:t>
            </w:r>
          </w:p>
        </w:tc>
        <w:tc>
          <w:tcPr>
            <w:tcW w:w="0" w:type="auto"/>
            <w:tcBorders>
              <w:top w:val="nil"/>
              <w:left w:val="nil"/>
              <w:bottom w:val="single" w:sz="4" w:space="0" w:color="auto"/>
              <w:right w:val="single" w:sz="4" w:space="0" w:color="auto"/>
            </w:tcBorders>
            <w:shd w:val="clear" w:color="000000" w:fill="FFFFFF"/>
            <w:noWrap/>
            <w:vAlign w:val="center"/>
            <w:hideMark/>
          </w:tcPr>
          <w:p w14:paraId="61457E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02AE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88,438</w:t>
            </w:r>
          </w:p>
        </w:tc>
        <w:tc>
          <w:tcPr>
            <w:tcW w:w="0" w:type="auto"/>
            <w:tcBorders>
              <w:top w:val="nil"/>
              <w:left w:val="nil"/>
              <w:bottom w:val="single" w:sz="4" w:space="0" w:color="auto"/>
              <w:right w:val="single" w:sz="4" w:space="0" w:color="auto"/>
            </w:tcBorders>
            <w:shd w:val="clear" w:color="000000" w:fill="FFFFFF"/>
            <w:vAlign w:val="center"/>
            <w:hideMark/>
          </w:tcPr>
          <w:p w14:paraId="7BF485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EB571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C9996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E0DED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75ABB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7D3377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7D46CA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2.1.9</w:t>
            </w:r>
          </w:p>
        </w:tc>
        <w:tc>
          <w:tcPr>
            <w:tcW w:w="0" w:type="auto"/>
            <w:tcBorders>
              <w:top w:val="nil"/>
              <w:left w:val="nil"/>
              <w:bottom w:val="single" w:sz="4" w:space="0" w:color="auto"/>
              <w:right w:val="single" w:sz="4" w:space="0" w:color="auto"/>
            </w:tcBorders>
            <w:shd w:val="clear" w:color="000000" w:fill="FFFFFF"/>
            <w:vAlign w:val="center"/>
            <w:hideMark/>
          </w:tcPr>
          <w:p w14:paraId="0B5832E2" w14:textId="3999B622"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Ndryshimi i Ligjit nr. 8874, datë 29.3.2002 “Për kontrollin e lëndëve që përdoren për fabrikimin e paligjshëm të lëndëve narkotike dhe psikotrope”, me qëllim harmonizimin e plotë me </w:t>
            </w:r>
            <w:r w:rsidR="00822D6F" w:rsidRPr="00822D6F">
              <w:rPr>
                <w:rFonts w:ascii="Garamond" w:eastAsia="Times New Roman" w:hAnsi="Garamond" w:cs="Times New Roman"/>
                <w:i/>
                <w:iCs/>
                <w:kern w:val="0"/>
                <w:sz w:val="4"/>
                <w:szCs w:val="8"/>
                <w14:ligatures w14:val="none"/>
              </w:rPr>
              <w:t>Acquis</w:t>
            </w:r>
            <w:r w:rsidR="00822D6F"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të BE-së në këtë fushë, përfshirë harmonizimin e përkufizimeve, masave të kontrollit, përgjegjësive të mbikëqyrjes dhe dispozitave sanksionuese.</w:t>
            </w:r>
          </w:p>
        </w:tc>
        <w:tc>
          <w:tcPr>
            <w:tcW w:w="0" w:type="auto"/>
            <w:tcBorders>
              <w:top w:val="nil"/>
              <w:left w:val="nil"/>
              <w:bottom w:val="single" w:sz="4" w:space="0" w:color="auto"/>
              <w:right w:val="single" w:sz="4" w:space="0" w:color="auto"/>
            </w:tcBorders>
            <w:shd w:val="clear" w:color="000000" w:fill="FFFFFF"/>
            <w:vAlign w:val="center"/>
            <w:hideMark/>
          </w:tcPr>
          <w:p w14:paraId="51A4CC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91301AA</w:t>
            </w:r>
          </w:p>
        </w:tc>
        <w:tc>
          <w:tcPr>
            <w:tcW w:w="0" w:type="auto"/>
            <w:tcBorders>
              <w:top w:val="nil"/>
              <w:left w:val="nil"/>
              <w:bottom w:val="single" w:sz="4" w:space="0" w:color="auto"/>
              <w:right w:val="single" w:sz="4" w:space="0" w:color="auto"/>
            </w:tcBorders>
            <w:shd w:val="clear" w:color="auto" w:fill="auto"/>
            <w:vAlign w:val="center"/>
            <w:hideMark/>
          </w:tcPr>
          <w:p w14:paraId="3A3831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Shëndetësisë dhe Mirëqenies Sociale</w:t>
            </w:r>
          </w:p>
        </w:tc>
        <w:tc>
          <w:tcPr>
            <w:tcW w:w="0" w:type="auto"/>
            <w:tcBorders>
              <w:top w:val="nil"/>
              <w:left w:val="nil"/>
              <w:bottom w:val="single" w:sz="4" w:space="0" w:color="auto"/>
              <w:right w:val="single" w:sz="4" w:space="0" w:color="auto"/>
            </w:tcBorders>
            <w:shd w:val="clear" w:color="000000" w:fill="FFFFFF"/>
            <w:vAlign w:val="center"/>
            <w:hideMark/>
          </w:tcPr>
          <w:p w14:paraId="18DD81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Brendshme/Policia e Shtetit; Prokuroria e Përgjithshme</w:t>
            </w:r>
          </w:p>
        </w:tc>
        <w:tc>
          <w:tcPr>
            <w:tcW w:w="0" w:type="auto"/>
            <w:tcBorders>
              <w:top w:val="nil"/>
              <w:left w:val="nil"/>
              <w:bottom w:val="single" w:sz="4" w:space="0" w:color="auto"/>
              <w:right w:val="single" w:sz="4" w:space="0" w:color="auto"/>
            </w:tcBorders>
            <w:shd w:val="clear" w:color="000000" w:fill="FFFFFF"/>
            <w:vAlign w:val="center"/>
            <w:hideMark/>
          </w:tcPr>
          <w:p w14:paraId="04CDC24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4A3EB1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F7E0F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1,950,000</w:t>
            </w:r>
          </w:p>
        </w:tc>
        <w:tc>
          <w:tcPr>
            <w:tcW w:w="0" w:type="auto"/>
            <w:tcBorders>
              <w:top w:val="nil"/>
              <w:left w:val="nil"/>
              <w:bottom w:val="single" w:sz="4" w:space="0" w:color="auto"/>
              <w:right w:val="single" w:sz="4" w:space="0" w:color="auto"/>
            </w:tcBorders>
            <w:shd w:val="clear" w:color="000000" w:fill="FFFFFF"/>
            <w:vAlign w:val="center"/>
            <w:hideMark/>
          </w:tcPr>
          <w:p w14:paraId="221F7B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CDE84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1,950,000</w:t>
            </w:r>
          </w:p>
        </w:tc>
        <w:tc>
          <w:tcPr>
            <w:tcW w:w="0" w:type="auto"/>
            <w:tcBorders>
              <w:top w:val="nil"/>
              <w:left w:val="nil"/>
              <w:bottom w:val="single" w:sz="4" w:space="0" w:color="auto"/>
              <w:right w:val="single" w:sz="4" w:space="0" w:color="auto"/>
            </w:tcBorders>
            <w:shd w:val="clear" w:color="000000" w:fill="FFFFFF"/>
            <w:vAlign w:val="center"/>
            <w:hideMark/>
          </w:tcPr>
          <w:p w14:paraId="6F95BD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E9624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10E2D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7EFAD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0DE96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3353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A2670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FB4DA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1ECC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0A248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CB40F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B1E2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D4B29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1,950,000</w:t>
            </w:r>
          </w:p>
        </w:tc>
        <w:tc>
          <w:tcPr>
            <w:tcW w:w="0" w:type="auto"/>
            <w:tcBorders>
              <w:top w:val="nil"/>
              <w:left w:val="nil"/>
              <w:bottom w:val="single" w:sz="4" w:space="0" w:color="auto"/>
              <w:right w:val="single" w:sz="4" w:space="0" w:color="auto"/>
            </w:tcBorders>
            <w:shd w:val="clear" w:color="000000" w:fill="FFFFFF"/>
            <w:vAlign w:val="center"/>
            <w:hideMark/>
          </w:tcPr>
          <w:p w14:paraId="078808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8C3DD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1,950,000</w:t>
            </w:r>
          </w:p>
        </w:tc>
        <w:tc>
          <w:tcPr>
            <w:tcW w:w="0" w:type="auto"/>
            <w:tcBorders>
              <w:top w:val="nil"/>
              <w:left w:val="nil"/>
              <w:bottom w:val="single" w:sz="4" w:space="0" w:color="auto"/>
              <w:right w:val="single" w:sz="4" w:space="0" w:color="auto"/>
            </w:tcBorders>
            <w:shd w:val="clear" w:color="000000" w:fill="FFFFFF"/>
            <w:noWrap/>
            <w:vAlign w:val="center"/>
            <w:hideMark/>
          </w:tcPr>
          <w:p w14:paraId="5D1842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1,950,000</w:t>
            </w:r>
          </w:p>
        </w:tc>
        <w:tc>
          <w:tcPr>
            <w:tcW w:w="0" w:type="auto"/>
            <w:tcBorders>
              <w:top w:val="nil"/>
              <w:left w:val="nil"/>
              <w:bottom w:val="single" w:sz="4" w:space="0" w:color="auto"/>
              <w:right w:val="single" w:sz="4" w:space="0" w:color="auto"/>
            </w:tcBorders>
            <w:shd w:val="clear" w:color="000000" w:fill="FFFFFF"/>
            <w:noWrap/>
            <w:vAlign w:val="center"/>
            <w:hideMark/>
          </w:tcPr>
          <w:p w14:paraId="06CDF3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03FD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1,950,000</w:t>
            </w:r>
          </w:p>
        </w:tc>
        <w:tc>
          <w:tcPr>
            <w:tcW w:w="0" w:type="auto"/>
            <w:tcBorders>
              <w:top w:val="nil"/>
              <w:left w:val="nil"/>
              <w:bottom w:val="single" w:sz="4" w:space="0" w:color="auto"/>
              <w:right w:val="single" w:sz="4" w:space="0" w:color="auto"/>
            </w:tcBorders>
            <w:shd w:val="clear" w:color="000000" w:fill="FFFFFF"/>
            <w:noWrap/>
            <w:vAlign w:val="center"/>
            <w:hideMark/>
          </w:tcPr>
          <w:p w14:paraId="021FE1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235D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B6D7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87752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49C27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A0DB2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70388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D887A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9C228B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4825B86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2.1.10</w:t>
            </w:r>
          </w:p>
        </w:tc>
        <w:tc>
          <w:tcPr>
            <w:tcW w:w="0" w:type="auto"/>
            <w:tcBorders>
              <w:top w:val="nil"/>
              <w:left w:val="nil"/>
              <w:bottom w:val="single" w:sz="4" w:space="0" w:color="auto"/>
              <w:right w:val="single" w:sz="4" w:space="0" w:color="auto"/>
            </w:tcBorders>
            <w:shd w:val="clear" w:color="000000" w:fill="FFFFFF"/>
            <w:vAlign w:val="center"/>
            <w:hideMark/>
          </w:tcPr>
          <w:p w14:paraId="6A21372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Identifikimi dhe trajtimi i rasteve të devijimit nga sasitë e kanabisit të mbjellë, të identifikuara përmes mbikëqyrjes dhe monitorimit të zbatimit të lejeve ose licencave, përfshirë verifikimin e vendimeve për shkatërrimin e kultivimit të paautorizuar, dhe zbatimin e sanksioneve administrative dhe/ose penale, sipas rastit.</w:t>
            </w:r>
          </w:p>
        </w:tc>
        <w:tc>
          <w:tcPr>
            <w:tcW w:w="0" w:type="auto"/>
            <w:tcBorders>
              <w:top w:val="nil"/>
              <w:left w:val="nil"/>
              <w:bottom w:val="single" w:sz="4" w:space="0" w:color="auto"/>
              <w:right w:val="single" w:sz="4" w:space="0" w:color="auto"/>
            </w:tcBorders>
            <w:shd w:val="clear" w:color="000000" w:fill="FFFFFF"/>
            <w:vAlign w:val="center"/>
            <w:hideMark/>
          </w:tcPr>
          <w:p w14:paraId="174E32F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0745091305AK </w:t>
            </w:r>
          </w:p>
        </w:tc>
        <w:tc>
          <w:tcPr>
            <w:tcW w:w="0" w:type="auto"/>
            <w:tcBorders>
              <w:top w:val="nil"/>
              <w:left w:val="nil"/>
              <w:bottom w:val="single" w:sz="4" w:space="0" w:color="auto"/>
              <w:right w:val="single" w:sz="4" w:space="0" w:color="auto"/>
            </w:tcBorders>
            <w:shd w:val="clear" w:color="auto" w:fill="auto"/>
            <w:vAlign w:val="center"/>
            <w:hideMark/>
          </w:tcPr>
          <w:p w14:paraId="2E0690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Kombëtare të Kontrollit të Cannabis-it</w:t>
            </w:r>
          </w:p>
        </w:tc>
        <w:tc>
          <w:tcPr>
            <w:tcW w:w="0" w:type="auto"/>
            <w:tcBorders>
              <w:top w:val="nil"/>
              <w:left w:val="nil"/>
              <w:bottom w:val="single" w:sz="4" w:space="0" w:color="auto"/>
              <w:right w:val="single" w:sz="4" w:space="0" w:color="auto"/>
            </w:tcBorders>
            <w:shd w:val="clear" w:color="000000" w:fill="FFFFFF"/>
            <w:vAlign w:val="center"/>
            <w:hideMark/>
          </w:tcPr>
          <w:p w14:paraId="4CD571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Policia e Shtetit, Ministria e Bujqësisë dhe Zhvillimit Rural; </w:t>
            </w:r>
          </w:p>
        </w:tc>
        <w:tc>
          <w:tcPr>
            <w:tcW w:w="0" w:type="auto"/>
            <w:tcBorders>
              <w:top w:val="nil"/>
              <w:left w:val="nil"/>
              <w:bottom w:val="single" w:sz="4" w:space="0" w:color="auto"/>
              <w:right w:val="single" w:sz="4" w:space="0" w:color="auto"/>
            </w:tcBorders>
            <w:shd w:val="clear" w:color="000000" w:fill="FFFFFF"/>
            <w:vAlign w:val="center"/>
            <w:hideMark/>
          </w:tcPr>
          <w:p w14:paraId="338157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2027</w:t>
            </w:r>
          </w:p>
        </w:tc>
        <w:tc>
          <w:tcPr>
            <w:tcW w:w="0" w:type="auto"/>
            <w:tcBorders>
              <w:top w:val="nil"/>
              <w:left w:val="nil"/>
              <w:bottom w:val="single" w:sz="4" w:space="0" w:color="auto"/>
              <w:right w:val="single" w:sz="4" w:space="0" w:color="auto"/>
            </w:tcBorders>
            <w:shd w:val="clear" w:color="000000" w:fill="FFFFFF"/>
            <w:vAlign w:val="center"/>
            <w:hideMark/>
          </w:tcPr>
          <w:p w14:paraId="03FA931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EE9E4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DF2A1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02EBF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C6541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386,000</w:t>
            </w:r>
          </w:p>
        </w:tc>
        <w:tc>
          <w:tcPr>
            <w:tcW w:w="0" w:type="auto"/>
            <w:tcBorders>
              <w:top w:val="nil"/>
              <w:left w:val="nil"/>
              <w:bottom w:val="single" w:sz="4" w:space="0" w:color="auto"/>
              <w:right w:val="single" w:sz="4" w:space="0" w:color="auto"/>
            </w:tcBorders>
            <w:shd w:val="clear" w:color="000000" w:fill="FFFFFF"/>
            <w:vAlign w:val="center"/>
            <w:hideMark/>
          </w:tcPr>
          <w:p w14:paraId="438320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89CD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386,000</w:t>
            </w:r>
          </w:p>
        </w:tc>
        <w:tc>
          <w:tcPr>
            <w:tcW w:w="0" w:type="auto"/>
            <w:tcBorders>
              <w:top w:val="nil"/>
              <w:left w:val="nil"/>
              <w:bottom w:val="single" w:sz="4" w:space="0" w:color="auto"/>
              <w:right w:val="single" w:sz="4" w:space="0" w:color="auto"/>
            </w:tcBorders>
            <w:shd w:val="clear" w:color="000000" w:fill="FFFFFF"/>
            <w:vAlign w:val="center"/>
            <w:hideMark/>
          </w:tcPr>
          <w:p w14:paraId="79A2CD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386,000</w:t>
            </w:r>
          </w:p>
        </w:tc>
        <w:tc>
          <w:tcPr>
            <w:tcW w:w="0" w:type="auto"/>
            <w:tcBorders>
              <w:top w:val="nil"/>
              <w:left w:val="nil"/>
              <w:bottom w:val="single" w:sz="4" w:space="0" w:color="auto"/>
              <w:right w:val="single" w:sz="4" w:space="0" w:color="auto"/>
            </w:tcBorders>
            <w:shd w:val="clear" w:color="000000" w:fill="FFFFFF"/>
            <w:vAlign w:val="center"/>
            <w:hideMark/>
          </w:tcPr>
          <w:p w14:paraId="75C272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BC33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386,000</w:t>
            </w:r>
          </w:p>
        </w:tc>
        <w:tc>
          <w:tcPr>
            <w:tcW w:w="0" w:type="auto"/>
            <w:tcBorders>
              <w:top w:val="nil"/>
              <w:left w:val="nil"/>
              <w:bottom w:val="single" w:sz="4" w:space="0" w:color="auto"/>
              <w:right w:val="single" w:sz="4" w:space="0" w:color="auto"/>
            </w:tcBorders>
            <w:shd w:val="clear" w:color="000000" w:fill="FFFFFF"/>
            <w:vAlign w:val="center"/>
            <w:hideMark/>
          </w:tcPr>
          <w:p w14:paraId="3218C1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BDA9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0F1D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F52D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EC31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332DA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0FFEC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772,000</w:t>
            </w:r>
          </w:p>
        </w:tc>
        <w:tc>
          <w:tcPr>
            <w:tcW w:w="0" w:type="auto"/>
            <w:tcBorders>
              <w:top w:val="nil"/>
              <w:left w:val="nil"/>
              <w:bottom w:val="single" w:sz="4" w:space="0" w:color="auto"/>
              <w:right w:val="single" w:sz="4" w:space="0" w:color="auto"/>
            </w:tcBorders>
            <w:shd w:val="clear" w:color="000000" w:fill="FFFFFF"/>
            <w:vAlign w:val="center"/>
            <w:hideMark/>
          </w:tcPr>
          <w:p w14:paraId="052A16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AB9CF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772,000</w:t>
            </w:r>
          </w:p>
        </w:tc>
        <w:tc>
          <w:tcPr>
            <w:tcW w:w="0" w:type="auto"/>
            <w:tcBorders>
              <w:top w:val="nil"/>
              <w:left w:val="nil"/>
              <w:bottom w:val="single" w:sz="4" w:space="0" w:color="auto"/>
              <w:right w:val="single" w:sz="4" w:space="0" w:color="auto"/>
            </w:tcBorders>
            <w:shd w:val="clear" w:color="000000" w:fill="FFFFFF"/>
            <w:noWrap/>
            <w:vAlign w:val="center"/>
            <w:hideMark/>
          </w:tcPr>
          <w:p w14:paraId="0550B2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772,000</w:t>
            </w:r>
          </w:p>
        </w:tc>
        <w:tc>
          <w:tcPr>
            <w:tcW w:w="0" w:type="auto"/>
            <w:tcBorders>
              <w:top w:val="nil"/>
              <w:left w:val="nil"/>
              <w:bottom w:val="single" w:sz="4" w:space="0" w:color="auto"/>
              <w:right w:val="single" w:sz="4" w:space="0" w:color="auto"/>
            </w:tcBorders>
            <w:shd w:val="clear" w:color="000000" w:fill="FFFFFF"/>
            <w:noWrap/>
            <w:vAlign w:val="center"/>
            <w:hideMark/>
          </w:tcPr>
          <w:p w14:paraId="03CD5F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8E2B7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772,000</w:t>
            </w:r>
          </w:p>
        </w:tc>
        <w:tc>
          <w:tcPr>
            <w:tcW w:w="0" w:type="auto"/>
            <w:tcBorders>
              <w:top w:val="nil"/>
              <w:left w:val="nil"/>
              <w:bottom w:val="single" w:sz="4" w:space="0" w:color="auto"/>
              <w:right w:val="single" w:sz="4" w:space="0" w:color="auto"/>
            </w:tcBorders>
            <w:shd w:val="clear" w:color="000000" w:fill="FFFFFF"/>
            <w:noWrap/>
            <w:vAlign w:val="center"/>
            <w:hideMark/>
          </w:tcPr>
          <w:p w14:paraId="2CA5FD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0CD8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DC81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06785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761C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43DE63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5B65C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FF8E0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6698AB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13705E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2.1.11</w:t>
            </w:r>
          </w:p>
        </w:tc>
        <w:tc>
          <w:tcPr>
            <w:tcW w:w="0" w:type="auto"/>
            <w:tcBorders>
              <w:top w:val="nil"/>
              <w:left w:val="nil"/>
              <w:bottom w:val="single" w:sz="4" w:space="0" w:color="auto"/>
              <w:right w:val="single" w:sz="4" w:space="0" w:color="auto"/>
            </w:tcBorders>
            <w:shd w:val="clear" w:color="000000" w:fill="FFFFFF"/>
            <w:vAlign w:val="center"/>
            <w:hideMark/>
          </w:tcPr>
          <w:p w14:paraId="06EA8FC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Shkëmbimi informacionit të mbledhur sipas ligjit nr. 61/2023 me autoritetet përgjegjëse, me qëllim identifikimin e prodhimit të paligjshëm dhe trafikimit të lëndëve narkotike dhe substancave psikotrope, përfshirë pastrimin e të ardhurave nga aktivitetet e paligjshme të lidhura me lëndët narkotike, duke siguruar ndjekje operacionale të koordinuar dhe referim në kohë të rasteve përkatëse.</w:t>
            </w:r>
          </w:p>
        </w:tc>
        <w:tc>
          <w:tcPr>
            <w:tcW w:w="0" w:type="auto"/>
            <w:tcBorders>
              <w:top w:val="nil"/>
              <w:left w:val="nil"/>
              <w:bottom w:val="nil"/>
              <w:right w:val="nil"/>
            </w:tcBorders>
            <w:shd w:val="clear" w:color="000000" w:fill="FFFFFF"/>
            <w:vAlign w:val="center"/>
            <w:hideMark/>
          </w:tcPr>
          <w:p w14:paraId="6F9B118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0745091305AK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AFD07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Kombëtare të Kontrollit të Cannabis-it</w:t>
            </w:r>
          </w:p>
        </w:tc>
        <w:tc>
          <w:tcPr>
            <w:tcW w:w="0" w:type="auto"/>
            <w:tcBorders>
              <w:top w:val="nil"/>
              <w:left w:val="nil"/>
              <w:bottom w:val="single" w:sz="4" w:space="0" w:color="auto"/>
              <w:right w:val="single" w:sz="4" w:space="0" w:color="auto"/>
            </w:tcBorders>
            <w:shd w:val="clear" w:color="000000" w:fill="FFFFFF"/>
            <w:vAlign w:val="center"/>
            <w:hideMark/>
          </w:tcPr>
          <w:p w14:paraId="481737B0" w14:textId="43608F2C"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Prokuroritë e juridiksionit të përgjithshëm;</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 xml:space="preserve">Prokuroria e Posaçme/Byroja Kombëtare e Hetimit; Policia e Shtetit; </w:t>
            </w:r>
          </w:p>
        </w:tc>
        <w:tc>
          <w:tcPr>
            <w:tcW w:w="0" w:type="auto"/>
            <w:tcBorders>
              <w:top w:val="nil"/>
              <w:left w:val="nil"/>
              <w:bottom w:val="single" w:sz="4" w:space="0" w:color="auto"/>
              <w:right w:val="single" w:sz="4" w:space="0" w:color="auto"/>
            </w:tcBorders>
            <w:shd w:val="clear" w:color="000000" w:fill="FFFFFF"/>
            <w:vAlign w:val="center"/>
            <w:hideMark/>
          </w:tcPr>
          <w:p w14:paraId="3DC02CC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2027</w:t>
            </w:r>
          </w:p>
        </w:tc>
        <w:tc>
          <w:tcPr>
            <w:tcW w:w="0" w:type="auto"/>
            <w:tcBorders>
              <w:top w:val="nil"/>
              <w:left w:val="nil"/>
              <w:bottom w:val="single" w:sz="4" w:space="0" w:color="auto"/>
              <w:right w:val="single" w:sz="4" w:space="0" w:color="auto"/>
            </w:tcBorders>
            <w:shd w:val="clear" w:color="000000" w:fill="FFFFFF"/>
            <w:vAlign w:val="center"/>
            <w:hideMark/>
          </w:tcPr>
          <w:p w14:paraId="1081F5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4BFA5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74935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EA171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92FE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386,000</w:t>
            </w:r>
          </w:p>
        </w:tc>
        <w:tc>
          <w:tcPr>
            <w:tcW w:w="0" w:type="auto"/>
            <w:tcBorders>
              <w:top w:val="nil"/>
              <w:left w:val="nil"/>
              <w:bottom w:val="single" w:sz="4" w:space="0" w:color="auto"/>
              <w:right w:val="single" w:sz="4" w:space="0" w:color="auto"/>
            </w:tcBorders>
            <w:shd w:val="clear" w:color="000000" w:fill="FFFFFF"/>
            <w:vAlign w:val="center"/>
            <w:hideMark/>
          </w:tcPr>
          <w:p w14:paraId="6C308F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F0A3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386,000</w:t>
            </w:r>
          </w:p>
        </w:tc>
        <w:tc>
          <w:tcPr>
            <w:tcW w:w="0" w:type="auto"/>
            <w:tcBorders>
              <w:top w:val="nil"/>
              <w:left w:val="nil"/>
              <w:bottom w:val="single" w:sz="4" w:space="0" w:color="auto"/>
              <w:right w:val="single" w:sz="4" w:space="0" w:color="auto"/>
            </w:tcBorders>
            <w:shd w:val="clear" w:color="000000" w:fill="FFFFFF"/>
            <w:vAlign w:val="center"/>
            <w:hideMark/>
          </w:tcPr>
          <w:p w14:paraId="33CED1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386,000</w:t>
            </w:r>
          </w:p>
        </w:tc>
        <w:tc>
          <w:tcPr>
            <w:tcW w:w="0" w:type="auto"/>
            <w:tcBorders>
              <w:top w:val="nil"/>
              <w:left w:val="nil"/>
              <w:bottom w:val="single" w:sz="4" w:space="0" w:color="auto"/>
              <w:right w:val="single" w:sz="4" w:space="0" w:color="auto"/>
            </w:tcBorders>
            <w:shd w:val="clear" w:color="000000" w:fill="FFFFFF"/>
            <w:vAlign w:val="center"/>
            <w:hideMark/>
          </w:tcPr>
          <w:p w14:paraId="203FAA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8A0B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386,000</w:t>
            </w:r>
          </w:p>
        </w:tc>
        <w:tc>
          <w:tcPr>
            <w:tcW w:w="0" w:type="auto"/>
            <w:tcBorders>
              <w:top w:val="nil"/>
              <w:left w:val="nil"/>
              <w:bottom w:val="single" w:sz="4" w:space="0" w:color="auto"/>
              <w:right w:val="single" w:sz="4" w:space="0" w:color="auto"/>
            </w:tcBorders>
            <w:shd w:val="clear" w:color="000000" w:fill="FFFFFF"/>
            <w:vAlign w:val="center"/>
            <w:hideMark/>
          </w:tcPr>
          <w:p w14:paraId="5BEF5C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8B75E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DB286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4D29F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4956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88AD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7B36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772,000</w:t>
            </w:r>
          </w:p>
        </w:tc>
        <w:tc>
          <w:tcPr>
            <w:tcW w:w="0" w:type="auto"/>
            <w:tcBorders>
              <w:top w:val="nil"/>
              <w:left w:val="nil"/>
              <w:bottom w:val="single" w:sz="4" w:space="0" w:color="auto"/>
              <w:right w:val="single" w:sz="4" w:space="0" w:color="auto"/>
            </w:tcBorders>
            <w:shd w:val="clear" w:color="000000" w:fill="FFFFFF"/>
            <w:vAlign w:val="center"/>
            <w:hideMark/>
          </w:tcPr>
          <w:p w14:paraId="42F769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939A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772,000</w:t>
            </w:r>
          </w:p>
        </w:tc>
        <w:tc>
          <w:tcPr>
            <w:tcW w:w="0" w:type="auto"/>
            <w:tcBorders>
              <w:top w:val="nil"/>
              <w:left w:val="nil"/>
              <w:bottom w:val="single" w:sz="4" w:space="0" w:color="auto"/>
              <w:right w:val="single" w:sz="4" w:space="0" w:color="auto"/>
            </w:tcBorders>
            <w:shd w:val="clear" w:color="000000" w:fill="FFFFFF"/>
            <w:noWrap/>
            <w:vAlign w:val="center"/>
            <w:hideMark/>
          </w:tcPr>
          <w:p w14:paraId="41AADE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772,000</w:t>
            </w:r>
          </w:p>
        </w:tc>
        <w:tc>
          <w:tcPr>
            <w:tcW w:w="0" w:type="auto"/>
            <w:tcBorders>
              <w:top w:val="nil"/>
              <w:left w:val="nil"/>
              <w:bottom w:val="single" w:sz="4" w:space="0" w:color="auto"/>
              <w:right w:val="single" w:sz="4" w:space="0" w:color="auto"/>
            </w:tcBorders>
            <w:shd w:val="clear" w:color="000000" w:fill="FFFFFF"/>
            <w:noWrap/>
            <w:vAlign w:val="center"/>
            <w:hideMark/>
          </w:tcPr>
          <w:p w14:paraId="53295F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542AB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772,000</w:t>
            </w:r>
          </w:p>
        </w:tc>
        <w:tc>
          <w:tcPr>
            <w:tcW w:w="0" w:type="auto"/>
            <w:tcBorders>
              <w:top w:val="nil"/>
              <w:left w:val="nil"/>
              <w:bottom w:val="single" w:sz="4" w:space="0" w:color="auto"/>
              <w:right w:val="single" w:sz="4" w:space="0" w:color="auto"/>
            </w:tcBorders>
            <w:shd w:val="clear" w:color="000000" w:fill="FFFFFF"/>
            <w:noWrap/>
            <w:vAlign w:val="center"/>
            <w:hideMark/>
          </w:tcPr>
          <w:p w14:paraId="19C348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3C144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86AA8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ED397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655DB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6CE116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A7E44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92548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EFAA497"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3C5D006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hideMark/>
          </w:tcPr>
          <w:p w14:paraId="56E5ACC3" w14:textId="04D25B7D"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2.1.</w:t>
            </w:r>
          </w:p>
        </w:tc>
        <w:tc>
          <w:tcPr>
            <w:tcW w:w="0" w:type="auto"/>
            <w:tcBorders>
              <w:top w:val="single" w:sz="4" w:space="0" w:color="auto"/>
              <w:left w:val="nil"/>
              <w:bottom w:val="single" w:sz="4" w:space="0" w:color="auto"/>
              <w:right w:val="single" w:sz="4" w:space="0" w:color="auto"/>
            </w:tcBorders>
            <w:shd w:val="clear" w:color="000000" w:fill="5B9BD5"/>
            <w:vAlign w:val="center"/>
            <w:hideMark/>
          </w:tcPr>
          <w:p w14:paraId="44218EE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56741A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F29472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2D9BE59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50C452D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6AB9CD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333,969,441</w:t>
            </w:r>
          </w:p>
        </w:tc>
        <w:tc>
          <w:tcPr>
            <w:tcW w:w="0" w:type="auto"/>
            <w:tcBorders>
              <w:top w:val="nil"/>
              <w:left w:val="nil"/>
              <w:bottom w:val="single" w:sz="4" w:space="0" w:color="auto"/>
              <w:right w:val="single" w:sz="4" w:space="0" w:color="auto"/>
            </w:tcBorders>
            <w:shd w:val="clear" w:color="000000" w:fill="5B9BD5"/>
            <w:vAlign w:val="center"/>
            <w:hideMark/>
          </w:tcPr>
          <w:p w14:paraId="50AB97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1E79A7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333,969,441</w:t>
            </w:r>
          </w:p>
        </w:tc>
        <w:tc>
          <w:tcPr>
            <w:tcW w:w="0" w:type="auto"/>
            <w:tcBorders>
              <w:top w:val="nil"/>
              <w:left w:val="nil"/>
              <w:bottom w:val="single" w:sz="4" w:space="0" w:color="auto"/>
              <w:right w:val="single" w:sz="4" w:space="0" w:color="auto"/>
            </w:tcBorders>
            <w:shd w:val="clear" w:color="000000" w:fill="5B9BD5"/>
            <w:vAlign w:val="center"/>
            <w:hideMark/>
          </w:tcPr>
          <w:p w14:paraId="0D1D014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332,791,441</w:t>
            </w:r>
          </w:p>
        </w:tc>
        <w:tc>
          <w:tcPr>
            <w:tcW w:w="0" w:type="auto"/>
            <w:tcBorders>
              <w:top w:val="nil"/>
              <w:left w:val="nil"/>
              <w:bottom w:val="single" w:sz="4" w:space="0" w:color="auto"/>
              <w:right w:val="single" w:sz="4" w:space="0" w:color="auto"/>
            </w:tcBorders>
            <w:shd w:val="clear" w:color="000000" w:fill="5B9BD5"/>
            <w:vAlign w:val="center"/>
            <w:hideMark/>
          </w:tcPr>
          <w:p w14:paraId="2CC5B51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7C0053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332,791,441</w:t>
            </w:r>
          </w:p>
        </w:tc>
        <w:tc>
          <w:tcPr>
            <w:tcW w:w="0" w:type="auto"/>
            <w:tcBorders>
              <w:top w:val="nil"/>
              <w:left w:val="nil"/>
              <w:bottom w:val="single" w:sz="4" w:space="0" w:color="auto"/>
              <w:right w:val="single" w:sz="4" w:space="0" w:color="auto"/>
            </w:tcBorders>
            <w:shd w:val="clear" w:color="000000" w:fill="5B9BD5"/>
            <w:vAlign w:val="center"/>
            <w:hideMark/>
          </w:tcPr>
          <w:p w14:paraId="5C95307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332,791,441</w:t>
            </w:r>
          </w:p>
        </w:tc>
        <w:tc>
          <w:tcPr>
            <w:tcW w:w="0" w:type="auto"/>
            <w:tcBorders>
              <w:top w:val="nil"/>
              <w:left w:val="nil"/>
              <w:bottom w:val="single" w:sz="4" w:space="0" w:color="auto"/>
              <w:right w:val="single" w:sz="4" w:space="0" w:color="auto"/>
            </w:tcBorders>
            <w:shd w:val="clear" w:color="000000" w:fill="5B9BD5"/>
            <w:vAlign w:val="center"/>
            <w:hideMark/>
          </w:tcPr>
          <w:p w14:paraId="6270965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443D33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332,791,441</w:t>
            </w:r>
          </w:p>
        </w:tc>
        <w:tc>
          <w:tcPr>
            <w:tcW w:w="0" w:type="auto"/>
            <w:tcBorders>
              <w:top w:val="nil"/>
              <w:left w:val="nil"/>
              <w:bottom w:val="single" w:sz="4" w:space="0" w:color="auto"/>
              <w:right w:val="single" w:sz="4" w:space="0" w:color="auto"/>
            </w:tcBorders>
            <w:shd w:val="clear" w:color="000000" w:fill="5B9BD5"/>
            <w:vAlign w:val="center"/>
            <w:hideMark/>
          </w:tcPr>
          <w:p w14:paraId="090B598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332,019,441</w:t>
            </w:r>
          </w:p>
        </w:tc>
        <w:tc>
          <w:tcPr>
            <w:tcW w:w="0" w:type="auto"/>
            <w:tcBorders>
              <w:top w:val="nil"/>
              <w:left w:val="nil"/>
              <w:bottom w:val="single" w:sz="4" w:space="0" w:color="auto"/>
              <w:right w:val="single" w:sz="4" w:space="0" w:color="auto"/>
            </w:tcBorders>
            <w:shd w:val="clear" w:color="000000" w:fill="5B9BD5"/>
            <w:vAlign w:val="center"/>
            <w:hideMark/>
          </w:tcPr>
          <w:p w14:paraId="137724E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CCF91F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332,019,441</w:t>
            </w:r>
          </w:p>
        </w:tc>
        <w:tc>
          <w:tcPr>
            <w:tcW w:w="0" w:type="auto"/>
            <w:tcBorders>
              <w:top w:val="nil"/>
              <w:left w:val="nil"/>
              <w:bottom w:val="single" w:sz="4" w:space="0" w:color="auto"/>
              <w:right w:val="single" w:sz="4" w:space="0" w:color="auto"/>
            </w:tcBorders>
            <w:shd w:val="clear" w:color="000000" w:fill="5B9BD5"/>
            <w:vAlign w:val="center"/>
            <w:hideMark/>
          </w:tcPr>
          <w:p w14:paraId="221FF86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332,019,441</w:t>
            </w:r>
          </w:p>
        </w:tc>
        <w:tc>
          <w:tcPr>
            <w:tcW w:w="0" w:type="auto"/>
            <w:tcBorders>
              <w:top w:val="nil"/>
              <w:left w:val="nil"/>
              <w:bottom w:val="single" w:sz="4" w:space="0" w:color="auto"/>
              <w:right w:val="single" w:sz="4" w:space="0" w:color="auto"/>
            </w:tcBorders>
            <w:shd w:val="clear" w:color="000000" w:fill="5B9BD5"/>
            <w:vAlign w:val="center"/>
            <w:hideMark/>
          </w:tcPr>
          <w:p w14:paraId="3F89D71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60E873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332,019,441</w:t>
            </w:r>
          </w:p>
        </w:tc>
        <w:tc>
          <w:tcPr>
            <w:tcW w:w="0" w:type="auto"/>
            <w:tcBorders>
              <w:top w:val="nil"/>
              <w:left w:val="nil"/>
              <w:bottom w:val="single" w:sz="4" w:space="0" w:color="auto"/>
              <w:right w:val="single" w:sz="4" w:space="0" w:color="auto"/>
            </w:tcBorders>
            <w:shd w:val="clear" w:color="000000" w:fill="5B9BD5"/>
            <w:vAlign w:val="center"/>
            <w:hideMark/>
          </w:tcPr>
          <w:p w14:paraId="166649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1,663,591,205</w:t>
            </w:r>
          </w:p>
        </w:tc>
        <w:tc>
          <w:tcPr>
            <w:tcW w:w="0" w:type="auto"/>
            <w:tcBorders>
              <w:top w:val="nil"/>
              <w:left w:val="nil"/>
              <w:bottom w:val="single" w:sz="4" w:space="0" w:color="auto"/>
              <w:right w:val="single" w:sz="4" w:space="0" w:color="auto"/>
            </w:tcBorders>
            <w:shd w:val="clear" w:color="000000" w:fill="5B9BD5"/>
            <w:vAlign w:val="center"/>
            <w:hideMark/>
          </w:tcPr>
          <w:p w14:paraId="6D2680D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9299B0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1,663,591,205</w:t>
            </w:r>
          </w:p>
        </w:tc>
        <w:tc>
          <w:tcPr>
            <w:tcW w:w="0" w:type="auto"/>
            <w:tcBorders>
              <w:top w:val="nil"/>
              <w:left w:val="nil"/>
              <w:bottom w:val="single" w:sz="4" w:space="0" w:color="auto"/>
              <w:right w:val="single" w:sz="4" w:space="0" w:color="auto"/>
            </w:tcBorders>
            <w:shd w:val="clear" w:color="000000" w:fill="5B9BD5"/>
            <w:vAlign w:val="center"/>
            <w:hideMark/>
          </w:tcPr>
          <w:p w14:paraId="4C2C92F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999,552,323</w:t>
            </w:r>
          </w:p>
        </w:tc>
        <w:tc>
          <w:tcPr>
            <w:tcW w:w="0" w:type="auto"/>
            <w:tcBorders>
              <w:top w:val="nil"/>
              <w:left w:val="nil"/>
              <w:bottom w:val="single" w:sz="4" w:space="0" w:color="auto"/>
              <w:right w:val="single" w:sz="4" w:space="0" w:color="auto"/>
            </w:tcBorders>
            <w:shd w:val="clear" w:color="000000" w:fill="5B9BD5"/>
            <w:vAlign w:val="center"/>
            <w:hideMark/>
          </w:tcPr>
          <w:p w14:paraId="650DDAB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F8CED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999,552,323</w:t>
            </w:r>
          </w:p>
        </w:tc>
        <w:tc>
          <w:tcPr>
            <w:tcW w:w="0" w:type="auto"/>
            <w:tcBorders>
              <w:top w:val="nil"/>
              <w:left w:val="nil"/>
              <w:bottom w:val="single" w:sz="4" w:space="0" w:color="auto"/>
              <w:right w:val="single" w:sz="4" w:space="0" w:color="auto"/>
            </w:tcBorders>
            <w:shd w:val="clear" w:color="000000" w:fill="5B9BD5"/>
            <w:vAlign w:val="center"/>
            <w:hideMark/>
          </w:tcPr>
          <w:p w14:paraId="3C8908C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664,038,882</w:t>
            </w:r>
          </w:p>
        </w:tc>
        <w:tc>
          <w:tcPr>
            <w:tcW w:w="0" w:type="auto"/>
            <w:tcBorders>
              <w:top w:val="nil"/>
              <w:left w:val="nil"/>
              <w:bottom w:val="single" w:sz="4" w:space="0" w:color="auto"/>
              <w:right w:val="single" w:sz="4" w:space="0" w:color="auto"/>
            </w:tcBorders>
            <w:shd w:val="clear" w:color="000000" w:fill="5B9BD5"/>
            <w:vAlign w:val="center"/>
            <w:hideMark/>
          </w:tcPr>
          <w:p w14:paraId="7023B9E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5A092F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664,038,882</w:t>
            </w:r>
          </w:p>
        </w:tc>
        <w:tc>
          <w:tcPr>
            <w:tcW w:w="0" w:type="auto"/>
            <w:tcBorders>
              <w:top w:val="nil"/>
              <w:left w:val="nil"/>
              <w:bottom w:val="single" w:sz="4" w:space="0" w:color="auto"/>
              <w:right w:val="single" w:sz="4" w:space="0" w:color="auto"/>
            </w:tcBorders>
            <w:shd w:val="clear" w:color="000000" w:fill="5B9BD5"/>
            <w:vAlign w:val="center"/>
            <w:hideMark/>
          </w:tcPr>
          <w:p w14:paraId="1C31D2F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E75FB2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F32042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CD724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4AD14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46BA04B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04871A0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w:t>
            </w:r>
          </w:p>
        </w:tc>
        <w:tc>
          <w:tcPr>
            <w:tcW w:w="0" w:type="auto"/>
            <w:tcBorders>
              <w:top w:val="nil"/>
              <w:left w:val="nil"/>
              <w:bottom w:val="single" w:sz="4" w:space="0" w:color="auto"/>
              <w:right w:val="nil"/>
            </w:tcBorders>
            <w:shd w:val="clear" w:color="000000" w:fill="FCE4D6"/>
            <w:vAlign w:val="center"/>
            <w:hideMark/>
          </w:tcPr>
          <w:p w14:paraId="4DFE4D71"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Reduktimi i ndjeshëm i trafikimit, duke rritur zbulimin, goditjen e rrjeteve kriminale dhe forcimin e kontrolleve kufitare dhe kapaciteteve hetimore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EDCC2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0BDE7C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përgjegjës</w:t>
            </w:r>
          </w:p>
        </w:tc>
        <w:tc>
          <w:tcPr>
            <w:tcW w:w="0" w:type="auto"/>
            <w:tcBorders>
              <w:top w:val="nil"/>
              <w:left w:val="nil"/>
              <w:bottom w:val="single" w:sz="4" w:space="0" w:color="auto"/>
              <w:right w:val="single" w:sz="4" w:space="0" w:color="auto"/>
            </w:tcBorders>
            <w:shd w:val="clear" w:color="000000" w:fill="FFFFFF"/>
            <w:vAlign w:val="center"/>
            <w:hideMark/>
          </w:tcPr>
          <w:p w14:paraId="2071C7E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mbështetës</w:t>
            </w:r>
          </w:p>
        </w:tc>
        <w:tc>
          <w:tcPr>
            <w:tcW w:w="0" w:type="auto"/>
            <w:tcBorders>
              <w:top w:val="nil"/>
              <w:left w:val="nil"/>
              <w:bottom w:val="single" w:sz="4" w:space="0" w:color="auto"/>
              <w:right w:val="single" w:sz="4" w:space="0" w:color="auto"/>
            </w:tcBorders>
            <w:shd w:val="clear" w:color="000000" w:fill="FFFFFF"/>
            <w:vAlign w:val="center"/>
            <w:hideMark/>
          </w:tcPr>
          <w:p w14:paraId="480F10D5" w14:textId="168AAC63"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fillimit</w:t>
            </w:r>
            <w:r w:rsidR="00DB1B67" w:rsidRPr="002128A6">
              <w:rPr>
                <w:rFonts w:ascii="Garamond" w:eastAsia="Times New Roman" w:hAnsi="Garamond" w:cs="Times New Roman"/>
                <w:b/>
                <w:bCs/>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5059765" w14:textId="411F2DAC"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mbarimit</w:t>
            </w:r>
          </w:p>
        </w:tc>
        <w:tc>
          <w:tcPr>
            <w:tcW w:w="0" w:type="auto"/>
            <w:tcBorders>
              <w:top w:val="nil"/>
              <w:left w:val="nil"/>
              <w:bottom w:val="single" w:sz="4" w:space="0" w:color="auto"/>
              <w:right w:val="single" w:sz="4" w:space="0" w:color="auto"/>
            </w:tcBorders>
            <w:shd w:val="clear" w:color="000000" w:fill="FFFFFF"/>
            <w:vAlign w:val="center"/>
            <w:hideMark/>
          </w:tcPr>
          <w:p w14:paraId="428DB3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230C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8A9FB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C250F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4C1CE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A0DDF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13849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778A4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A4C6E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3B5C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D5431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F75A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94E98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734B0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B6E01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64CE0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E43DA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C2080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5FC67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F1272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1BB6C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E4216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869F6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42DDC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E7DA0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4809F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586625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F7744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6D85F2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4877C00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0DC677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2.2.1</w:t>
            </w:r>
          </w:p>
        </w:tc>
        <w:tc>
          <w:tcPr>
            <w:tcW w:w="0" w:type="auto"/>
            <w:tcBorders>
              <w:top w:val="nil"/>
              <w:left w:val="nil"/>
              <w:bottom w:val="single" w:sz="4" w:space="0" w:color="auto"/>
              <w:right w:val="single" w:sz="4" w:space="0" w:color="auto"/>
            </w:tcBorders>
            <w:shd w:val="clear" w:color="F1F5F9" w:fill="FFFFFF"/>
            <w:vAlign w:val="center"/>
            <w:hideMark/>
          </w:tcPr>
          <w:p w14:paraId="127A12BB" w14:textId="58ED1549"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aktivitetit hetimor për parandalimin e trafikimit të paligjshëm bazuar në inteligjencën dhe provat e disponueshme, përfshirë përmes zbatimit të metodave të posaçme hetimore, përdorimit sistematik të teknologjisë dhe mjeteve analitike, dhe një qasjeje proaktive që synon rrjetet e krimit të organizuar si dhe logjistikën, lehtësuesit dhe të ardhurat kriminale të tyre.</w:t>
            </w:r>
            <w:r w:rsidR="00822D6F">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organizuar si dhe logjistikën, lehtësuesit dhe të ardhurat kriminale të tyre.</w:t>
            </w:r>
          </w:p>
        </w:tc>
        <w:tc>
          <w:tcPr>
            <w:tcW w:w="0" w:type="auto"/>
            <w:tcBorders>
              <w:top w:val="nil"/>
              <w:left w:val="nil"/>
              <w:bottom w:val="single" w:sz="4" w:space="0" w:color="auto"/>
              <w:right w:val="single" w:sz="4" w:space="0" w:color="auto"/>
            </w:tcBorders>
            <w:shd w:val="clear" w:color="000000" w:fill="FFFFFF"/>
            <w:vAlign w:val="center"/>
            <w:hideMark/>
          </w:tcPr>
          <w:p w14:paraId="702D42E2" w14:textId="2A344858"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36BC5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br/>
            </w:r>
            <w:r w:rsidRPr="002128A6">
              <w:rPr>
                <w:rFonts w:ascii="Garamond" w:eastAsia="Times New Roman" w:hAnsi="Garamond" w:cs="Times New Roman"/>
                <w:kern w:val="0"/>
                <w:sz w:val="4"/>
                <w:szCs w:val="8"/>
                <w14:ligatures w14:val="none"/>
              </w:rPr>
              <w:b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88D1A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br/>
              <w:t xml:space="preserve">Autoriteti Kombëtar për Sigurinë Kibernetike; Shërbimi Informativ i Shtetit; </w:t>
            </w:r>
            <w:r w:rsidRPr="002128A6">
              <w:rPr>
                <w:rFonts w:ascii="Garamond" w:eastAsia="Times New Roman" w:hAnsi="Garamond" w:cs="Times New Roman"/>
                <w:kern w:val="0"/>
                <w:sz w:val="4"/>
                <w:szCs w:val="8"/>
                <w14:ligatures w14:val="none"/>
              </w:rPr>
              <w:br/>
              <w:t>Drejtoria e Përgjithshme e Doganave</w:t>
            </w:r>
          </w:p>
        </w:tc>
        <w:tc>
          <w:tcPr>
            <w:tcW w:w="0" w:type="auto"/>
            <w:tcBorders>
              <w:top w:val="nil"/>
              <w:left w:val="nil"/>
              <w:bottom w:val="single" w:sz="4" w:space="0" w:color="auto"/>
              <w:right w:val="single" w:sz="4" w:space="0" w:color="auto"/>
            </w:tcBorders>
            <w:shd w:val="clear" w:color="000000" w:fill="FFFFFF"/>
            <w:vAlign w:val="center"/>
            <w:hideMark/>
          </w:tcPr>
          <w:p w14:paraId="483143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4E81C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7A2F5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41A083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ECA4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227118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67D516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4CA62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133F77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04CAD5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47DDF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1BE9B7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7022EE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1B5D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3FE0C2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2C94EE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7E07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45F74B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123,324,345</w:t>
            </w:r>
          </w:p>
        </w:tc>
        <w:tc>
          <w:tcPr>
            <w:tcW w:w="0" w:type="auto"/>
            <w:tcBorders>
              <w:top w:val="nil"/>
              <w:left w:val="nil"/>
              <w:bottom w:val="single" w:sz="4" w:space="0" w:color="auto"/>
              <w:right w:val="single" w:sz="4" w:space="0" w:color="auto"/>
            </w:tcBorders>
            <w:shd w:val="clear" w:color="000000" w:fill="FFFFFF"/>
            <w:vAlign w:val="center"/>
            <w:hideMark/>
          </w:tcPr>
          <w:p w14:paraId="3B25FC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4FFD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123,324,345</w:t>
            </w:r>
          </w:p>
        </w:tc>
        <w:tc>
          <w:tcPr>
            <w:tcW w:w="0" w:type="auto"/>
            <w:tcBorders>
              <w:top w:val="nil"/>
              <w:left w:val="nil"/>
              <w:bottom w:val="single" w:sz="4" w:space="0" w:color="auto"/>
              <w:right w:val="single" w:sz="4" w:space="0" w:color="auto"/>
            </w:tcBorders>
            <w:shd w:val="clear" w:color="000000" w:fill="FFFFFF"/>
            <w:noWrap/>
            <w:vAlign w:val="center"/>
            <w:hideMark/>
          </w:tcPr>
          <w:p w14:paraId="06C42A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73,994,607</w:t>
            </w:r>
          </w:p>
        </w:tc>
        <w:tc>
          <w:tcPr>
            <w:tcW w:w="0" w:type="auto"/>
            <w:tcBorders>
              <w:top w:val="nil"/>
              <w:left w:val="nil"/>
              <w:bottom w:val="single" w:sz="4" w:space="0" w:color="auto"/>
              <w:right w:val="single" w:sz="4" w:space="0" w:color="auto"/>
            </w:tcBorders>
            <w:shd w:val="clear" w:color="000000" w:fill="FFFFFF"/>
            <w:noWrap/>
            <w:vAlign w:val="center"/>
            <w:hideMark/>
          </w:tcPr>
          <w:p w14:paraId="2EA7B0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219E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73,994,607</w:t>
            </w:r>
          </w:p>
        </w:tc>
        <w:tc>
          <w:tcPr>
            <w:tcW w:w="0" w:type="auto"/>
            <w:tcBorders>
              <w:top w:val="nil"/>
              <w:left w:val="nil"/>
              <w:bottom w:val="single" w:sz="4" w:space="0" w:color="auto"/>
              <w:right w:val="single" w:sz="4" w:space="0" w:color="auto"/>
            </w:tcBorders>
            <w:shd w:val="clear" w:color="000000" w:fill="FFFFFF"/>
            <w:noWrap/>
            <w:vAlign w:val="center"/>
            <w:hideMark/>
          </w:tcPr>
          <w:p w14:paraId="0ECB96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49,329,738</w:t>
            </w:r>
          </w:p>
        </w:tc>
        <w:tc>
          <w:tcPr>
            <w:tcW w:w="0" w:type="auto"/>
            <w:tcBorders>
              <w:top w:val="nil"/>
              <w:left w:val="nil"/>
              <w:bottom w:val="single" w:sz="4" w:space="0" w:color="auto"/>
              <w:right w:val="single" w:sz="4" w:space="0" w:color="auto"/>
            </w:tcBorders>
            <w:shd w:val="clear" w:color="000000" w:fill="FFFFFF"/>
            <w:noWrap/>
            <w:vAlign w:val="center"/>
            <w:hideMark/>
          </w:tcPr>
          <w:p w14:paraId="336BF1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19BF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49,329,738</w:t>
            </w:r>
          </w:p>
        </w:tc>
        <w:tc>
          <w:tcPr>
            <w:tcW w:w="0" w:type="auto"/>
            <w:tcBorders>
              <w:top w:val="nil"/>
              <w:left w:val="nil"/>
              <w:bottom w:val="single" w:sz="4" w:space="0" w:color="auto"/>
              <w:right w:val="single" w:sz="4" w:space="0" w:color="auto"/>
            </w:tcBorders>
            <w:shd w:val="clear" w:color="000000" w:fill="FFFFFF"/>
            <w:vAlign w:val="center"/>
            <w:hideMark/>
          </w:tcPr>
          <w:p w14:paraId="29C381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58AA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0A460E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D25A8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8ACCE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9B2A4D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3F17B0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2.2.2</w:t>
            </w:r>
          </w:p>
        </w:tc>
        <w:tc>
          <w:tcPr>
            <w:tcW w:w="0" w:type="auto"/>
            <w:tcBorders>
              <w:top w:val="nil"/>
              <w:left w:val="nil"/>
              <w:bottom w:val="single" w:sz="4" w:space="0" w:color="auto"/>
              <w:right w:val="single" w:sz="4" w:space="0" w:color="auto"/>
            </w:tcBorders>
            <w:shd w:val="clear" w:color="F1F5F9" w:fill="FFFFFF"/>
            <w:vAlign w:val="center"/>
            <w:hideMark/>
          </w:tcPr>
          <w:p w14:paraId="520ABB0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kontrollit kufitar për parandalimin dhe luftën e trafikimit ndërkombëtar të drogës, përfshirë përmes profilizimit të bazuar në risk, kontrolleve të forcuara në pikat e kalimit kufitar, përdorimit të zgjeruar të teknologjive të zbulimit, procedurave të përmirësuara të shënjestrimit dhe veprimeve të koordinuara midis strukturave kufitare, doganore dhe hetimore.</w:t>
            </w:r>
          </w:p>
        </w:tc>
        <w:tc>
          <w:tcPr>
            <w:tcW w:w="0" w:type="auto"/>
            <w:tcBorders>
              <w:top w:val="nil"/>
              <w:left w:val="nil"/>
              <w:bottom w:val="single" w:sz="4" w:space="0" w:color="auto"/>
              <w:right w:val="single" w:sz="4" w:space="0" w:color="auto"/>
            </w:tcBorders>
            <w:shd w:val="clear" w:color="000000" w:fill="FFFFFF"/>
            <w:vAlign w:val="center"/>
            <w:hideMark/>
          </w:tcPr>
          <w:p w14:paraId="00B5C773" w14:textId="4106F398"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8B13A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21781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Drejtoria e Përgjithshme e Doganave</w:t>
            </w:r>
          </w:p>
        </w:tc>
        <w:tc>
          <w:tcPr>
            <w:tcW w:w="0" w:type="auto"/>
            <w:tcBorders>
              <w:top w:val="nil"/>
              <w:left w:val="nil"/>
              <w:bottom w:val="single" w:sz="4" w:space="0" w:color="auto"/>
              <w:right w:val="single" w:sz="4" w:space="0" w:color="auto"/>
            </w:tcBorders>
            <w:shd w:val="clear" w:color="000000" w:fill="FFFFFF"/>
            <w:vAlign w:val="center"/>
            <w:hideMark/>
          </w:tcPr>
          <w:p w14:paraId="7AC2BC4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BBD434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6CB25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55,513,333</w:t>
            </w:r>
          </w:p>
        </w:tc>
        <w:tc>
          <w:tcPr>
            <w:tcW w:w="0" w:type="auto"/>
            <w:tcBorders>
              <w:top w:val="nil"/>
              <w:left w:val="nil"/>
              <w:bottom w:val="single" w:sz="4" w:space="0" w:color="auto"/>
              <w:right w:val="single" w:sz="4" w:space="0" w:color="auto"/>
            </w:tcBorders>
            <w:shd w:val="clear" w:color="000000" w:fill="FFFFFF"/>
            <w:vAlign w:val="center"/>
            <w:hideMark/>
          </w:tcPr>
          <w:p w14:paraId="7A6C90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1FDD3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55,513,333</w:t>
            </w:r>
          </w:p>
        </w:tc>
        <w:tc>
          <w:tcPr>
            <w:tcW w:w="0" w:type="auto"/>
            <w:tcBorders>
              <w:top w:val="nil"/>
              <w:left w:val="nil"/>
              <w:bottom w:val="single" w:sz="4" w:space="0" w:color="auto"/>
              <w:right w:val="single" w:sz="4" w:space="0" w:color="auto"/>
            </w:tcBorders>
            <w:shd w:val="clear" w:color="000000" w:fill="FFFFFF"/>
            <w:vAlign w:val="center"/>
            <w:hideMark/>
          </w:tcPr>
          <w:p w14:paraId="71BA4D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57,194,027</w:t>
            </w:r>
          </w:p>
        </w:tc>
        <w:tc>
          <w:tcPr>
            <w:tcW w:w="0" w:type="auto"/>
            <w:tcBorders>
              <w:top w:val="nil"/>
              <w:left w:val="nil"/>
              <w:bottom w:val="single" w:sz="4" w:space="0" w:color="auto"/>
              <w:right w:val="single" w:sz="4" w:space="0" w:color="auto"/>
            </w:tcBorders>
            <w:shd w:val="clear" w:color="000000" w:fill="FFFFFF"/>
            <w:vAlign w:val="center"/>
            <w:hideMark/>
          </w:tcPr>
          <w:p w14:paraId="13488B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11673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57,194,027</w:t>
            </w:r>
          </w:p>
        </w:tc>
        <w:tc>
          <w:tcPr>
            <w:tcW w:w="0" w:type="auto"/>
            <w:tcBorders>
              <w:top w:val="nil"/>
              <w:left w:val="nil"/>
              <w:bottom w:val="single" w:sz="4" w:space="0" w:color="auto"/>
              <w:right w:val="single" w:sz="4" w:space="0" w:color="auto"/>
            </w:tcBorders>
            <w:shd w:val="clear" w:color="000000" w:fill="FFFFFF"/>
            <w:vAlign w:val="center"/>
            <w:hideMark/>
          </w:tcPr>
          <w:p w14:paraId="356663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33F3F9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1A4E6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1E39B9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278972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0769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3A5C24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7C011F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1764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667C8B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281,835,630</w:t>
            </w:r>
          </w:p>
        </w:tc>
        <w:tc>
          <w:tcPr>
            <w:tcW w:w="0" w:type="auto"/>
            <w:tcBorders>
              <w:top w:val="nil"/>
              <w:left w:val="nil"/>
              <w:bottom w:val="single" w:sz="4" w:space="0" w:color="auto"/>
              <w:right w:val="single" w:sz="4" w:space="0" w:color="auto"/>
            </w:tcBorders>
            <w:shd w:val="clear" w:color="000000" w:fill="FFFFFF"/>
            <w:vAlign w:val="center"/>
            <w:hideMark/>
          </w:tcPr>
          <w:p w14:paraId="52F3D5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45F0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281,835,630</w:t>
            </w:r>
          </w:p>
        </w:tc>
        <w:tc>
          <w:tcPr>
            <w:tcW w:w="0" w:type="auto"/>
            <w:tcBorders>
              <w:top w:val="nil"/>
              <w:left w:val="nil"/>
              <w:bottom w:val="single" w:sz="4" w:space="0" w:color="auto"/>
              <w:right w:val="single" w:sz="4" w:space="0" w:color="auto"/>
            </w:tcBorders>
            <w:shd w:val="clear" w:color="000000" w:fill="FFFFFF"/>
            <w:noWrap/>
            <w:vAlign w:val="center"/>
            <w:hideMark/>
          </w:tcPr>
          <w:p w14:paraId="6916C7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169,083,450</w:t>
            </w:r>
          </w:p>
        </w:tc>
        <w:tc>
          <w:tcPr>
            <w:tcW w:w="0" w:type="auto"/>
            <w:tcBorders>
              <w:top w:val="nil"/>
              <w:left w:val="nil"/>
              <w:bottom w:val="single" w:sz="4" w:space="0" w:color="auto"/>
              <w:right w:val="single" w:sz="4" w:space="0" w:color="auto"/>
            </w:tcBorders>
            <w:shd w:val="clear" w:color="000000" w:fill="FFFFFF"/>
            <w:noWrap/>
            <w:vAlign w:val="center"/>
            <w:hideMark/>
          </w:tcPr>
          <w:p w14:paraId="29FF2C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6A60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169,083,450</w:t>
            </w:r>
          </w:p>
        </w:tc>
        <w:tc>
          <w:tcPr>
            <w:tcW w:w="0" w:type="auto"/>
            <w:tcBorders>
              <w:top w:val="nil"/>
              <w:left w:val="nil"/>
              <w:bottom w:val="single" w:sz="4" w:space="0" w:color="auto"/>
              <w:right w:val="single" w:sz="4" w:space="0" w:color="auto"/>
            </w:tcBorders>
            <w:shd w:val="clear" w:color="000000" w:fill="FFFFFF"/>
            <w:noWrap/>
            <w:vAlign w:val="center"/>
            <w:hideMark/>
          </w:tcPr>
          <w:p w14:paraId="35106B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112,752,180</w:t>
            </w:r>
          </w:p>
        </w:tc>
        <w:tc>
          <w:tcPr>
            <w:tcW w:w="0" w:type="auto"/>
            <w:tcBorders>
              <w:top w:val="nil"/>
              <w:left w:val="nil"/>
              <w:bottom w:val="single" w:sz="4" w:space="0" w:color="auto"/>
              <w:right w:val="single" w:sz="4" w:space="0" w:color="auto"/>
            </w:tcBorders>
            <w:shd w:val="clear" w:color="000000" w:fill="FFFFFF"/>
            <w:noWrap/>
            <w:vAlign w:val="center"/>
            <w:hideMark/>
          </w:tcPr>
          <w:p w14:paraId="520703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2BCB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112,752,180</w:t>
            </w:r>
          </w:p>
        </w:tc>
        <w:tc>
          <w:tcPr>
            <w:tcW w:w="0" w:type="auto"/>
            <w:tcBorders>
              <w:top w:val="nil"/>
              <w:left w:val="nil"/>
              <w:bottom w:val="single" w:sz="4" w:space="0" w:color="auto"/>
              <w:right w:val="single" w:sz="4" w:space="0" w:color="auto"/>
            </w:tcBorders>
            <w:shd w:val="clear" w:color="000000" w:fill="FFFFFF"/>
            <w:vAlign w:val="center"/>
            <w:hideMark/>
          </w:tcPr>
          <w:p w14:paraId="151B05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B778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93CED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E7378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EE4C6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D9FF19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74DB79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2.2.3</w:t>
            </w:r>
          </w:p>
        </w:tc>
        <w:tc>
          <w:tcPr>
            <w:tcW w:w="0" w:type="auto"/>
            <w:tcBorders>
              <w:top w:val="nil"/>
              <w:left w:val="nil"/>
              <w:bottom w:val="single" w:sz="4" w:space="0" w:color="auto"/>
              <w:right w:val="single" w:sz="4" w:space="0" w:color="auto"/>
            </w:tcBorders>
            <w:shd w:val="clear" w:color="F1F5F9" w:fill="FFFFFF"/>
            <w:vAlign w:val="center"/>
            <w:hideMark/>
          </w:tcPr>
          <w:p w14:paraId="1B88913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Rritje e numrit dhe efektivitetit operacional të patrullave të Policisë Kufitare, me qëllim luftën e kontrabandës dhe kalimit të paligjshëm të kufirit, përfshirë përmes vendosjes të bazuar në rrezik, patrullave të intensifikuara në zonat me rrezik të lartë, koordinimit të përmirësuar me strukturat e tjera ligjzbatuese dhe përdorimit të informacionit operacional, me qëllim zbulimin dhe parandalimin e aktivitetit kriminal ndërkufitar.</w:t>
            </w:r>
          </w:p>
        </w:tc>
        <w:tc>
          <w:tcPr>
            <w:tcW w:w="0" w:type="auto"/>
            <w:tcBorders>
              <w:top w:val="nil"/>
              <w:left w:val="nil"/>
              <w:bottom w:val="single" w:sz="4" w:space="0" w:color="auto"/>
              <w:right w:val="single" w:sz="4" w:space="0" w:color="auto"/>
            </w:tcBorders>
            <w:shd w:val="clear" w:color="000000" w:fill="FFFFFF"/>
            <w:vAlign w:val="center"/>
            <w:hideMark/>
          </w:tcPr>
          <w:p w14:paraId="6137CC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91604AK; 901604AA</w:t>
            </w:r>
          </w:p>
        </w:tc>
        <w:tc>
          <w:tcPr>
            <w:tcW w:w="0" w:type="auto"/>
            <w:tcBorders>
              <w:top w:val="nil"/>
              <w:left w:val="nil"/>
              <w:bottom w:val="single" w:sz="4" w:space="0" w:color="auto"/>
              <w:right w:val="single" w:sz="4" w:space="0" w:color="auto"/>
            </w:tcBorders>
            <w:shd w:val="clear" w:color="000000" w:fill="FFFFFF"/>
            <w:vAlign w:val="center"/>
            <w:hideMark/>
          </w:tcPr>
          <w:p w14:paraId="34B730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Policia e Shtetit </w:t>
            </w:r>
          </w:p>
        </w:tc>
        <w:tc>
          <w:tcPr>
            <w:tcW w:w="0" w:type="auto"/>
            <w:tcBorders>
              <w:top w:val="nil"/>
              <w:left w:val="nil"/>
              <w:bottom w:val="single" w:sz="4" w:space="0" w:color="auto"/>
              <w:right w:val="single" w:sz="4" w:space="0" w:color="auto"/>
            </w:tcBorders>
            <w:shd w:val="clear" w:color="000000" w:fill="FFFFFF"/>
            <w:vAlign w:val="center"/>
            <w:hideMark/>
          </w:tcPr>
          <w:p w14:paraId="72C2F8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Drejtoria e Përgjithshme e Doganave</w:t>
            </w:r>
          </w:p>
        </w:tc>
        <w:tc>
          <w:tcPr>
            <w:tcW w:w="0" w:type="auto"/>
            <w:tcBorders>
              <w:top w:val="nil"/>
              <w:left w:val="nil"/>
              <w:bottom w:val="single" w:sz="4" w:space="0" w:color="auto"/>
              <w:right w:val="single" w:sz="4" w:space="0" w:color="auto"/>
            </w:tcBorders>
            <w:shd w:val="clear" w:color="000000" w:fill="FFFFFF"/>
            <w:vAlign w:val="center"/>
            <w:hideMark/>
          </w:tcPr>
          <w:p w14:paraId="3CB7593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0E5A9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5A0D7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166,540,000</w:t>
            </w:r>
          </w:p>
        </w:tc>
        <w:tc>
          <w:tcPr>
            <w:tcW w:w="0" w:type="auto"/>
            <w:tcBorders>
              <w:top w:val="nil"/>
              <w:left w:val="nil"/>
              <w:bottom w:val="single" w:sz="4" w:space="0" w:color="auto"/>
              <w:right w:val="single" w:sz="4" w:space="0" w:color="auto"/>
            </w:tcBorders>
            <w:shd w:val="clear" w:color="000000" w:fill="FFFFFF"/>
            <w:vAlign w:val="center"/>
            <w:hideMark/>
          </w:tcPr>
          <w:p w14:paraId="666E44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F565A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166,540,000</w:t>
            </w:r>
          </w:p>
        </w:tc>
        <w:tc>
          <w:tcPr>
            <w:tcW w:w="0" w:type="auto"/>
            <w:tcBorders>
              <w:top w:val="nil"/>
              <w:left w:val="nil"/>
              <w:bottom w:val="single" w:sz="4" w:space="0" w:color="auto"/>
              <w:right w:val="single" w:sz="4" w:space="0" w:color="auto"/>
            </w:tcBorders>
            <w:shd w:val="clear" w:color="000000" w:fill="FFFFFF"/>
            <w:vAlign w:val="center"/>
            <w:hideMark/>
          </w:tcPr>
          <w:p w14:paraId="1EE991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171,582,080</w:t>
            </w:r>
          </w:p>
        </w:tc>
        <w:tc>
          <w:tcPr>
            <w:tcW w:w="0" w:type="auto"/>
            <w:tcBorders>
              <w:top w:val="nil"/>
              <w:left w:val="nil"/>
              <w:bottom w:val="single" w:sz="4" w:space="0" w:color="auto"/>
              <w:right w:val="single" w:sz="4" w:space="0" w:color="auto"/>
            </w:tcBorders>
            <w:shd w:val="clear" w:color="000000" w:fill="FFFFFF"/>
            <w:vAlign w:val="center"/>
            <w:hideMark/>
          </w:tcPr>
          <w:p w14:paraId="018B4F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872B5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171,582,080</w:t>
            </w:r>
          </w:p>
        </w:tc>
        <w:tc>
          <w:tcPr>
            <w:tcW w:w="0" w:type="auto"/>
            <w:tcBorders>
              <w:top w:val="nil"/>
              <w:left w:val="nil"/>
              <w:bottom w:val="single" w:sz="4" w:space="0" w:color="auto"/>
              <w:right w:val="single" w:sz="4" w:space="0" w:color="auto"/>
            </w:tcBorders>
            <w:shd w:val="clear" w:color="000000" w:fill="FFFFFF"/>
            <w:vAlign w:val="center"/>
            <w:hideMark/>
          </w:tcPr>
          <w:p w14:paraId="43BA41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169,128,268</w:t>
            </w:r>
          </w:p>
        </w:tc>
        <w:tc>
          <w:tcPr>
            <w:tcW w:w="0" w:type="auto"/>
            <w:tcBorders>
              <w:top w:val="nil"/>
              <w:left w:val="nil"/>
              <w:bottom w:val="single" w:sz="4" w:space="0" w:color="auto"/>
              <w:right w:val="single" w:sz="4" w:space="0" w:color="auto"/>
            </w:tcBorders>
            <w:shd w:val="clear" w:color="000000" w:fill="FFFFFF"/>
            <w:vAlign w:val="center"/>
            <w:hideMark/>
          </w:tcPr>
          <w:p w14:paraId="5B635F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E48DB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169,128,268</w:t>
            </w:r>
          </w:p>
        </w:tc>
        <w:tc>
          <w:tcPr>
            <w:tcW w:w="0" w:type="auto"/>
            <w:tcBorders>
              <w:top w:val="nil"/>
              <w:left w:val="nil"/>
              <w:bottom w:val="single" w:sz="4" w:space="0" w:color="auto"/>
              <w:right w:val="single" w:sz="4" w:space="0" w:color="auto"/>
            </w:tcBorders>
            <w:shd w:val="clear" w:color="000000" w:fill="FFFFFF"/>
            <w:vAlign w:val="center"/>
            <w:hideMark/>
          </w:tcPr>
          <w:p w14:paraId="1C1BCC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169,128,268</w:t>
            </w:r>
          </w:p>
        </w:tc>
        <w:tc>
          <w:tcPr>
            <w:tcW w:w="0" w:type="auto"/>
            <w:tcBorders>
              <w:top w:val="nil"/>
              <w:left w:val="nil"/>
              <w:bottom w:val="single" w:sz="4" w:space="0" w:color="auto"/>
              <w:right w:val="single" w:sz="4" w:space="0" w:color="auto"/>
            </w:tcBorders>
            <w:shd w:val="clear" w:color="000000" w:fill="FFFFFF"/>
            <w:vAlign w:val="center"/>
            <w:hideMark/>
          </w:tcPr>
          <w:p w14:paraId="717687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3100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169,128,268</w:t>
            </w:r>
          </w:p>
        </w:tc>
        <w:tc>
          <w:tcPr>
            <w:tcW w:w="0" w:type="auto"/>
            <w:tcBorders>
              <w:top w:val="nil"/>
              <w:left w:val="nil"/>
              <w:bottom w:val="single" w:sz="4" w:space="0" w:color="auto"/>
              <w:right w:val="single" w:sz="4" w:space="0" w:color="auto"/>
            </w:tcBorders>
            <w:shd w:val="clear" w:color="000000" w:fill="FFFFFF"/>
            <w:vAlign w:val="center"/>
            <w:hideMark/>
          </w:tcPr>
          <w:p w14:paraId="51FC10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169,128,268</w:t>
            </w:r>
          </w:p>
        </w:tc>
        <w:tc>
          <w:tcPr>
            <w:tcW w:w="0" w:type="auto"/>
            <w:tcBorders>
              <w:top w:val="nil"/>
              <w:left w:val="nil"/>
              <w:bottom w:val="single" w:sz="4" w:space="0" w:color="auto"/>
              <w:right w:val="single" w:sz="4" w:space="0" w:color="auto"/>
            </w:tcBorders>
            <w:shd w:val="clear" w:color="000000" w:fill="FFFFFF"/>
            <w:vAlign w:val="center"/>
            <w:hideMark/>
          </w:tcPr>
          <w:p w14:paraId="4E2350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BDA2C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169,128,268</w:t>
            </w:r>
          </w:p>
        </w:tc>
        <w:tc>
          <w:tcPr>
            <w:tcW w:w="0" w:type="auto"/>
            <w:tcBorders>
              <w:top w:val="nil"/>
              <w:left w:val="nil"/>
              <w:bottom w:val="single" w:sz="4" w:space="0" w:color="auto"/>
              <w:right w:val="single" w:sz="4" w:space="0" w:color="auto"/>
            </w:tcBorders>
            <w:shd w:val="clear" w:color="000000" w:fill="FFFFFF"/>
            <w:vAlign w:val="center"/>
            <w:hideMark/>
          </w:tcPr>
          <w:p w14:paraId="3BD9B6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845,506,884</w:t>
            </w:r>
          </w:p>
        </w:tc>
        <w:tc>
          <w:tcPr>
            <w:tcW w:w="0" w:type="auto"/>
            <w:tcBorders>
              <w:top w:val="nil"/>
              <w:left w:val="nil"/>
              <w:bottom w:val="single" w:sz="4" w:space="0" w:color="auto"/>
              <w:right w:val="single" w:sz="4" w:space="0" w:color="auto"/>
            </w:tcBorders>
            <w:shd w:val="clear" w:color="000000" w:fill="FFFFFF"/>
            <w:vAlign w:val="center"/>
            <w:hideMark/>
          </w:tcPr>
          <w:p w14:paraId="2A2B34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6778F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845,506,884</w:t>
            </w:r>
          </w:p>
        </w:tc>
        <w:tc>
          <w:tcPr>
            <w:tcW w:w="0" w:type="auto"/>
            <w:tcBorders>
              <w:top w:val="nil"/>
              <w:left w:val="nil"/>
              <w:bottom w:val="single" w:sz="4" w:space="0" w:color="auto"/>
              <w:right w:val="single" w:sz="4" w:space="0" w:color="auto"/>
            </w:tcBorders>
            <w:shd w:val="clear" w:color="000000" w:fill="FFFFFF"/>
            <w:noWrap/>
            <w:vAlign w:val="center"/>
            <w:hideMark/>
          </w:tcPr>
          <w:p w14:paraId="43C2C9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507,250,348</w:t>
            </w:r>
          </w:p>
        </w:tc>
        <w:tc>
          <w:tcPr>
            <w:tcW w:w="0" w:type="auto"/>
            <w:tcBorders>
              <w:top w:val="nil"/>
              <w:left w:val="nil"/>
              <w:bottom w:val="single" w:sz="4" w:space="0" w:color="auto"/>
              <w:right w:val="single" w:sz="4" w:space="0" w:color="auto"/>
            </w:tcBorders>
            <w:shd w:val="clear" w:color="000000" w:fill="FFFFFF"/>
            <w:noWrap/>
            <w:vAlign w:val="center"/>
            <w:hideMark/>
          </w:tcPr>
          <w:p w14:paraId="22ACDB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7FDF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507,250,348</w:t>
            </w:r>
          </w:p>
        </w:tc>
        <w:tc>
          <w:tcPr>
            <w:tcW w:w="0" w:type="auto"/>
            <w:tcBorders>
              <w:top w:val="nil"/>
              <w:left w:val="nil"/>
              <w:bottom w:val="single" w:sz="4" w:space="0" w:color="auto"/>
              <w:right w:val="single" w:sz="4" w:space="0" w:color="auto"/>
            </w:tcBorders>
            <w:shd w:val="clear" w:color="000000" w:fill="FFFFFF"/>
            <w:noWrap/>
            <w:vAlign w:val="center"/>
            <w:hideMark/>
          </w:tcPr>
          <w:p w14:paraId="30B707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338,256,536</w:t>
            </w:r>
          </w:p>
        </w:tc>
        <w:tc>
          <w:tcPr>
            <w:tcW w:w="0" w:type="auto"/>
            <w:tcBorders>
              <w:top w:val="nil"/>
              <w:left w:val="nil"/>
              <w:bottom w:val="single" w:sz="4" w:space="0" w:color="auto"/>
              <w:right w:val="single" w:sz="4" w:space="0" w:color="auto"/>
            </w:tcBorders>
            <w:shd w:val="clear" w:color="000000" w:fill="FFFFFF"/>
            <w:noWrap/>
            <w:vAlign w:val="center"/>
            <w:hideMark/>
          </w:tcPr>
          <w:p w14:paraId="78B857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FFF2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338,256,536</w:t>
            </w:r>
          </w:p>
        </w:tc>
        <w:tc>
          <w:tcPr>
            <w:tcW w:w="0" w:type="auto"/>
            <w:tcBorders>
              <w:top w:val="nil"/>
              <w:left w:val="nil"/>
              <w:bottom w:val="single" w:sz="4" w:space="0" w:color="auto"/>
              <w:right w:val="single" w:sz="4" w:space="0" w:color="auto"/>
            </w:tcBorders>
            <w:shd w:val="clear" w:color="000000" w:fill="FFFFFF"/>
            <w:vAlign w:val="center"/>
            <w:hideMark/>
          </w:tcPr>
          <w:p w14:paraId="3FF7BE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4543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3159C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A4EAA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6EBC2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414187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F04600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2.2.4</w:t>
            </w:r>
          </w:p>
        </w:tc>
        <w:tc>
          <w:tcPr>
            <w:tcW w:w="0" w:type="auto"/>
            <w:tcBorders>
              <w:top w:val="nil"/>
              <w:left w:val="nil"/>
              <w:bottom w:val="single" w:sz="4" w:space="0" w:color="auto"/>
              <w:right w:val="single" w:sz="4" w:space="0" w:color="auto"/>
            </w:tcBorders>
            <w:shd w:val="clear" w:color="F1F5F9" w:fill="FFFFFF"/>
            <w:vAlign w:val="center"/>
            <w:hideMark/>
          </w:tcPr>
          <w:p w14:paraId="45E45F48" w14:textId="199394B9"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bashkëpunimit me strukturat ligjzbatuese brenda dhe jashtë vendit, përfshirë përmes shkëmbimit të informacionit, analizës së përbashkët të rrezikut dhe veprimeve operacionale të koordinuara, me qëllim parandalimin, zbulimin dhe luftën e aktivitetit kriminal në fushën e trafikimit të paligjshëm dhe trafikimit të qenieve njerëzore.</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5282139" w14:textId="733A9CAD"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 91604AC</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F8F80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4F389482" w14:textId="0636A7BE"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Turizmit, Kulturës dhe Sportit</w:t>
            </w:r>
            <w:r w:rsidR="005C084B" w:rsidRPr="002128A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Instituti Kombëtar i Regjistrimit të Trashëgimisë Kulturore; Autoriteti Kombëtar për Sigurinë Kibernetike; Shërbimi Informativ i Shtetit;Drejtoria e Përgjithshme e Doganave</w:t>
            </w:r>
          </w:p>
        </w:tc>
        <w:tc>
          <w:tcPr>
            <w:tcW w:w="0" w:type="auto"/>
            <w:tcBorders>
              <w:top w:val="nil"/>
              <w:left w:val="nil"/>
              <w:bottom w:val="single" w:sz="4" w:space="0" w:color="auto"/>
              <w:right w:val="single" w:sz="4" w:space="0" w:color="auto"/>
            </w:tcBorders>
            <w:shd w:val="clear" w:color="000000" w:fill="FFFFFF"/>
            <w:vAlign w:val="center"/>
            <w:hideMark/>
          </w:tcPr>
          <w:p w14:paraId="48A616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6CBF6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9BB33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1DAB3B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D0D0E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08E854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53F946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1590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5F66BD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038B4C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08F9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7D5DC0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10BF0E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966C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01DA14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266191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804A3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34F17E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123,324,345</w:t>
            </w:r>
          </w:p>
        </w:tc>
        <w:tc>
          <w:tcPr>
            <w:tcW w:w="0" w:type="auto"/>
            <w:tcBorders>
              <w:top w:val="nil"/>
              <w:left w:val="nil"/>
              <w:bottom w:val="single" w:sz="4" w:space="0" w:color="auto"/>
              <w:right w:val="single" w:sz="4" w:space="0" w:color="auto"/>
            </w:tcBorders>
            <w:shd w:val="clear" w:color="000000" w:fill="FFFFFF"/>
            <w:vAlign w:val="center"/>
            <w:hideMark/>
          </w:tcPr>
          <w:p w14:paraId="2F7C8F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8A3EE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123,324,345</w:t>
            </w:r>
          </w:p>
        </w:tc>
        <w:tc>
          <w:tcPr>
            <w:tcW w:w="0" w:type="auto"/>
            <w:tcBorders>
              <w:top w:val="nil"/>
              <w:left w:val="nil"/>
              <w:bottom w:val="single" w:sz="4" w:space="0" w:color="auto"/>
              <w:right w:val="single" w:sz="4" w:space="0" w:color="auto"/>
            </w:tcBorders>
            <w:shd w:val="clear" w:color="000000" w:fill="FFFFFF"/>
            <w:noWrap/>
            <w:vAlign w:val="center"/>
            <w:hideMark/>
          </w:tcPr>
          <w:p w14:paraId="24083D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73,994,607</w:t>
            </w:r>
          </w:p>
        </w:tc>
        <w:tc>
          <w:tcPr>
            <w:tcW w:w="0" w:type="auto"/>
            <w:tcBorders>
              <w:top w:val="nil"/>
              <w:left w:val="nil"/>
              <w:bottom w:val="single" w:sz="4" w:space="0" w:color="auto"/>
              <w:right w:val="single" w:sz="4" w:space="0" w:color="auto"/>
            </w:tcBorders>
            <w:shd w:val="clear" w:color="000000" w:fill="FFFFFF"/>
            <w:noWrap/>
            <w:vAlign w:val="center"/>
            <w:hideMark/>
          </w:tcPr>
          <w:p w14:paraId="6B2F7C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7B719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73,994,607</w:t>
            </w:r>
          </w:p>
        </w:tc>
        <w:tc>
          <w:tcPr>
            <w:tcW w:w="0" w:type="auto"/>
            <w:tcBorders>
              <w:top w:val="nil"/>
              <w:left w:val="nil"/>
              <w:bottom w:val="single" w:sz="4" w:space="0" w:color="auto"/>
              <w:right w:val="single" w:sz="4" w:space="0" w:color="auto"/>
            </w:tcBorders>
            <w:shd w:val="clear" w:color="000000" w:fill="FFFFFF"/>
            <w:noWrap/>
            <w:vAlign w:val="center"/>
            <w:hideMark/>
          </w:tcPr>
          <w:p w14:paraId="6663AD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49,329,738</w:t>
            </w:r>
          </w:p>
        </w:tc>
        <w:tc>
          <w:tcPr>
            <w:tcW w:w="0" w:type="auto"/>
            <w:tcBorders>
              <w:top w:val="nil"/>
              <w:left w:val="nil"/>
              <w:bottom w:val="single" w:sz="4" w:space="0" w:color="auto"/>
              <w:right w:val="single" w:sz="4" w:space="0" w:color="auto"/>
            </w:tcBorders>
            <w:shd w:val="clear" w:color="000000" w:fill="FFFFFF"/>
            <w:noWrap/>
            <w:vAlign w:val="center"/>
            <w:hideMark/>
          </w:tcPr>
          <w:p w14:paraId="1905A2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83EF0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49,329,738</w:t>
            </w:r>
          </w:p>
        </w:tc>
        <w:tc>
          <w:tcPr>
            <w:tcW w:w="0" w:type="auto"/>
            <w:tcBorders>
              <w:top w:val="nil"/>
              <w:left w:val="nil"/>
              <w:bottom w:val="single" w:sz="4" w:space="0" w:color="auto"/>
              <w:right w:val="single" w:sz="4" w:space="0" w:color="auto"/>
            </w:tcBorders>
            <w:shd w:val="clear" w:color="000000" w:fill="FFFFFF"/>
            <w:vAlign w:val="center"/>
            <w:hideMark/>
          </w:tcPr>
          <w:p w14:paraId="71A547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CB46A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05E77A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321AC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DE061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A427EE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4C81D7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2.2.5</w:t>
            </w:r>
          </w:p>
        </w:tc>
        <w:tc>
          <w:tcPr>
            <w:tcW w:w="0" w:type="auto"/>
            <w:tcBorders>
              <w:top w:val="nil"/>
              <w:left w:val="nil"/>
              <w:bottom w:val="single" w:sz="4" w:space="0" w:color="auto"/>
              <w:right w:val="single" w:sz="4" w:space="0" w:color="auto"/>
            </w:tcBorders>
            <w:shd w:val="clear" w:color="F1F5F9" w:fill="FFFFFF"/>
            <w:vAlign w:val="center"/>
            <w:hideMark/>
          </w:tcPr>
          <w:p w14:paraId="5C1F596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Rritje e aktivitetit hetimor dhe operacioneve të përbashkëta të Policisë së Shtetit kundër trafikimit të armëve të zjarrit dhe municioneve, përfshirë përmes shënjestrimit të orientuar nga inteligjenca, hetimet proaktive dhe metodat e posaçme të hetimit, duke pasur mbështetjen e ligjshme në gjurmim dhe balistikë si dhe bashkëpunim të përforcuar me partnerët kombëtarë dhe ndërkombëtarë.</w:t>
            </w:r>
          </w:p>
        </w:tc>
        <w:tc>
          <w:tcPr>
            <w:tcW w:w="0" w:type="auto"/>
            <w:tcBorders>
              <w:top w:val="nil"/>
              <w:left w:val="nil"/>
              <w:bottom w:val="single" w:sz="4" w:space="0" w:color="auto"/>
              <w:right w:val="single" w:sz="4" w:space="0" w:color="auto"/>
            </w:tcBorders>
            <w:shd w:val="clear" w:color="000000" w:fill="FFFFFF"/>
            <w:vAlign w:val="center"/>
            <w:hideMark/>
          </w:tcPr>
          <w:p w14:paraId="39B602A9" w14:textId="61B997A8"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 91604AC</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690EE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r w:rsidRPr="002128A6">
              <w:rPr>
                <w:rFonts w:ascii="Garamond" w:eastAsia="Times New Roman" w:hAnsi="Garamond" w:cs="Times New Roman"/>
                <w:kern w:val="0"/>
                <w:sz w:val="4"/>
                <w:szCs w:val="8"/>
                <w14:ligatures w14:val="none"/>
              </w:rPr>
              <w:b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114CE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Shërbimi Informativ i Shtetit; Drejtoria e Përgjithshme e Doganave; Autoriteti Kombëtar për Sigurinë Kibernetike/</w:t>
            </w:r>
          </w:p>
        </w:tc>
        <w:tc>
          <w:tcPr>
            <w:tcW w:w="0" w:type="auto"/>
            <w:tcBorders>
              <w:top w:val="nil"/>
              <w:left w:val="nil"/>
              <w:bottom w:val="single" w:sz="4" w:space="0" w:color="auto"/>
              <w:right w:val="single" w:sz="4" w:space="0" w:color="auto"/>
            </w:tcBorders>
            <w:shd w:val="clear" w:color="000000" w:fill="FFFFFF"/>
            <w:vAlign w:val="center"/>
            <w:hideMark/>
          </w:tcPr>
          <w:p w14:paraId="2636B29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B6E630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4DA26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700CEB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AB9AB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0002B4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02E561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4E278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6F2B53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6C2CC5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A3B8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7FF246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0C86BC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7EC9A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3AFB8F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5FC1CF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936F5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24,664,869</w:t>
            </w:r>
          </w:p>
        </w:tc>
        <w:tc>
          <w:tcPr>
            <w:tcW w:w="0" w:type="auto"/>
            <w:tcBorders>
              <w:top w:val="nil"/>
              <w:left w:val="nil"/>
              <w:bottom w:val="single" w:sz="4" w:space="0" w:color="auto"/>
              <w:right w:val="single" w:sz="4" w:space="0" w:color="auto"/>
            </w:tcBorders>
            <w:shd w:val="clear" w:color="000000" w:fill="FFFFFF"/>
            <w:vAlign w:val="center"/>
            <w:hideMark/>
          </w:tcPr>
          <w:p w14:paraId="3C689F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123,324,345</w:t>
            </w:r>
          </w:p>
        </w:tc>
        <w:tc>
          <w:tcPr>
            <w:tcW w:w="0" w:type="auto"/>
            <w:tcBorders>
              <w:top w:val="nil"/>
              <w:left w:val="nil"/>
              <w:bottom w:val="single" w:sz="4" w:space="0" w:color="auto"/>
              <w:right w:val="single" w:sz="4" w:space="0" w:color="auto"/>
            </w:tcBorders>
            <w:shd w:val="clear" w:color="000000" w:fill="FFFFFF"/>
            <w:vAlign w:val="center"/>
            <w:hideMark/>
          </w:tcPr>
          <w:p w14:paraId="14C68C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011A9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123,324,345</w:t>
            </w:r>
          </w:p>
        </w:tc>
        <w:tc>
          <w:tcPr>
            <w:tcW w:w="0" w:type="auto"/>
            <w:tcBorders>
              <w:top w:val="nil"/>
              <w:left w:val="nil"/>
              <w:bottom w:val="single" w:sz="4" w:space="0" w:color="auto"/>
              <w:right w:val="single" w:sz="4" w:space="0" w:color="auto"/>
            </w:tcBorders>
            <w:shd w:val="clear" w:color="000000" w:fill="FFFFFF"/>
            <w:noWrap/>
            <w:vAlign w:val="center"/>
            <w:hideMark/>
          </w:tcPr>
          <w:p w14:paraId="60B14B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73,994,607</w:t>
            </w:r>
          </w:p>
        </w:tc>
        <w:tc>
          <w:tcPr>
            <w:tcW w:w="0" w:type="auto"/>
            <w:tcBorders>
              <w:top w:val="nil"/>
              <w:left w:val="nil"/>
              <w:bottom w:val="single" w:sz="4" w:space="0" w:color="auto"/>
              <w:right w:val="single" w:sz="4" w:space="0" w:color="auto"/>
            </w:tcBorders>
            <w:shd w:val="clear" w:color="000000" w:fill="FFFFFF"/>
            <w:noWrap/>
            <w:vAlign w:val="center"/>
            <w:hideMark/>
          </w:tcPr>
          <w:p w14:paraId="0CA5B7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C7806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73,994,607</w:t>
            </w:r>
          </w:p>
        </w:tc>
        <w:tc>
          <w:tcPr>
            <w:tcW w:w="0" w:type="auto"/>
            <w:tcBorders>
              <w:top w:val="nil"/>
              <w:left w:val="nil"/>
              <w:bottom w:val="single" w:sz="4" w:space="0" w:color="auto"/>
              <w:right w:val="single" w:sz="4" w:space="0" w:color="auto"/>
            </w:tcBorders>
            <w:shd w:val="clear" w:color="000000" w:fill="FFFFFF"/>
            <w:noWrap/>
            <w:vAlign w:val="center"/>
            <w:hideMark/>
          </w:tcPr>
          <w:p w14:paraId="33930B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49,329,738</w:t>
            </w:r>
          </w:p>
        </w:tc>
        <w:tc>
          <w:tcPr>
            <w:tcW w:w="0" w:type="auto"/>
            <w:tcBorders>
              <w:top w:val="nil"/>
              <w:left w:val="nil"/>
              <w:bottom w:val="single" w:sz="4" w:space="0" w:color="auto"/>
              <w:right w:val="single" w:sz="4" w:space="0" w:color="auto"/>
            </w:tcBorders>
            <w:shd w:val="clear" w:color="000000" w:fill="FFFFFF"/>
            <w:noWrap/>
            <w:vAlign w:val="center"/>
            <w:hideMark/>
          </w:tcPr>
          <w:p w14:paraId="2B2DFF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B299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49,329,738</w:t>
            </w:r>
          </w:p>
        </w:tc>
        <w:tc>
          <w:tcPr>
            <w:tcW w:w="0" w:type="auto"/>
            <w:tcBorders>
              <w:top w:val="nil"/>
              <w:left w:val="nil"/>
              <w:bottom w:val="single" w:sz="4" w:space="0" w:color="auto"/>
              <w:right w:val="single" w:sz="4" w:space="0" w:color="auto"/>
            </w:tcBorders>
            <w:shd w:val="clear" w:color="000000" w:fill="FFFFFF"/>
            <w:vAlign w:val="center"/>
            <w:hideMark/>
          </w:tcPr>
          <w:p w14:paraId="44C3EA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B1948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EE7B3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EF981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4ED2F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9BBD92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C8478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2.2.6</w:t>
            </w:r>
          </w:p>
        </w:tc>
        <w:tc>
          <w:tcPr>
            <w:tcW w:w="0" w:type="auto"/>
            <w:tcBorders>
              <w:top w:val="nil"/>
              <w:left w:val="nil"/>
              <w:bottom w:val="single" w:sz="4" w:space="0" w:color="auto"/>
              <w:right w:val="single" w:sz="4" w:space="0" w:color="auto"/>
            </w:tcBorders>
            <w:shd w:val="clear" w:color="F1F5F9" w:fill="FFFFFF"/>
            <w:vAlign w:val="center"/>
            <w:hideMark/>
          </w:tcPr>
          <w:p w14:paraId="211CCA5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Rritje e kontrollit kufitar për parandalimin dhe luftën kundër kontrabandës së mjeteve motorike, përfshirë përmes profilizimit të rrezikut, kontrolleve të përforcuara të mjeteve motorike dhe dokumentacionit, përdorimit përkatës të bazave kombëtare dhe ndërkombëtare të të dhënave, si edhe koordinimit ndërmjet Policisë Kufitare, doganave dhe strukturave hetimore, me qëllim zbulimin dhe referimin në kohë të rasteve. </w:t>
            </w:r>
          </w:p>
        </w:tc>
        <w:tc>
          <w:tcPr>
            <w:tcW w:w="0" w:type="auto"/>
            <w:tcBorders>
              <w:top w:val="nil"/>
              <w:left w:val="nil"/>
              <w:bottom w:val="single" w:sz="4" w:space="0" w:color="auto"/>
              <w:right w:val="single" w:sz="4" w:space="0" w:color="auto"/>
            </w:tcBorders>
            <w:shd w:val="clear" w:color="000000" w:fill="FFFFFF"/>
            <w:vAlign w:val="center"/>
            <w:hideMark/>
          </w:tcPr>
          <w:p w14:paraId="688A42B7" w14:textId="6A02B219"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91604AC</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B2E56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5BBEF4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Drejtoria e Përgjithshme e Doganave</w:t>
            </w:r>
          </w:p>
        </w:tc>
        <w:tc>
          <w:tcPr>
            <w:tcW w:w="0" w:type="auto"/>
            <w:tcBorders>
              <w:top w:val="nil"/>
              <w:left w:val="nil"/>
              <w:bottom w:val="single" w:sz="4" w:space="0" w:color="auto"/>
              <w:right w:val="single" w:sz="4" w:space="0" w:color="auto"/>
            </w:tcBorders>
            <w:shd w:val="clear" w:color="000000" w:fill="FFFFFF"/>
            <w:vAlign w:val="center"/>
            <w:hideMark/>
          </w:tcPr>
          <w:p w14:paraId="47C6DAA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2BFE9A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77283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55,513,333</w:t>
            </w:r>
          </w:p>
        </w:tc>
        <w:tc>
          <w:tcPr>
            <w:tcW w:w="0" w:type="auto"/>
            <w:tcBorders>
              <w:top w:val="nil"/>
              <w:left w:val="nil"/>
              <w:bottom w:val="single" w:sz="4" w:space="0" w:color="auto"/>
              <w:right w:val="single" w:sz="4" w:space="0" w:color="auto"/>
            </w:tcBorders>
            <w:shd w:val="clear" w:color="000000" w:fill="FFFFFF"/>
            <w:vAlign w:val="center"/>
            <w:hideMark/>
          </w:tcPr>
          <w:p w14:paraId="4F2F9B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05B9E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55,513,333</w:t>
            </w:r>
          </w:p>
        </w:tc>
        <w:tc>
          <w:tcPr>
            <w:tcW w:w="0" w:type="auto"/>
            <w:tcBorders>
              <w:top w:val="nil"/>
              <w:left w:val="nil"/>
              <w:bottom w:val="single" w:sz="4" w:space="0" w:color="auto"/>
              <w:right w:val="single" w:sz="4" w:space="0" w:color="auto"/>
            </w:tcBorders>
            <w:shd w:val="clear" w:color="000000" w:fill="FFFFFF"/>
            <w:vAlign w:val="center"/>
            <w:hideMark/>
          </w:tcPr>
          <w:p w14:paraId="05D40D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57,194,027</w:t>
            </w:r>
          </w:p>
        </w:tc>
        <w:tc>
          <w:tcPr>
            <w:tcW w:w="0" w:type="auto"/>
            <w:tcBorders>
              <w:top w:val="nil"/>
              <w:left w:val="nil"/>
              <w:bottom w:val="single" w:sz="4" w:space="0" w:color="auto"/>
              <w:right w:val="single" w:sz="4" w:space="0" w:color="auto"/>
            </w:tcBorders>
            <w:shd w:val="clear" w:color="000000" w:fill="FFFFFF"/>
            <w:vAlign w:val="center"/>
            <w:hideMark/>
          </w:tcPr>
          <w:p w14:paraId="330BE7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ACC32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57,194,027</w:t>
            </w:r>
          </w:p>
        </w:tc>
        <w:tc>
          <w:tcPr>
            <w:tcW w:w="0" w:type="auto"/>
            <w:tcBorders>
              <w:top w:val="nil"/>
              <w:left w:val="nil"/>
              <w:bottom w:val="single" w:sz="4" w:space="0" w:color="auto"/>
              <w:right w:val="single" w:sz="4" w:space="0" w:color="auto"/>
            </w:tcBorders>
            <w:shd w:val="clear" w:color="000000" w:fill="FFFFFF"/>
            <w:vAlign w:val="center"/>
            <w:hideMark/>
          </w:tcPr>
          <w:p w14:paraId="36ABF2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7D72DE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AC445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16B168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2F028C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FD600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1FD705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16ECBD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3A09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349633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281,835,630</w:t>
            </w:r>
          </w:p>
        </w:tc>
        <w:tc>
          <w:tcPr>
            <w:tcW w:w="0" w:type="auto"/>
            <w:tcBorders>
              <w:top w:val="nil"/>
              <w:left w:val="nil"/>
              <w:bottom w:val="single" w:sz="4" w:space="0" w:color="auto"/>
              <w:right w:val="single" w:sz="4" w:space="0" w:color="auto"/>
            </w:tcBorders>
            <w:shd w:val="clear" w:color="000000" w:fill="FFFFFF"/>
            <w:vAlign w:val="center"/>
            <w:hideMark/>
          </w:tcPr>
          <w:p w14:paraId="0137C4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38BCE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281,835,630</w:t>
            </w:r>
          </w:p>
        </w:tc>
        <w:tc>
          <w:tcPr>
            <w:tcW w:w="0" w:type="auto"/>
            <w:tcBorders>
              <w:top w:val="nil"/>
              <w:left w:val="nil"/>
              <w:bottom w:val="single" w:sz="4" w:space="0" w:color="auto"/>
              <w:right w:val="single" w:sz="4" w:space="0" w:color="auto"/>
            </w:tcBorders>
            <w:shd w:val="clear" w:color="000000" w:fill="FFFFFF"/>
            <w:noWrap/>
            <w:vAlign w:val="center"/>
            <w:hideMark/>
          </w:tcPr>
          <w:p w14:paraId="356FD4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169,083,450</w:t>
            </w:r>
          </w:p>
        </w:tc>
        <w:tc>
          <w:tcPr>
            <w:tcW w:w="0" w:type="auto"/>
            <w:tcBorders>
              <w:top w:val="nil"/>
              <w:left w:val="nil"/>
              <w:bottom w:val="single" w:sz="4" w:space="0" w:color="auto"/>
              <w:right w:val="single" w:sz="4" w:space="0" w:color="auto"/>
            </w:tcBorders>
            <w:shd w:val="clear" w:color="000000" w:fill="FFFFFF"/>
            <w:noWrap/>
            <w:vAlign w:val="center"/>
            <w:hideMark/>
          </w:tcPr>
          <w:p w14:paraId="1E28E8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26779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169,083,450</w:t>
            </w:r>
          </w:p>
        </w:tc>
        <w:tc>
          <w:tcPr>
            <w:tcW w:w="0" w:type="auto"/>
            <w:tcBorders>
              <w:top w:val="nil"/>
              <w:left w:val="nil"/>
              <w:bottom w:val="single" w:sz="4" w:space="0" w:color="auto"/>
              <w:right w:val="single" w:sz="4" w:space="0" w:color="auto"/>
            </w:tcBorders>
            <w:shd w:val="clear" w:color="000000" w:fill="FFFFFF"/>
            <w:noWrap/>
            <w:vAlign w:val="center"/>
            <w:hideMark/>
          </w:tcPr>
          <w:p w14:paraId="76A086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112,752,180</w:t>
            </w:r>
          </w:p>
        </w:tc>
        <w:tc>
          <w:tcPr>
            <w:tcW w:w="0" w:type="auto"/>
            <w:tcBorders>
              <w:top w:val="nil"/>
              <w:left w:val="nil"/>
              <w:bottom w:val="single" w:sz="4" w:space="0" w:color="auto"/>
              <w:right w:val="single" w:sz="4" w:space="0" w:color="auto"/>
            </w:tcBorders>
            <w:shd w:val="clear" w:color="000000" w:fill="FFFFFF"/>
            <w:noWrap/>
            <w:vAlign w:val="center"/>
            <w:hideMark/>
          </w:tcPr>
          <w:p w14:paraId="074428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CE8C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112,752,180</w:t>
            </w:r>
          </w:p>
        </w:tc>
        <w:tc>
          <w:tcPr>
            <w:tcW w:w="0" w:type="auto"/>
            <w:tcBorders>
              <w:top w:val="nil"/>
              <w:left w:val="nil"/>
              <w:bottom w:val="single" w:sz="4" w:space="0" w:color="auto"/>
              <w:right w:val="single" w:sz="4" w:space="0" w:color="auto"/>
            </w:tcBorders>
            <w:shd w:val="clear" w:color="000000" w:fill="FFFFFF"/>
            <w:vAlign w:val="center"/>
            <w:hideMark/>
          </w:tcPr>
          <w:p w14:paraId="7ADE9A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CC60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3A7669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8183A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48913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25ACA5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3B6E4A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2.2.7</w:t>
            </w:r>
          </w:p>
        </w:tc>
        <w:tc>
          <w:tcPr>
            <w:tcW w:w="0" w:type="auto"/>
            <w:tcBorders>
              <w:top w:val="nil"/>
              <w:left w:val="nil"/>
              <w:bottom w:val="single" w:sz="4" w:space="0" w:color="auto"/>
              <w:right w:val="single" w:sz="4" w:space="0" w:color="auto"/>
            </w:tcBorders>
            <w:shd w:val="clear" w:color="F1F5F9" w:fill="FFFFFF"/>
            <w:vAlign w:val="center"/>
            <w:hideMark/>
          </w:tcPr>
          <w:p w14:paraId="7A6E6AC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Rritje e kontrollit kufitar për parandalimin dhe luftën kundër trafikimit ndërkombëtar të pasurive kulturore, përfshirë përmes kontrolleve të shënjestruara në pikat kufitare, procedurave të përmirësuara të identifikimit dhe verifikimit, përdorimit të </w:t>
            </w:r>
            <w:r w:rsidRPr="002128A6">
              <w:rPr>
                <w:rFonts w:ascii="Garamond" w:eastAsia="Times New Roman" w:hAnsi="Garamond" w:cs="Times New Roman"/>
                <w:kern w:val="0"/>
                <w:sz w:val="4"/>
                <w:szCs w:val="8"/>
                <w14:ligatures w14:val="none"/>
              </w:rPr>
              <w:lastRenderedPageBreak/>
              <w:t>ekspertizës së specializuar dhe bazave të të dhënave dhe veprimit të koordinuar me institucionet përgjegjëse kombëtare dhe partnerët ndërkombëtarë.</w:t>
            </w:r>
          </w:p>
        </w:tc>
        <w:tc>
          <w:tcPr>
            <w:tcW w:w="0" w:type="auto"/>
            <w:tcBorders>
              <w:top w:val="nil"/>
              <w:left w:val="nil"/>
              <w:bottom w:val="single" w:sz="4" w:space="0" w:color="auto"/>
              <w:right w:val="single" w:sz="4" w:space="0" w:color="auto"/>
            </w:tcBorders>
            <w:shd w:val="clear" w:color="000000" w:fill="FFFFFF"/>
            <w:vAlign w:val="center"/>
            <w:hideMark/>
          </w:tcPr>
          <w:p w14:paraId="79033027" w14:textId="3DC4D353"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lastRenderedPageBreak/>
              <w:t>91604AA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A5B3C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6933CA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Turizmit, Kulturës </w:t>
            </w:r>
            <w:r w:rsidRPr="002128A6">
              <w:rPr>
                <w:rFonts w:ascii="Garamond" w:eastAsia="Times New Roman" w:hAnsi="Garamond" w:cs="Times New Roman"/>
                <w:kern w:val="0"/>
                <w:sz w:val="4"/>
                <w:szCs w:val="8"/>
                <w14:ligatures w14:val="none"/>
              </w:rPr>
              <w:lastRenderedPageBreak/>
              <w:t>dhe Sportit/Instituti Kombëtar i Regjistrimit të Trashëgimisë Kulturore</w:t>
            </w:r>
          </w:p>
        </w:tc>
        <w:tc>
          <w:tcPr>
            <w:tcW w:w="0" w:type="auto"/>
            <w:tcBorders>
              <w:top w:val="nil"/>
              <w:left w:val="nil"/>
              <w:bottom w:val="single" w:sz="4" w:space="0" w:color="auto"/>
              <w:right w:val="single" w:sz="4" w:space="0" w:color="auto"/>
            </w:tcBorders>
            <w:shd w:val="clear" w:color="000000" w:fill="FFFFFF"/>
            <w:vAlign w:val="center"/>
            <w:hideMark/>
          </w:tcPr>
          <w:p w14:paraId="02E9DB6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lastRenderedPageBreak/>
              <w:t>2026</w:t>
            </w:r>
          </w:p>
        </w:tc>
        <w:tc>
          <w:tcPr>
            <w:tcW w:w="0" w:type="auto"/>
            <w:tcBorders>
              <w:top w:val="nil"/>
              <w:left w:val="nil"/>
              <w:bottom w:val="single" w:sz="4" w:space="0" w:color="auto"/>
              <w:right w:val="single" w:sz="4" w:space="0" w:color="auto"/>
            </w:tcBorders>
            <w:shd w:val="clear" w:color="000000" w:fill="FFFFFF"/>
            <w:vAlign w:val="center"/>
            <w:hideMark/>
          </w:tcPr>
          <w:p w14:paraId="609267B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BA1AF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55,513,333</w:t>
            </w:r>
          </w:p>
        </w:tc>
        <w:tc>
          <w:tcPr>
            <w:tcW w:w="0" w:type="auto"/>
            <w:tcBorders>
              <w:top w:val="nil"/>
              <w:left w:val="nil"/>
              <w:bottom w:val="single" w:sz="4" w:space="0" w:color="auto"/>
              <w:right w:val="single" w:sz="4" w:space="0" w:color="auto"/>
            </w:tcBorders>
            <w:shd w:val="clear" w:color="000000" w:fill="FFFFFF"/>
            <w:vAlign w:val="center"/>
            <w:hideMark/>
          </w:tcPr>
          <w:p w14:paraId="34E5E1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18EC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55,513,333</w:t>
            </w:r>
          </w:p>
        </w:tc>
        <w:tc>
          <w:tcPr>
            <w:tcW w:w="0" w:type="auto"/>
            <w:tcBorders>
              <w:top w:val="nil"/>
              <w:left w:val="nil"/>
              <w:bottom w:val="single" w:sz="4" w:space="0" w:color="auto"/>
              <w:right w:val="single" w:sz="4" w:space="0" w:color="auto"/>
            </w:tcBorders>
            <w:shd w:val="clear" w:color="000000" w:fill="FFFFFF"/>
            <w:vAlign w:val="center"/>
            <w:hideMark/>
          </w:tcPr>
          <w:p w14:paraId="41408A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57,194,027</w:t>
            </w:r>
          </w:p>
        </w:tc>
        <w:tc>
          <w:tcPr>
            <w:tcW w:w="0" w:type="auto"/>
            <w:tcBorders>
              <w:top w:val="nil"/>
              <w:left w:val="nil"/>
              <w:bottom w:val="single" w:sz="4" w:space="0" w:color="auto"/>
              <w:right w:val="single" w:sz="4" w:space="0" w:color="auto"/>
            </w:tcBorders>
            <w:shd w:val="clear" w:color="000000" w:fill="FFFFFF"/>
            <w:vAlign w:val="center"/>
            <w:hideMark/>
          </w:tcPr>
          <w:p w14:paraId="640F16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1EB05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57,194,027</w:t>
            </w:r>
          </w:p>
        </w:tc>
        <w:tc>
          <w:tcPr>
            <w:tcW w:w="0" w:type="auto"/>
            <w:tcBorders>
              <w:top w:val="nil"/>
              <w:left w:val="nil"/>
              <w:bottom w:val="single" w:sz="4" w:space="0" w:color="auto"/>
              <w:right w:val="single" w:sz="4" w:space="0" w:color="auto"/>
            </w:tcBorders>
            <w:shd w:val="clear" w:color="000000" w:fill="FFFFFF"/>
            <w:vAlign w:val="center"/>
            <w:hideMark/>
          </w:tcPr>
          <w:p w14:paraId="203075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7E09C7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82CF9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5063E0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22A2A2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30BA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6C7917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7C7F4C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AB6C7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56,376,090</w:t>
            </w:r>
          </w:p>
        </w:tc>
        <w:tc>
          <w:tcPr>
            <w:tcW w:w="0" w:type="auto"/>
            <w:tcBorders>
              <w:top w:val="nil"/>
              <w:left w:val="nil"/>
              <w:bottom w:val="single" w:sz="4" w:space="0" w:color="auto"/>
              <w:right w:val="single" w:sz="4" w:space="0" w:color="auto"/>
            </w:tcBorders>
            <w:shd w:val="clear" w:color="000000" w:fill="FFFFFF"/>
            <w:vAlign w:val="center"/>
            <w:hideMark/>
          </w:tcPr>
          <w:p w14:paraId="111F14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281,835,630</w:t>
            </w:r>
          </w:p>
        </w:tc>
        <w:tc>
          <w:tcPr>
            <w:tcW w:w="0" w:type="auto"/>
            <w:tcBorders>
              <w:top w:val="nil"/>
              <w:left w:val="nil"/>
              <w:bottom w:val="single" w:sz="4" w:space="0" w:color="auto"/>
              <w:right w:val="single" w:sz="4" w:space="0" w:color="auto"/>
            </w:tcBorders>
            <w:shd w:val="clear" w:color="000000" w:fill="FFFFFF"/>
            <w:vAlign w:val="center"/>
            <w:hideMark/>
          </w:tcPr>
          <w:p w14:paraId="705B8B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2F8BF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281,835,630</w:t>
            </w:r>
          </w:p>
        </w:tc>
        <w:tc>
          <w:tcPr>
            <w:tcW w:w="0" w:type="auto"/>
            <w:tcBorders>
              <w:top w:val="nil"/>
              <w:left w:val="nil"/>
              <w:bottom w:val="single" w:sz="4" w:space="0" w:color="auto"/>
              <w:right w:val="single" w:sz="4" w:space="0" w:color="auto"/>
            </w:tcBorders>
            <w:shd w:val="clear" w:color="000000" w:fill="FFFFFF"/>
            <w:noWrap/>
            <w:vAlign w:val="center"/>
            <w:hideMark/>
          </w:tcPr>
          <w:p w14:paraId="1BE041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169,083,450</w:t>
            </w:r>
          </w:p>
        </w:tc>
        <w:tc>
          <w:tcPr>
            <w:tcW w:w="0" w:type="auto"/>
            <w:tcBorders>
              <w:top w:val="nil"/>
              <w:left w:val="nil"/>
              <w:bottom w:val="single" w:sz="4" w:space="0" w:color="auto"/>
              <w:right w:val="single" w:sz="4" w:space="0" w:color="auto"/>
            </w:tcBorders>
            <w:shd w:val="clear" w:color="000000" w:fill="FFFFFF"/>
            <w:noWrap/>
            <w:vAlign w:val="center"/>
            <w:hideMark/>
          </w:tcPr>
          <w:p w14:paraId="053AB9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FBCD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169,083,450</w:t>
            </w:r>
          </w:p>
        </w:tc>
        <w:tc>
          <w:tcPr>
            <w:tcW w:w="0" w:type="auto"/>
            <w:tcBorders>
              <w:top w:val="nil"/>
              <w:left w:val="nil"/>
              <w:bottom w:val="single" w:sz="4" w:space="0" w:color="auto"/>
              <w:right w:val="single" w:sz="4" w:space="0" w:color="auto"/>
            </w:tcBorders>
            <w:shd w:val="clear" w:color="000000" w:fill="FFFFFF"/>
            <w:noWrap/>
            <w:vAlign w:val="center"/>
            <w:hideMark/>
          </w:tcPr>
          <w:p w14:paraId="2F000E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112,752,180</w:t>
            </w:r>
          </w:p>
        </w:tc>
        <w:tc>
          <w:tcPr>
            <w:tcW w:w="0" w:type="auto"/>
            <w:tcBorders>
              <w:top w:val="nil"/>
              <w:left w:val="nil"/>
              <w:bottom w:val="single" w:sz="4" w:space="0" w:color="auto"/>
              <w:right w:val="single" w:sz="4" w:space="0" w:color="auto"/>
            </w:tcBorders>
            <w:shd w:val="clear" w:color="000000" w:fill="FFFFFF"/>
            <w:noWrap/>
            <w:vAlign w:val="center"/>
            <w:hideMark/>
          </w:tcPr>
          <w:p w14:paraId="302A54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2EAA8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112,752,180</w:t>
            </w:r>
          </w:p>
        </w:tc>
        <w:tc>
          <w:tcPr>
            <w:tcW w:w="0" w:type="auto"/>
            <w:tcBorders>
              <w:top w:val="nil"/>
              <w:left w:val="nil"/>
              <w:bottom w:val="single" w:sz="4" w:space="0" w:color="auto"/>
              <w:right w:val="single" w:sz="4" w:space="0" w:color="auto"/>
            </w:tcBorders>
            <w:shd w:val="clear" w:color="000000" w:fill="FFFFFF"/>
            <w:vAlign w:val="center"/>
            <w:hideMark/>
          </w:tcPr>
          <w:p w14:paraId="5F4531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C78D5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29C1A0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99E7E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05BF1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AB5C1A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C35E61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2.2.8</w:t>
            </w:r>
          </w:p>
        </w:tc>
        <w:tc>
          <w:tcPr>
            <w:tcW w:w="0" w:type="auto"/>
            <w:tcBorders>
              <w:top w:val="nil"/>
              <w:left w:val="nil"/>
              <w:bottom w:val="single" w:sz="4" w:space="0" w:color="auto"/>
              <w:right w:val="single" w:sz="4" w:space="0" w:color="auto"/>
            </w:tcBorders>
            <w:shd w:val="clear" w:color="F1F5F9" w:fill="FFFFFF"/>
            <w:vAlign w:val="center"/>
            <w:hideMark/>
          </w:tcPr>
          <w:p w14:paraId="6ACA105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Hartimi dhe miratimi i Planit Kombëtar të Veprimit “Për parandalimin dhe luftën kundër trafikimit të pasurive kulturore të luajtshme”, për vitet 2026-2028.</w:t>
            </w:r>
          </w:p>
        </w:tc>
        <w:tc>
          <w:tcPr>
            <w:tcW w:w="0" w:type="auto"/>
            <w:tcBorders>
              <w:top w:val="nil"/>
              <w:left w:val="nil"/>
              <w:bottom w:val="single" w:sz="4" w:space="0" w:color="auto"/>
              <w:right w:val="single" w:sz="4" w:space="0" w:color="auto"/>
            </w:tcBorders>
            <w:shd w:val="clear" w:color="000000" w:fill="FFFFFF"/>
            <w:vAlign w:val="center"/>
            <w:hideMark/>
          </w:tcPr>
          <w:p w14:paraId="64E10A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91202AB</w:t>
            </w:r>
          </w:p>
        </w:tc>
        <w:tc>
          <w:tcPr>
            <w:tcW w:w="0" w:type="auto"/>
            <w:tcBorders>
              <w:top w:val="nil"/>
              <w:left w:val="nil"/>
              <w:bottom w:val="single" w:sz="4" w:space="0" w:color="auto"/>
              <w:right w:val="single" w:sz="4" w:space="0" w:color="auto"/>
            </w:tcBorders>
            <w:shd w:val="clear" w:color="000000" w:fill="FFFFFF"/>
            <w:vAlign w:val="center"/>
            <w:hideMark/>
          </w:tcPr>
          <w:p w14:paraId="286491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Instituti Kombëtar për Regjistrimin e Trashëgimisë Kulturore; Ministria e Turizmit, Kulturës dhe Sportit</w:t>
            </w:r>
          </w:p>
        </w:tc>
        <w:tc>
          <w:tcPr>
            <w:tcW w:w="0" w:type="auto"/>
            <w:tcBorders>
              <w:top w:val="nil"/>
              <w:left w:val="nil"/>
              <w:bottom w:val="single" w:sz="4" w:space="0" w:color="auto"/>
              <w:right w:val="single" w:sz="4" w:space="0" w:color="auto"/>
            </w:tcBorders>
            <w:shd w:val="clear" w:color="000000" w:fill="FFFFFF"/>
            <w:vAlign w:val="center"/>
            <w:hideMark/>
          </w:tcPr>
          <w:p w14:paraId="352AF9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Brendshme/Policia e Shtetit; Drejtoria e Përgjithshme e Doganave</w:t>
            </w:r>
          </w:p>
        </w:tc>
        <w:tc>
          <w:tcPr>
            <w:tcW w:w="0" w:type="auto"/>
            <w:tcBorders>
              <w:top w:val="nil"/>
              <w:left w:val="nil"/>
              <w:bottom w:val="single" w:sz="4" w:space="0" w:color="auto"/>
              <w:right w:val="single" w:sz="4" w:space="0" w:color="auto"/>
            </w:tcBorders>
            <w:shd w:val="clear" w:color="000000" w:fill="FFFFFF"/>
            <w:vAlign w:val="center"/>
            <w:hideMark/>
          </w:tcPr>
          <w:p w14:paraId="4CB1AE1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77069F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E9F13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1,404,000</w:t>
            </w:r>
          </w:p>
        </w:tc>
        <w:tc>
          <w:tcPr>
            <w:tcW w:w="0" w:type="auto"/>
            <w:tcBorders>
              <w:top w:val="nil"/>
              <w:left w:val="nil"/>
              <w:bottom w:val="single" w:sz="4" w:space="0" w:color="auto"/>
              <w:right w:val="single" w:sz="4" w:space="0" w:color="auto"/>
            </w:tcBorders>
            <w:shd w:val="clear" w:color="000000" w:fill="FFFFFF"/>
            <w:vAlign w:val="center"/>
            <w:hideMark/>
          </w:tcPr>
          <w:p w14:paraId="07C015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F03A5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1,404,000</w:t>
            </w:r>
          </w:p>
        </w:tc>
        <w:tc>
          <w:tcPr>
            <w:tcW w:w="0" w:type="auto"/>
            <w:tcBorders>
              <w:top w:val="nil"/>
              <w:left w:val="nil"/>
              <w:bottom w:val="single" w:sz="4" w:space="0" w:color="auto"/>
              <w:right w:val="single" w:sz="4" w:space="0" w:color="auto"/>
            </w:tcBorders>
            <w:shd w:val="clear" w:color="000000" w:fill="FFFFFF"/>
            <w:vAlign w:val="center"/>
            <w:hideMark/>
          </w:tcPr>
          <w:p w14:paraId="79E0FB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1,404,000</w:t>
            </w:r>
          </w:p>
        </w:tc>
        <w:tc>
          <w:tcPr>
            <w:tcW w:w="0" w:type="auto"/>
            <w:tcBorders>
              <w:top w:val="nil"/>
              <w:left w:val="nil"/>
              <w:bottom w:val="single" w:sz="4" w:space="0" w:color="auto"/>
              <w:right w:val="single" w:sz="4" w:space="0" w:color="auto"/>
            </w:tcBorders>
            <w:shd w:val="clear" w:color="000000" w:fill="FFFFFF"/>
            <w:vAlign w:val="center"/>
            <w:hideMark/>
          </w:tcPr>
          <w:p w14:paraId="4716CA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063ED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1,404,000</w:t>
            </w:r>
          </w:p>
        </w:tc>
        <w:tc>
          <w:tcPr>
            <w:tcW w:w="0" w:type="auto"/>
            <w:tcBorders>
              <w:top w:val="nil"/>
              <w:left w:val="nil"/>
              <w:bottom w:val="single" w:sz="4" w:space="0" w:color="auto"/>
              <w:right w:val="single" w:sz="4" w:space="0" w:color="auto"/>
            </w:tcBorders>
            <w:shd w:val="clear" w:color="000000" w:fill="FFFFFF"/>
            <w:vAlign w:val="center"/>
            <w:hideMark/>
          </w:tcPr>
          <w:p w14:paraId="2493FB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1,404,000</w:t>
            </w:r>
          </w:p>
        </w:tc>
        <w:tc>
          <w:tcPr>
            <w:tcW w:w="0" w:type="auto"/>
            <w:tcBorders>
              <w:top w:val="nil"/>
              <w:left w:val="nil"/>
              <w:bottom w:val="single" w:sz="4" w:space="0" w:color="auto"/>
              <w:right w:val="single" w:sz="4" w:space="0" w:color="auto"/>
            </w:tcBorders>
            <w:shd w:val="clear" w:color="000000" w:fill="FFFFFF"/>
            <w:vAlign w:val="center"/>
            <w:hideMark/>
          </w:tcPr>
          <w:p w14:paraId="5C194F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1FAE9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1,404,000</w:t>
            </w:r>
          </w:p>
        </w:tc>
        <w:tc>
          <w:tcPr>
            <w:tcW w:w="0" w:type="auto"/>
            <w:tcBorders>
              <w:top w:val="nil"/>
              <w:left w:val="nil"/>
              <w:bottom w:val="single" w:sz="4" w:space="0" w:color="auto"/>
              <w:right w:val="single" w:sz="4" w:space="0" w:color="auto"/>
            </w:tcBorders>
            <w:shd w:val="clear" w:color="000000" w:fill="FFFFFF"/>
            <w:vAlign w:val="center"/>
            <w:hideMark/>
          </w:tcPr>
          <w:p w14:paraId="21E5B1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E024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8D228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717D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9DA23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09A18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9E3C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4,212,000</w:t>
            </w:r>
          </w:p>
        </w:tc>
        <w:tc>
          <w:tcPr>
            <w:tcW w:w="0" w:type="auto"/>
            <w:tcBorders>
              <w:top w:val="nil"/>
              <w:left w:val="nil"/>
              <w:bottom w:val="single" w:sz="4" w:space="0" w:color="auto"/>
              <w:right w:val="single" w:sz="4" w:space="0" w:color="auto"/>
            </w:tcBorders>
            <w:shd w:val="clear" w:color="000000" w:fill="FFFFFF"/>
            <w:vAlign w:val="center"/>
            <w:hideMark/>
          </w:tcPr>
          <w:p w14:paraId="7B7A75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3FAF7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4,212,000</w:t>
            </w:r>
          </w:p>
        </w:tc>
        <w:tc>
          <w:tcPr>
            <w:tcW w:w="0" w:type="auto"/>
            <w:tcBorders>
              <w:top w:val="nil"/>
              <w:left w:val="nil"/>
              <w:bottom w:val="single" w:sz="4" w:space="0" w:color="auto"/>
              <w:right w:val="single" w:sz="4" w:space="0" w:color="auto"/>
            </w:tcBorders>
            <w:shd w:val="clear" w:color="000000" w:fill="FFFFFF"/>
            <w:noWrap/>
            <w:vAlign w:val="center"/>
            <w:hideMark/>
          </w:tcPr>
          <w:p w14:paraId="6DE832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4,212,000</w:t>
            </w:r>
          </w:p>
        </w:tc>
        <w:tc>
          <w:tcPr>
            <w:tcW w:w="0" w:type="auto"/>
            <w:tcBorders>
              <w:top w:val="nil"/>
              <w:left w:val="nil"/>
              <w:bottom w:val="single" w:sz="4" w:space="0" w:color="auto"/>
              <w:right w:val="single" w:sz="4" w:space="0" w:color="auto"/>
            </w:tcBorders>
            <w:shd w:val="clear" w:color="000000" w:fill="FFFFFF"/>
            <w:noWrap/>
            <w:vAlign w:val="center"/>
            <w:hideMark/>
          </w:tcPr>
          <w:p w14:paraId="7FF41B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D9A2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4,212,000</w:t>
            </w:r>
          </w:p>
        </w:tc>
        <w:tc>
          <w:tcPr>
            <w:tcW w:w="0" w:type="auto"/>
            <w:tcBorders>
              <w:top w:val="nil"/>
              <w:left w:val="nil"/>
              <w:bottom w:val="single" w:sz="4" w:space="0" w:color="auto"/>
              <w:right w:val="single" w:sz="4" w:space="0" w:color="auto"/>
            </w:tcBorders>
            <w:shd w:val="clear" w:color="000000" w:fill="FFFFFF"/>
            <w:noWrap/>
            <w:vAlign w:val="center"/>
            <w:hideMark/>
          </w:tcPr>
          <w:p w14:paraId="02398F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533F8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D692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3C8EB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E0065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04B2F5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F64F5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F368C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9845D8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0D7C98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2.2.9</w:t>
            </w:r>
          </w:p>
        </w:tc>
        <w:tc>
          <w:tcPr>
            <w:tcW w:w="0" w:type="auto"/>
            <w:tcBorders>
              <w:top w:val="nil"/>
              <w:left w:val="nil"/>
              <w:bottom w:val="single" w:sz="4" w:space="0" w:color="auto"/>
              <w:right w:val="single" w:sz="4" w:space="0" w:color="auto"/>
            </w:tcBorders>
            <w:shd w:val="clear" w:color="F1F5F9" w:fill="FFFFFF"/>
            <w:vAlign w:val="center"/>
            <w:hideMark/>
          </w:tcPr>
          <w:p w14:paraId="515A5D1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Ngritja dhe vënia në funksion e databazës së Objekteve të Humbura, bazuar në procedura të standardizuara për administrimin dhe përditësimin e të dhënave.</w:t>
            </w:r>
          </w:p>
        </w:tc>
        <w:tc>
          <w:tcPr>
            <w:tcW w:w="0" w:type="auto"/>
            <w:tcBorders>
              <w:top w:val="nil"/>
              <w:left w:val="nil"/>
              <w:bottom w:val="single" w:sz="4" w:space="0" w:color="auto"/>
              <w:right w:val="single" w:sz="4" w:space="0" w:color="auto"/>
            </w:tcBorders>
            <w:shd w:val="clear" w:color="000000" w:fill="FFFFFF"/>
            <w:vAlign w:val="center"/>
            <w:hideMark/>
          </w:tcPr>
          <w:p w14:paraId="12B10A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91202AB</w:t>
            </w:r>
          </w:p>
        </w:tc>
        <w:tc>
          <w:tcPr>
            <w:tcW w:w="0" w:type="auto"/>
            <w:tcBorders>
              <w:top w:val="nil"/>
              <w:left w:val="nil"/>
              <w:bottom w:val="single" w:sz="4" w:space="0" w:color="auto"/>
              <w:right w:val="single" w:sz="4" w:space="0" w:color="auto"/>
            </w:tcBorders>
            <w:shd w:val="clear" w:color="000000" w:fill="FFFFFF"/>
            <w:vAlign w:val="center"/>
            <w:hideMark/>
          </w:tcPr>
          <w:p w14:paraId="2CF35C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Instituti Kombëtar për Regjistrimin e Trashëgimisë Kulturore; Ministria e Turizmit, Kulturës dhe Sportit</w:t>
            </w:r>
          </w:p>
        </w:tc>
        <w:tc>
          <w:tcPr>
            <w:tcW w:w="0" w:type="auto"/>
            <w:tcBorders>
              <w:top w:val="nil"/>
              <w:left w:val="nil"/>
              <w:bottom w:val="single" w:sz="4" w:space="0" w:color="auto"/>
              <w:right w:val="single" w:sz="4" w:space="0" w:color="auto"/>
            </w:tcBorders>
            <w:shd w:val="clear" w:color="000000" w:fill="FFFFFF"/>
            <w:vAlign w:val="center"/>
            <w:hideMark/>
          </w:tcPr>
          <w:p w14:paraId="0F3DCE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Kombëtare e Shoqërisë së Informacionit</w:t>
            </w:r>
          </w:p>
        </w:tc>
        <w:tc>
          <w:tcPr>
            <w:tcW w:w="0" w:type="auto"/>
            <w:tcBorders>
              <w:top w:val="nil"/>
              <w:left w:val="nil"/>
              <w:bottom w:val="single" w:sz="4" w:space="0" w:color="auto"/>
              <w:right w:val="single" w:sz="4" w:space="0" w:color="auto"/>
            </w:tcBorders>
            <w:shd w:val="clear" w:color="000000" w:fill="FFFFFF"/>
            <w:vAlign w:val="center"/>
            <w:hideMark/>
          </w:tcPr>
          <w:p w14:paraId="5116545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0AE470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8E6AA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417D4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148A9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8959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F4E47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908CA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15F28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989D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FFFFFF"/>
            <w:noWrap/>
            <w:vAlign w:val="center"/>
            <w:hideMark/>
          </w:tcPr>
          <w:p w14:paraId="2BEF9C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FFFFFF"/>
            <w:vAlign w:val="center"/>
            <w:hideMark/>
          </w:tcPr>
          <w:p w14:paraId="22541A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854F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839BF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A6B6D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6535F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7BC4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1FA7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35AD2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FFFFFF"/>
            <w:vAlign w:val="center"/>
            <w:hideMark/>
          </w:tcPr>
          <w:p w14:paraId="7E590F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FFFFFF"/>
            <w:noWrap/>
            <w:vAlign w:val="center"/>
            <w:hideMark/>
          </w:tcPr>
          <w:p w14:paraId="39BA54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C5071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FFFFFF"/>
            <w:noWrap/>
            <w:vAlign w:val="center"/>
            <w:hideMark/>
          </w:tcPr>
          <w:p w14:paraId="752E96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FFFFFF"/>
            <w:noWrap/>
            <w:vAlign w:val="center"/>
            <w:hideMark/>
          </w:tcPr>
          <w:p w14:paraId="173FDA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A590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592A2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5617F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85A04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62BA1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68AA5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FF65E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8E689F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0087D62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hideMark/>
          </w:tcPr>
          <w:p w14:paraId="76307880" w14:textId="19DC0F6F"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2.2</w:t>
            </w:r>
          </w:p>
        </w:tc>
        <w:tc>
          <w:tcPr>
            <w:tcW w:w="0" w:type="auto"/>
            <w:tcBorders>
              <w:top w:val="nil"/>
              <w:left w:val="nil"/>
              <w:bottom w:val="single" w:sz="4" w:space="0" w:color="auto"/>
              <w:right w:val="single" w:sz="4" w:space="0" w:color="auto"/>
            </w:tcBorders>
            <w:shd w:val="clear" w:color="000000" w:fill="5B9BD5"/>
            <w:vAlign w:val="center"/>
            <w:hideMark/>
          </w:tcPr>
          <w:p w14:paraId="3C8BC5E1"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5933260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A4693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2094FE0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EE2F1D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363C88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408,478,606</w:t>
            </w:r>
          </w:p>
        </w:tc>
        <w:tc>
          <w:tcPr>
            <w:tcW w:w="0" w:type="auto"/>
            <w:tcBorders>
              <w:top w:val="nil"/>
              <w:left w:val="nil"/>
              <w:bottom w:val="single" w:sz="4" w:space="0" w:color="auto"/>
              <w:right w:val="single" w:sz="4" w:space="0" w:color="auto"/>
            </w:tcBorders>
            <w:shd w:val="clear" w:color="000000" w:fill="5B9BD5"/>
            <w:vAlign w:val="center"/>
            <w:hideMark/>
          </w:tcPr>
          <w:p w14:paraId="160FADB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2882FC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408,478,606</w:t>
            </w:r>
          </w:p>
        </w:tc>
        <w:tc>
          <w:tcPr>
            <w:tcW w:w="0" w:type="auto"/>
            <w:tcBorders>
              <w:top w:val="nil"/>
              <w:left w:val="nil"/>
              <w:bottom w:val="single" w:sz="4" w:space="0" w:color="auto"/>
              <w:right w:val="single" w:sz="4" w:space="0" w:color="auto"/>
            </w:tcBorders>
            <w:shd w:val="clear" w:color="000000" w:fill="5B9BD5"/>
            <w:vAlign w:val="center"/>
            <w:hideMark/>
          </w:tcPr>
          <w:p w14:paraId="6D9EC20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418,562,768</w:t>
            </w:r>
          </w:p>
        </w:tc>
        <w:tc>
          <w:tcPr>
            <w:tcW w:w="0" w:type="auto"/>
            <w:tcBorders>
              <w:top w:val="nil"/>
              <w:left w:val="nil"/>
              <w:bottom w:val="single" w:sz="4" w:space="0" w:color="auto"/>
              <w:right w:val="single" w:sz="4" w:space="0" w:color="auto"/>
            </w:tcBorders>
            <w:shd w:val="clear" w:color="000000" w:fill="5B9BD5"/>
            <w:vAlign w:val="center"/>
            <w:hideMark/>
          </w:tcPr>
          <w:p w14:paraId="7E85AE5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97E94A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418,562,768</w:t>
            </w:r>
          </w:p>
        </w:tc>
        <w:tc>
          <w:tcPr>
            <w:tcW w:w="0" w:type="auto"/>
            <w:tcBorders>
              <w:top w:val="nil"/>
              <w:left w:val="nil"/>
              <w:bottom w:val="single" w:sz="4" w:space="0" w:color="auto"/>
              <w:right w:val="single" w:sz="4" w:space="0" w:color="auto"/>
            </w:tcBorders>
            <w:shd w:val="clear" w:color="000000" w:fill="5B9BD5"/>
            <w:vAlign w:val="center"/>
            <w:hideMark/>
          </w:tcPr>
          <w:p w14:paraId="3818A78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413,655,145</w:t>
            </w:r>
          </w:p>
        </w:tc>
        <w:tc>
          <w:tcPr>
            <w:tcW w:w="0" w:type="auto"/>
            <w:tcBorders>
              <w:top w:val="nil"/>
              <w:left w:val="nil"/>
              <w:bottom w:val="single" w:sz="4" w:space="0" w:color="auto"/>
              <w:right w:val="single" w:sz="4" w:space="0" w:color="auto"/>
            </w:tcBorders>
            <w:shd w:val="clear" w:color="000000" w:fill="5B9BD5"/>
            <w:vAlign w:val="center"/>
            <w:hideMark/>
          </w:tcPr>
          <w:p w14:paraId="24E0958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5B9BD5"/>
            <w:vAlign w:val="center"/>
            <w:hideMark/>
          </w:tcPr>
          <w:p w14:paraId="56D4421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626,611,705</w:t>
            </w:r>
          </w:p>
        </w:tc>
        <w:tc>
          <w:tcPr>
            <w:tcW w:w="0" w:type="auto"/>
            <w:tcBorders>
              <w:top w:val="nil"/>
              <w:left w:val="nil"/>
              <w:bottom w:val="single" w:sz="4" w:space="0" w:color="auto"/>
              <w:right w:val="single" w:sz="4" w:space="0" w:color="auto"/>
            </w:tcBorders>
            <w:shd w:val="clear" w:color="000000" w:fill="5B9BD5"/>
            <w:vAlign w:val="center"/>
            <w:hideMark/>
          </w:tcPr>
          <w:p w14:paraId="27F7559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412,251,145</w:t>
            </w:r>
          </w:p>
        </w:tc>
        <w:tc>
          <w:tcPr>
            <w:tcW w:w="0" w:type="auto"/>
            <w:tcBorders>
              <w:top w:val="nil"/>
              <w:left w:val="nil"/>
              <w:bottom w:val="single" w:sz="4" w:space="0" w:color="auto"/>
              <w:right w:val="single" w:sz="4" w:space="0" w:color="auto"/>
            </w:tcBorders>
            <w:shd w:val="clear" w:color="000000" w:fill="5B9BD5"/>
            <w:vAlign w:val="center"/>
            <w:hideMark/>
          </w:tcPr>
          <w:p w14:paraId="569BBD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FB2653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412,251,145</w:t>
            </w:r>
          </w:p>
        </w:tc>
        <w:tc>
          <w:tcPr>
            <w:tcW w:w="0" w:type="auto"/>
            <w:tcBorders>
              <w:top w:val="nil"/>
              <w:left w:val="nil"/>
              <w:bottom w:val="single" w:sz="4" w:space="0" w:color="auto"/>
              <w:right w:val="single" w:sz="4" w:space="0" w:color="auto"/>
            </w:tcBorders>
            <w:shd w:val="clear" w:color="000000" w:fill="5B9BD5"/>
            <w:vAlign w:val="center"/>
            <w:hideMark/>
          </w:tcPr>
          <w:p w14:paraId="69E1AF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412,251,145</w:t>
            </w:r>
          </w:p>
        </w:tc>
        <w:tc>
          <w:tcPr>
            <w:tcW w:w="0" w:type="auto"/>
            <w:tcBorders>
              <w:top w:val="nil"/>
              <w:left w:val="nil"/>
              <w:bottom w:val="single" w:sz="4" w:space="0" w:color="auto"/>
              <w:right w:val="single" w:sz="4" w:space="0" w:color="auto"/>
            </w:tcBorders>
            <w:shd w:val="clear" w:color="000000" w:fill="5B9BD5"/>
            <w:vAlign w:val="center"/>
            <w:hideMark/>
          </w:tcPr>
          <w:p w14:paraId="12165DA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F1474B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412,251,145</w:t>
            </w:r>
          </w:p>
        </w:tc>
        <w:tc>
          <w:tcPr>
            <w:tcW w:w="0" w:type="auto"/>
            <w:tcBorders>
              <w:top w:val="nil"/>
              <w:left w:val="nil"/>
              <w:bottom w:val="single" w:sz="4" w:space="0" w:color="auto"/>
              <w:right w:val="single" w:sz="4" w:space="0" w:color="auto"/>
            </w:tcBorders>
            <w:shd w:val="clear" w:color="000000" w:fill="5B9BD5"/>
            <w:vAlign w:val="center"/>
            <w:hideMark/>
          </w:tcPr>
          <w:p w14:paraId="4ECE532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2,065,198,809</w:t>
            </w:r>
          </w:p>
        </w:tc>
        <w:tc>
          <w:tcPr>
            <w:tcW w:w="0" w:type="auto"/>
            <w:tcBorders>
              <w:top w:val="nil"/>
              <w:left w:val="nil"/>
              <w:bottom w:val="single" w:sz="4" w:space="0" w:color="auto"/>
              <w:right w:val="single" w:sz="4" w:space="0" w:color="auto"/>
            </w:tcBorders>
            <w:shd w:val="clear" w:color="000000" w:fill="5B9BD5"/>
            <w:vAlign w:val="center"/>
            <w:hideMark/>
          </w:tcPr>
          <w:p w14:paraId="5C59659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5B9BD5"/>
            <w:vAlign w:val="center"/>
            <w:hideMark/>
          </w:tcPr>
          <w:p w14:paraId="6C9A80C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2,278,155,369</w:t>
            </w:r>
          </w:p>
        </w:tc>
        <w:tc>
          <w:tcPr>
            <w:tcW w:w="0" w:type="auto"/>
            <w:tcBorders>
              <w:top w:val="nil"/>
              <w:left w:val="nil"/>
              <w:bottom w:val="single" w:sz="4" w:space="0" w:color="auto"/>
              <w:right w:val="single" w:sz="4" w:space="0" w:color="auto"/>
            </w:tcBorders>
            <w:shd w:val="clear" w:color="000000" w:fill="5B9BD5"/>
            <w:vAlign w:val="center"/>
            <w:hideMark/>
          </w:tcPr>
          <w:p w14:paraId="7E4B645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1,240,696,519</w:t>
            </w:r>
          </w:p>
        </w:tc>
        <w:tc>
          <w:tcPr>
            <w:tcW w:w="0" w:type="auto"/>
            <w:tcBorders>
              <w:top w:val="nil"/>
              <w:left w:val="nil"/>
              <w:bottom w:val="single" w:sz="4" w:space="0" w:color="auto"/>
              <w:right w:val="single" w:sz="4" w:space="0" w:color="auto"/>
            </w:tcBorders>
            <w:shd w:val="clear" w:color="000000" w:fill="5B9BD5"/>
            <w:vAlign w:val="center"/>
            <w:hideMark/>
          </w:tcPr>
          <w:p w14:paraId="2D54C51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212,956,560</w:t>
            </w:r>
          </w:p>
        </w:tc>
        <w:tc>
          <w:tcPr>
            <w:tcW w:w="0" w:type="auto"/>
            <w:tcBorders>
              <w:top w:val="nil"/>
              <w:left w:val="nil"/>
              <w:bottom w:val="single" w:sz="4" w:space="0" w:color="auto"/>
              <w:right w:val="single" w:sz="4" w:space="0" w:color="auto"/>
            </w:tcBorders>
            <w:shd w:val="clear" w:color="000000" w:fill="5B9BD5"/>
            <w:vAlign w:val="center"/>
            <w:hideMark/>
          </w:tcPr>
          <w:p w14:paraId="281A678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1,453,653,079</w:t>
            </w:r>
          </w:p>
        </w:tc>
        <w:tc>
          <w:tcPr>
            <w:tcW w:w="0" w:type="auto"/>
            <w:tcBorders>
              <w:top w:val="nil"/>
              <w:left w:val="nil"/>
              <w:bottom w:val="single" w:sz="4" w:space="0" w:color="auto"/>
              <w:right w:val="single" w:sz="4" w:space="0" w:color="auto"/>
            </w:tcBorders>
            <w:shd w:val="clear" w:color="000000" w:fill="5B9BD5"/>
            <w:vAlign w:val="center"/>
            <w:hideMark/>
          </w:tcPr>
          <w:p w14:paraId="1801EA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824,502,290</w:t>
            </w:r>
          </w:p>
        </w:tc>
        <w:tc>
          <w:tcPr>
            <w:tcW w:w="0" w:type="auto"/>
            <w:tcBorders>
              <w:top w:val="nil"/>
              <w:left w:val="nil"/>
              <w:bottom w:val="single" w:sz="4" w:space="0" w:color="auto"/>
              <w:right w:val="single" w:sz="4" w:space="0" w:color="auto"/>
            </w:tcBorders>
            <w:shd w:val="clear" w:color="000000" w:fill="5B9BD5"/>
            <w:vAlign w:val="center"/>
            <w:hideMark/>
          </w:tcPr>
          <w:p w14:paraId="1C7EB54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3FDF3E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824,502,290</w:t>
            </w:r>
          </w:p>
        </w:tc>
        <w:tc>
          <w:tcPr>
            <w:tcW w:w="0" w:type="auto"/>
            <w:tcBorders>
              <w:top w:val="nil"/>
              <w:left w:val="nil"/>
              <w:bottom w:val="single" w:sz="4" w:space="0" w:color="auto"/>
              <w:right w:val="single" w:sz="4" w:space="0" w:color="auto"/>
            </w:tcBorders>
            <w:shd w:val="clear" w:color="000000" w:fill="5B9BD5"/>
            <w:vAlign w:val="center"/>
            <w:hideMark/>
          </w:tcPr>
          <w:p w14:paraId="008205B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720E99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4ADDF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D5ABC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CED5BC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06E7A8F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2F143C4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w:t>
            </w:r>
          </w:p>
        </w:tc>
        <w:tc>
          <w:tcPr>
            <w:tcW w:w="0" w:type="auto"/>
            <w:tcBorders>
              <w:top w:val="nil"/>
              <w:left w:val="nil"/>
              <w:bottom w:val="single" w:sz="4" w:space="0" w:color="auto"/>
              <w:right w:val="nil"/>
            </w:tcBorders>
            <w:shd w:val="clear" w:color="000000" w:fill="FCE4D6"/>
            <w:vAlign w:val="center"/>
            <w:hideMark/>
          </w:tcPr>
          <w:p w14:paraId="3659EE40"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Forcimi i kapaciteteve kombëtare për zbulimin, hetimin dhe ndjekjen penale të krimit ekonomik dhe financiar, që rezulton në rritje të sekuestrimeve dhe ulje të pandëshkueshmërisë</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15E165" w14:textId="02C54CBF"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Referenca e Rezultatit me produktet e programit buxhetor</w:t>
            </w:r>
            <w:r w:rsidR="00F54824" w:rsidRPr="002128A6">
              <w:rPr>
                <w:rFonts w:ascii="Garamond" w:eastAsia="Times New Roman" w:hAnsi="Garamond" w:cs="Times New Roman"/>
                <w:b/>
                <w:bCs/>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6974B8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përgjegjës</w:t>
            </w:r>
          </w:p>
        </w:tc>
        <w:tc>
          <w:tcPr>
            <w:tcW w:w="0" w:type="auto"/>
            <w:tcBorders>
              <w:top w:val="nil"/>
              <w:left w:val="nil"/>
              <w:bottom w:val="single" w:sz="4" w:space="0" w:color="auto"/>
              <w:right w:val="single" w:sz="4" w:space="0" w:color="auto"/>
            </w:tcBorders>
            <w:shd w:val="clear" w:color="000000" w:fill="FFFFFF"/>
            <w:vAlign w:val="center"/>
            <w:hideMark/>
          </w:tcPr>
          <w:p w14:paraId="3DE4893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mbështetës</w:t>
            </w:r>
          </w:p>
        </w:tc>
        <w:tc>
          <w:tcPr>
            <w:tcW w:w="0" w:type="auto"/>
            <w:tcBorders>
              <w:top w:val="nil"/>
              <w:left w:val="nil"/>
              <w:bottom w:val="single" w:sz="4" w:space="0" w:color="auto"/>
              <w:right w:val="single" w:sz="4" w:space="0" w:color="auto"/>
            </w:tcBorders>
            <w:shd w:val="clear" w:color="000000" w:fill="FFFFFF"/>
            <w:vAlign w:val="center"/>
            <w:hideMark/>
          </w:tcPr>
          <w:p w14:paraId="0371E7A5" w14:textId="720F74B2"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fillimit</w:t>
            </w:r>
          </w:p>
        </w:tc>
        <w:tc>
          <w:tcPr>
            <w:tcW w:w="0" w:type="auto"/>
            <w:tcBorders>
              <w:top w:val="nil"/>
              <w:left w:val="nil"/>
              <w:bottom w:val="single" w:sz="4" w:space="0" w:color="auto"/>
              <w:right w:val="single" w:sz="4" w:space="0" w:color="auto"/>
            </w:tcBorders>
            <w:shd w:val="clear" w:color="000000" w:fill="FFFFFF"/>
            <w:vAlign w:val="center"/>
            <w:hideMark/>
          </w:tcPr>
          <w:p w14:paraId="43D0496E" w14:textId="6B920276"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mbarimit</w:t>
            </w:r>
          </w:p>
        </w:tc>
        <w:tc>
          <w:tcPr>
            <w:tcW w:w="0" w:type="auto"/>
            <w:tcBorders>
              <w:top w:val="nil"/>
              <w:left w:val="nil"/>
              <w:bottom w:val="single" w:sz="4" w:space="0" w:color="auto"/>
              <w:right w:val="single" w:sz="4" w:space="0" w:color="auto"/>
            </w:tcBorders>
            <w:shd w:val="clear" w:color="000000" w:fill="FFFFFF"/>
            <w:vAlign w:val="center"/>
            <w:hideMark/>
          </w:tcPr>
          <w:p w14:paraId="289DEC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D833D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EE4E5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E3749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A021E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E637B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9971A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4D8F3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212EA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AB145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DB9DA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DF69F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95A20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AAF7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6F349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E67D9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1E12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9B8DE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43E41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36D58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4FBAD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63C5E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5151F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6625F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702FE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8E41D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24DC0A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BE47C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67962A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2C8A5F0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0BF33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2.3.1</w:t>
            </w:r>
          </w:p>
        </w:tc>
        <w:tc>
          <w:tcPr>
            <w:tcW w:w="0" w:type="auto"/>
            <w:tcBorders>
              <w:top w:val="nil"/>
              <w:left w:val="nil"/>
              <w:bottom w:val="single" w:sz="4" w:space="0" w:color="auto"/>
              <w:right w:val="single" w:sz="4" w:space="0" w:color="auto"/>
            </w:tcBorders>
            <w:shd w:val="clear" w:color="F1F5F9" w:fill="FFFFFF"/>
            <w:vAlign w:val="center"/>
            <w:hideMark/>
          </w:tcPr>
          <w:p w14:paraId="521B9DE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luftës kundër pastrimit të parave përmes një qasjeje të udhëhequr nga inteligjenca, duke u mbështetur në hetim proaktiv, analizë të thelluar të riskut dhe bashkëpunim të ngushtë me prokurorinë, me qëllim përmirësimin e zbulimit, hetimit dhe ndjekjes penale të pastrimit të parave si vepër autonome dhe si komponent paralel i hetimeve të krimit të organizuar.</w:t>
            </w:r>
          </w:p>
        </w:tc>
        <w:tc>
          <w:tcPr>
            <w:tcW w:w="0" w:type="auto"/>
            <w:tcBorders>
              <w:top w:val="nil"/>
              <w:left w:val="nil"/>
              <w:bottom w:val="single" w:sz="4" w:space="0" w:color="auto"/>
              <w:right w:val="single" w:sz="4" w:space="0" w:color="auto"/>
            </w:tcBorders>
            <w:shd w:val="clear" w:color="000000" w:fill="FFFFFF"/>
            <w:vAlign w:val="center"/>
            <w:hideMark/>
          </w:tcPr>
          <w:p w14:paraId="088519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753BD5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138789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 Byroja Kombëtare e Hetimit; Agjencia e Inteligjencës Financiare; Drejtoria e Përgjithshme e Tatimeve; Drejtoria e Përgjithshme e Doganave.</w:t>
            </w:r>
          </w:p>
        </w:tc>
        <w:tc>
          <w:tcPr>
            <w:tcW w:w="0" w:type="auto"/>
            <w:tcBorders>
              <w:top w:val="nil"/>
              <w:left w:val="nil"/>
              <w:bottom w:val="single" w:sz="4" w:space="0" w:color="auto"/>
              <w:right w:val="single" w:sz="4" w:space="0" w:color="auto"/>
            </w:tcBorders>
            <w:shd w:val="clear" w:color="000000" w:fill="FFFFFF"/>
            <w:vAlign w:val="center"/>
            <w:hideMark/>
          </w:tcPr>
          <w:p w14:paraId="51AFD8D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21F6D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AC9F1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603137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B1E56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35E353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6CF8AE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4536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4957A9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430540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B84EA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752592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3D7CF1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D5421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1F88C8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5D7D25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1C68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4DD33F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415,678,270</w:t>
            </w:r>
          </w:p>
        </w:tc>
        <w:tc>
          <w:tcPr>
            <w:tcW w:w="0" w:type="auto"/>
            <w:tcBorders>
              <w:top w:val="nil"/>
              <w:left w:val="nil"/>
              <w:bottom w:val="single" w:sz="4" w:space="0" w:color="auto"/>
              <w:right w:val="single" w:sz="4" w:space="0" w:color="auto"/>
            </w:tcBorders>
            <w:shd w:val="clear" w:color="000000" w:fill="FFFFFF"/>
            <w:vAlign w:val="center"/>
            <w:hideMark/>
          </w:tcPr>
          <w:p w14:paraId="3C2ACF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173B9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415,678,270</w:t>
            </w:r>
          </w:p>
        </w:tc>
        <w:tc>
          <w:tcPr>
            <w:tcW w:w="0" w:type="auto"/>
            <w:tcBorders>
              <w:top w:val="nil"/>
              <w:left w:val="nil"/>
              <w:bottom w:val="single" w:sz="4" w:space="0" w:color="auto"/>
              <w:right w:val="single" w:sz="4" w:space="0" w:color="auto"/>
            </w:tcBorders>
            <w:shd w:val="clear" w:color="000000" w:fill="FFFFFF"/>
            <w:noWrap/>
            <w:vAlign w:val="center"/>
            <w:hideMark/>
          </w:tcPr>
          <w:p w14:paraId="5FAEB9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249,406,962</w:t>
            </w:r>
          </w:p>
        </w:tc>
        <w:tc>
          <w:tcPr>
            <w:tcW w:w="0" w:type="auto"/>
            <w:tcBorders>
              <w:top w:val="nil"/>
              <w:left w:val="nil"/>
              <w:bottom w:val="single" w:sz="4" w:space="0" w:color="auto"/>
              <w:right w:val="single" w:sz="4" w:space="0" w:color="auto"/>
            </w:tcBorders>
            <w:shd w:val="clear" w:color="000000" w:fill="FFFFFF"/>
            <w:noWrap/>
            <w:vAlign w:val="center"/>
            <w:hideMark/>
          </w:tcPr>
          <w:p w14:paraId="4D13A3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5802B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249,406,962</w:t>
            </w:r>
          </w:p>
        </w:tc>
        <w:tc>
          <w:tcPr>
            <w:tcW w:w="0" w:type="auto"/>
            <w:tcBorders>
              <w:top w:val="nil"/>
              <w:left w:val="nil"/>
              <w:bottom w:val="single" w:sz="4" w:space="0" w:color="auto"/>
              <w:right w:val="single" w:sz="4" w:space="0" w:color="auto"/>
            </w:tcBorders>
            <w:shd w:val="clear" w:color="000000" w:fill="FFFFFF"/>
            <w:noWrap/>
            <w:vAlign w:val="center"/>
            <w:hideMark/>
          </w:tcPr>
          <w:p w14:paraId="212489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166,271,308</w:t>
            </w:r>
          </w:p>
        </w:tc>
        <w:tc>
          <w:tcPr>
            <w:tcW w:w="0" w:type="auto"/>
            <w:tcBorders>
              <w:top w:val="nil"/>
              <w:left w:val="nil"/>
              <w:bottom w:val="single" w:sz="4" w:space="0" w:color="auto"/>
              <w:right w:val="single" w:sz="4" w:space="0" w:color="auto"/>
            </w:tcBorders>
            <w:shd w:val="clear" w:color="000000" w:fill="FFFFFF"/>
            <w:noWrap/>
            <w:vAlign w:val="center"/>
            <w:hideMark/>
          </w:tcPr>
          <w:p w14:paraId="11B86E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7B45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166,271,308</w:t>
            </w:r>
          </w:p>
        </w:tc>
        <w:tc>
          <w:tcPr>
            <w:tcW w:w="0" w:type="auto"/>
            <w:tcBorders>
              <w:top w:val="nil"/>
              <w:left w:val="nil"/>
              <w:bottom w:val="single" w:sz="4" w:space="0" w:color="auto"/>
              <w:right w:val="single" w:sz="4" w:space="0" w:color="auto"/>
            </w:tcBorders>
            <w:shd w:val="clear" w:color="000000" w:fill="FFFFFF"/>
            <w:vAlign w:val="center"/>
            <w:hideMark/>
          </w:tcPr>
          <w:p w14:paraId="731AD1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6F647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12F3C8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C32DC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6447D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959C03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C31B5A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2.3.2</w:t>
            </w:r>
          </w:p>
        </w:tc>
        <w:tc>
          <w:tcPr>
            <w:tcW w:w="0" w:type="auto"/>
            <w:tcBorders>
              <w:top w:val="nil"/>
              <w:left w:val="nil"/>
              <w:bottom w:val="nil"/>
              <w:right w:val="nil"/>
            </w:tcBorders>
            <w:shd w:val="clear" w:color="auto" w:fill="auto"/>
            <w:noWrap/>
            <w:vAlign w:val="center"/>
            <w:hideMark/>
          </w:tcPr>
          <w:p w14:paraId="0A1300F8"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Shkëmbimi i informacionit nga Agjencia e Inteligjencës Financiare me agjencitë ligjzbatuese dhe ato të inteligjencës, në kuadër të zbatimit të fushës së saj të veprimtarisë.</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18E5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91006AA</w:t>
            </w:r>
          </w:p>
        </w:tc>
        <w:tc>
          <w:tcPr>
            <w:tcW w:w="0" w:type="auto"/>
            <w:tcBorders>
              <w:top w:val="nil"/>
              <w:left w:val="nil"/>
              <w:bottom w:val="single" w:sz="4" w:space="0" w:color="auto"/>
              <w:right w:val="single" w:sz="4" w:space="0" w:color="auto"/>
            </w:tcBorders>
            <w:shd w:val="clear" w:color="000000" w:fill="FFFFFF"/>
            <w:vAlign w:val="center"/>
            <w:hideMark/>
          </w:tcPr>
          <w:p w14:paraId="541B4E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Inteligjencës Financiare</w:t>
            </w:r>
          </w:p>
        </w:tc>
        <w:tc>
          <w:tcPr>
            <w:tcW w:w="0" w:type="auto"/>
            <w:tcBorders>
              <w:top w:val="nil"/>
              <w:left w:val="nil"/>
              <w:bottom w:val="single" w:sz="4" w:space="0" w:color="auto"/>
              <w:right w:val="single" w:sz="4" w:space="0" w:color="auto"/>
            </w:tcBorders>
            <w:shd w:val="clear" w:color="000000" w:fill="FFFFFF"/>
            <w:vAlign w:val="center"/>
            <w:hideMark/>
          </w:tcPr>
          <w:p w14:paraId="36A51577" w14:textId="1A5670AE"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Prokuroritë e Juridiksionit të Përgjithshëm;</w:t>
            </w:r>
            <w:r w:rsidR="00822D6F">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Prokuroria e Posaçme; Policia e Shtetit; Byroja Kombëtare e Hetimit; Shërbimi Informativ i Shtetit; Drejtoria e Përgjithshme e Tatimeve.</w:t>
            </w:r>
          </w:p>
        </w:tc>
        <w:tc>
          <w:tcPr>
            <w:tcW w:w="0" w:type="auto"/>
            <w:tcBorders>
              <w:top w:val="nil"/>
              <w:left w:val="nil"/>
              <w:bottom w:val="single" w:sz="4" w:space="0" w:color="auto"/>
              <w:right w:val="single" w:sz="4" w:space="0" w:color="auto"/>
            </w:tcBorders>
            <w:shd w:val="clear" w:color="000000" w:fill="FFFFFF"/>
            <w:vAlign w:val="center"/>
            <w:hideMark/>
          </w:tcPr>
          <w:p w14:paraId="763543E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47BE92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0ACB2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56,676,000</w:t>
            </w:r>
          </w:p>
        </w:tc>
        <w:tc>
          <w:tcPr>
            <w:tcW w:w="0" w:type="auto"/>
            <w:tcBorders>
              <w:top w:val="nil"/>
              <w:left w:val="nil"/>
              <w:bottom w:val="single" w:sz="4" w:space="0" w:color="auto"/>
              <w:right w:val="single" w:sz="4" w:space="0" w:color="auto"/>
            </w:tcBorders>
            <w:shd w:val="clear" w:color="000000" w:fill="FFFFFF"/>
            <w:vAlign w:val="center"/>
            <w:hideMark/>
          </w:tcPr>
          <w:p w14:paraId="0C511B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8C81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56,676,000</w:t>
            </w:r>
          </w:p>
        </w:tc>
        <w:tc>
          <w:tcPr>
            <w:tcW w:w="0" w:type="auto"/>
            <w:tcBorders>
              <w:top w:val="nil"/>
              <w:left w:val="nil"/>
              <w:bottom w:val="single" w:sz="4" w:space="0" w:color="auto"/>
              <w:right w:val="single" w:sz="4" w:space="0" w:color="auto"/>
            </w:tcBorders>
            <w:shd w:val="clear" w:color="000000" w:fill="FFFFFF"/>
            <w:vAlign w:val="center"/>
            <w:hideMark/>
          </w:tcPr>
          <w:p w14:paraId="0F5060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56,676,000</w:t>
            </w:r>
          </w:p>
        </w:tc>
        <w:tc>
          <w:tcPr>
            <w:tcW w:w="0" w:type="auto"/>
            <w:tcBorders>
              <w:top w:val="nil"/>
              <w:left w:val="nil"/>
              <w:bottom w:val="single" w:sz="4" w:space="0" w:color="auto"/>
              <w:right w:val="single" w:sz="4" w:space="0" w:color="auto"/>
            </w:tcBorders>
            <w:shd w:val="clear" w:color="000000" w:fill="FFFFFF"/>
            <w:vAlign w:val="center"/>
            <w:hideMark/>
          </w:tcPr>
          <w:p w14:paraId="199B31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1BAB6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56,676,000</w:t>
            </w:r>
          </w:p>
        </w:tc>
        <w:tc>
          <w:tcPr>
            <w:tcW w:w="0" w:type="auto"/>
            <w:tcBorders>
              <w:top w:val="nil"/>
              <w:left w:val="nil"/>
              <w:bottom w:val="single" w:sz="4" w:space="0" w:color="auto"/>
              <w:right w:val="single" w:sz="4" w:space="0" w:color="auto"/>
            </w:tcBorders>
            <w:shd w:val="clear" w:color="000000" w:fill="FFFFFF"/>
            <w:vAlign w:val="center"/>
            <w:hideMark/>
          </w:tcPr>
          <w:p w14:paraId="230027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56,676,000</w:t>
            </w:r>
          </w:p>
        </w:tc>
        <w:tc>
          <w:tcPr>
            <w:tcW w:w="0" w:type="auto"/>
            <w:tcBorders>
              <w:top w:val="nil"/>
              <w:left w:val="nil"/>
              <w:bottom w:val="single" w:sz="4" w:space="0" w:color="auto"/>
              <w:right w:val="single" w:sz="4" w:space="0" w:color="auto"/>
            </w:tcBorders>
            <w:shd w:val="clear" w:color="000000" w:fill="FFFFFF"/>
            <w:vAlign w:val="center"/>
            <w:hideMark/>
          </w:tcPr>
          <w:p w14:paraId="57F478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8C951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56,676,000</w:t>
            </w:r>
          </w:p>
        </w:tc>
        <w:tc>
          <w:tcPr>
            <w:tcW w:w="0" w:type="auto"/>
            <w:tcBorders>
              <w:top w:val="nil"/>
              <w:left w:val="nil"/>
              <w:bottom w:val="single" w:sz="4" w:space="0" w:color="auto"/>
              <w:right w:val="single" w:sz="4" w:space="0" w:color="auto"/>
            </w:tcBorders>
            <w:shd w:val="clear" w:color="000000" w:fill="FFFFFF"/>
            <w:vAlign w:val="center"/>
            <w:hideMark/>
          </w:tcPr>
          <w:p w14:paraId="3E5760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90FDD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A040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EDFBC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4F0B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B8A9C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F976D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170,028,000</w:t>
            </w:r>
          </w:p>
        </w:tc>
        <w:tc>
          <w:tcPr>
            <w:tcW w:w="0" w:type="auto"/>
            <w:tcBorders>
              <w:top w:val="nil"/>
              <w:left w:val="nil"/>
              <w:bottom w:val="single" w:sz="4" w:space="0" w:color="auto"/>
              <w:right w:val="single" w:sz="4" w:space="0" w:color="auto"/>
            </w:tcBorders>
            <w:shd w:val="clear" w:color="000000" w:fill="FFFFFF"/>
            <w:vAlign w:val="center"/>
            <w:hideMark/>
          </w:tcPr>
          <w:p w14:paraId="0F5C35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7A7C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170,028,000</w:t>
            </w:r>
          </w:p>
        </w:tc>
        <w:tc>
          <w:tcPr>
            <w:tcW w:w="0" w:type="auto"/>
            <w:tcBorders>
              <w:top w:val="nil"/>
              <w:left w:val="nil"/>
              <w:bottom w:val="single" w:sz="4" w:space="0" w:color="auto"/>
              <w:right w:val="single" w:sz="4" w:space="0" w:color="auto"/>
            </w:tcBorders>
            <w:shd w:val="clear" w:color="000000" w:fill="FFFFFF"/>
            <w:noWrap/>
            <w:vAlign w:val="center"/>
            <w:hideMark/>
          </w:tcPr>
          <w:p w14:paraId="78FE75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170,028,000</w:t>
            </w:r>
          </w:p>
        </w:tc>
        <w:tc>
          <w:tcPr>
            <w:tcW w:w="0" w:type="auto"/>
            <w:tcBorders>
              <w:top w:val="nil"/>
              <w:left w:val="nil"/>
              <w:bottom w:val="single" w:sz="4" w:space="0" w:color="auto"/>
              <w:right w:val="single" w:sz="4" w:space="0" w:color="auto"/>
            </w:tcBorders>
            <w:shd w:val="clear" w:color="000000" w:fill="FFFFFF"/>
            <w:noWrap/>
            <w:vAlign w:val="center"/>
            <w:hideMark/>
          </w:tcPr>
          <w:p w14:paraId="54FEDF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0D26D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170,028,000</w:t>
            </w:r>
          </w:p>
        </w:tc>
        <w:tc>
          <w:tcPr>
            <w:tcW w:w="0" w:type="auto"/>
            <w:tcBorders>
              <w:top w:val="nil"/>
              <w:left w:val="nil"/>
              <w:bottom w:val="single" w:sz="4" w:space="0" w:color="auto"/>
              <w:right w:val="single" w:sz="4" w:space="0" w:color="auto"/>
            </w:tcBorders>
            <w:shd w:val="clear" w:color="000000" w:fill="FFFFFF"/>
            <w:noWrap/>
            <w:vAlign w:val="center"/>
            <w:hideMark/>
          </w:tcPr>
          <w:p w14:paraId="33CEF6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CC01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6DEB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FB87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9611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36AEC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DDC14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F07CD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E3AAE0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4DA81B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258493"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Kryerja e inspektimeve të bazuara në risk për subjektet e ligjit 9917, datë 19.05.2008, i ndryshuar.</w:t>
            </w:r>
          </w:p>
        </w:tc>
        <w:tc>
          <w:tcPr>
            <w:tcW w:w="0" w:type="auto"/>
            <w:tcBorders>
              <w:top w:val="nil"/>
              <w:left w:val="nil"/>
              <w:bottom w:val="single" w:sz="4" w:space="0" w:color="auto"/>
              <w:right w:val="single" w:sz="4" w:space="0" w:color="auto"/>
            </w:tcBorders>
            <w:shd w:val="clear" w:color="000000" w:fill="FFFFFF"/>
            <w:vAlign w:val="center"/>
            <w:hideMark/>
          </w:tcPr>
          <w:p w14:paraId="4B5BE6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91006AA</w:t>
            </w:r>
          </w:p>
        </w:tc>
        <w:tc>
          <w:tcPr>
            <w:tcW w:w="0" w:type="auto"/>
            <w:tcBorders>
              <w:top w:val="nil"/>
              <w:left w:val="nil"/>
              <w:bottom w:val="single" w:sz="4" w:space="0" w:color="auto"/>
              <w:right w:val="single" w:sz="4" w:space="0" w:color="auto"/>
            </w:tcBorders>
            <w:shd w:val="clear" w:color="000000" w:fill="FFFFFF"/>
            <w:vAlign w:val="center"/>
            <w:hideMark/>
          </w:tcPr>
          <w:p w14:paraId="1F9740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Inteligjencës Financiare</w:t>
            </w:r>
          </w:p>
        </w:tc>
        <w:tc>
          <w:tcPr>
            <w:tcW w:w="0" w:type="auto"/>
            <w:tcBorders>
              <w:top w:val="nil"/>
              <w:left w:val="nil"/>
              <w:bottom w:val="single" w:sz="4" w:space="0" w:color="auto"/>
              <w:right w:val="single" w:sz="4" w:space="0" w:color="auto"/>
            </w:tcBorders>
            <w:shd w:val="clear" w:color="000000" w:fill="FFFFFF"/>
            <w:vAlign w:val="center"/>
            <w:hideMark/>
          </w:tcPr>
          <w:p w14:paraId="0882D1F5" w14:textId="012D90EA"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Autoriteti i Mbikëqyrjes Financiare ; Banka e Shqipërisë; Autoriteti i Mbikëqyrjes së Lojërave të Fatit; Ministria e Drejtësisë;</w:t>
            </w:r>
            <w:r w:rsidR="00822D6F">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Bordi i Mbikëqyrjes Publike.</w:t>
            </w:r>
          </w:p>
        </w:tc>
        <w:tc>
          <w:tcPr>
            <w:tcW w:w="0" w:type="auto"/>
            <w:tcBorders>
              <w:top w:val="nil"/>
              <w:left w:val="nil"/>
              <w:bottom w:val="single" w:sz="4" w:space="0" w:color="auto"/>
              <w:right w:val="single" w:sz="4" w:space="0" w:color="auto"/>
            </w:tcBorders>
            <w:shd w:val="clear" w:color="000000" w:fill="FFFFFF"/>
            <w:vAlign w:val="center"/>
            <w:hideMark/>
          </w:tcPr>
          <w:p w14:paraId="1DBD537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336A25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1FEB5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27,648,000</w:t>
            </w:r>
          </w:p>
        </w:tc>
        <w:tc>
          <w:tcPr>
            <w:tcW w:w="0" w:type="auto"/>
            <w:tcBorders>
              <w:top w:val="nil"/>
              <w:left w:val="nil"/>
              <w:bottom w:val="single" w:sz="4" w:space="0" w:color="auto"/>
              <w:right w:val="single" w:sz="4" w:space="0" w:color="auto"/>
            </w:tcBorders>
            <w:shd w:val="clear" w:color="000000" w:fill="FFFFFF"/>
            <w:vAlign w:val="center"/>
            <w:hideMark/>
          </w:tcPr>
          <w:p w14:paraId="03801E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0DE0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27,648,000</w:t>
            </w:r>
          </w:p>
        </w:tc>
        <w:tc>
          <w:tcPr>
            <w:tcW w:w="0" w:type="auto"/>
            <w:tcBorders>
              <w:top w:val="nil"/>
              <w:left w:val="nil"/>
              <w:bottom w:val="single" w:sz="4" w:space="0" w:color="auto"/>
              <w:right w:val="single" w:sz="4" w:space="0" w:color="auto"/>
            </w:tcBorders>
            <w:shd w:val="clear" w:color="000000" w:fill="FFFFFF"/>
            <w:vAlign w:val="center"/>
            <w:hideMark/>
          </w:tcPr>
          <w:p w14:paraId="605EA1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27,648,000</w:t>
            </w:r>
          </w:p>
        </w:tc>
        <w:tc>
          <w:tcPr>
            <w:tcW w:w="0" w:type="auto"/>
            <w:tcBorders>
              <w:top w:val="nil"/>
              <w:left w:val="nil"/>
              <w:bottom w:val="single" w:sz="4" w:space="0" w:color="auto"/>
              <w:right w:val="single" w:sz="4" w:space="0" w:color="auto"/>
            </w:tcBorders>
            <w:shd w:val="clear" w:color="000000" w:fill="FFFFFF"/>
            <w:vAlign w:val="center"/>
            <w:hideMark/>
          </w:tcPr>
          <w:p w14:paraId="295BF7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82D03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27,648,000</w:t>
            </w:r>
          </w:p>
        </w:tc>
        <w:tc>
          <w:tcPr>
            <w:tcW w:w="0" w:type="auto"/>
            <w:tcBorders>
              <w:top w:val="nil"/>
              <w:left w:val="nil"/>
              <w:bottom w:val="single" w:sz="4" w:space="0" w:color="auto"/>
              <w:right w:val="single" w:sz="4" w:space="0" w:color="auto"/>
            </w:tcBorders>
            <w:shd w:val="clear" w:color="000000" w:fill="FFFFFF"/>
            <w:vAlign w:val="center"/>
            <w:hideMark/>
          </w:tcPr>
          <w:p w14:paraId="01FB5D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27,648,000</w:t>
            </w:r>
          </w:p>
        </w:tc>
        <w:tc>
          <w:tcPr>
            <w:tcW w:w="0" w:type="auto"/>
            <w:tcBorders>
              <w:top w:val="nil"/>
              <w:left w:val="nil"/>
              <w:bottom w:val="single" w:sz="4" w:space="0" w:color="auto"/>
              <w:right w:val="single" w:sz="4" w:space="0" w:color="auto"/>
            </w:tcBorders>
            <w:shd w:val="clear" w:color="000000" w:fill="FFFFFF"/>
            <w:vAlign w:val="center"/>
            <w:hideMark/>
          </w:tcPr>
          <w:p w14:paraId="23512E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C6B96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27,648,000</w:t>
            </w:r>
          </w:p>
        </w:tc>
        <w:tc>
          <w:tcPr>
            <w:tcW w:w="0" w:type="auto"/>
            <w:tcBorders>
              <w:top w:val="nil"/>
              <w:left w:val="nil"/>
              <w:bottom w:val="single" w:sz="4" w:space="0" w:color="auto"/>
              <w:right w:val="single" w:sz="4" w:space="0" w:color="auto"/>
            </w:tcBorders>
            <w:shd w:val="clear" w:color="000000" w:fill="FFFFFF"/>
            <w:vAlign w:val="center"/>
            <w:hideMark/>
          </w:tcPr>
          <w:p w14:paraId="4674B8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6D2B4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566E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EB22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9A64A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8B1A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7DAF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82,944,000</w:t>
            </w:r>
          </w:p>
        </w:tc>
        <w:tc>
          <w:tcPr>
            <w:tcW w:w="0" w:type="auto"/>
            <w:tcBorders>
              <w:top w:val="nil"/>
              <w:left w:val="nil"/>
              <w:bottom w:val="single" w:sz="4" w:space="0" w:color="auto"/>
              <w:right w:val="single" w:sz="4" w:space="0" w:color="auto"/>
            </w:tcBorders>
            <w:shd w:val="clear" w:color="000000" w:fill="FFFFFF"/>
            <w:vAlign w:val="center"/>
            <w:hideMark/>
          </w:tcPr>
          <w:p w14:paraId="3ABC06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6385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82,944,000</w:t>
            </w:r>
          </w:p>
        </w:tc>
        <w:tc>
          <w:tcPr>
            <w:tcW w:w="0" w:type="auto"/>
            <w:tcBorders>
              <w:top w:val="nil"/>
              <w:left w:val="nil"/>
              <w:bottom w:val="single" w:sz="4" w:space="0" w:color="auto"/>
              <w:right w:val="single" w:sz="4" w:space="0" w:color="auto"/>
            </w:tcBorders>
            <w:shd w:val="clear" w:color="000000" w:fill="FFFFFF"/>
            <w:noWrap/>
            <w:vAlign w:val="center"/>
            <w:hideMark/>
          </w:tcPr>
          <w:p w14:paraId="370639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82,944,000</w:t>
            </w:r>
          </w:p>
        </w:tc>
        <w:tc>
          <w:tcPr>
            <w:tcW w:w="0" w:type="auto"/>
            <w:tcBorders>
              <w:top w:val="nil"/>
              <w:left w:val="nil"/>
              <w:bottom w:val="single" w:sz="4" w:space="0" w:color="auto"/>
              <w:right w:val="single" w:sz="4" w:space="0" w:color="auto"/>
            </w:tcBorders>
            <w:shd w:val="clear" w:color="000000" w:fill="FFFFFF"/>
            <w:noWrap/>
            <w:vAlign w:val="center"/>
            <w:hideMark/>
          </w:tcPr>
          <w:p w14:paraId="04C86E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350A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82,944,000</w:t>
            </w:r>
          </w:p>
        </w:tc>
        <w:tc>
          <w:tcPr>
            <w:tcW w:w="0" w:type="auto"/>
            <w:tcBorders>
              <w:top w:val="nil"/>
              <w:left w:val="nil"/>
              <w:bottom w:val="single" w:sz="4" w:space="0" w:color="auto"/>
              <w:right w:val="single" w:sz="4" w:space="0" w:color="auto"/>
            </w:tcBorders>
            <w:shd w:val="clear" w:color="000000" w:fill="FFFFFF"/>
            <w:noWrap/>
            <w:vAlign w:val="center"/>
            <w:hideMark/>
          </w:tcPr>
          <w:p w14:paraId="45E86F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11453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3D5F5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22BBE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34962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151CAA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9D79D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FBA04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73146A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685E03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2.3.4</w:t>
            </w:r>
          </w:p>
        </w:tc>
        <w:tc>
          <w:tcPr>
            <w:tcW w:w="0" w:type="auto"/>
            <w:tcBorders>
              <w:top w:val="nil"/>
              <w:left w:val="nil"/>
              <w:bottom w:val="single" w:sz="4" w:space="0" w:color="auto"/>
              <w:right w:val="single" w:sz="4" w:space="0" w:color="auto"/>
            </w:tcBorders>
            <w:shd w:val="clear" w:color="F1F5F9" w:fill="FFFFFF"/>
            <w:vAlign w:val="center"/>
            <w:hideMark/>
          </w:tcPr>
          <w:p w14:paraId="28F6B6A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Kryerja e Vlerësimit Kombëtar të Riskut për pastrimin e parave dhe financimin e terrorizmit, përfshirë duke mbledhur dhe analizuar të dhënat sasiore dhe cilësore nga autoritetet përgjegjëse dhe subjektet e detyruara, duke identifikuar dhe prioritizuar risqet sektoriale dhe tematike, si dhe duke shndërruar konstatimet në masa zbutëse të koordinuara dhe në prioritete politikash.</w:t>
            </w:r>
          </w:p>
        </w:tc>
        <w:tc>
          <w:tcPr>
            <w:tcW w:w="0" w:type="auto"/>
            <w:tcBorders>
              <w:top w:val="nil"/>
              <w:left w:val="nil"/>
              <w:bottom w:val="single" w:sz="4" w:space="0" w:color="auto"/>
              <w:right w:val="single" w:sz="4" w:space="0" w:color="auto"/>
            </w:tcBorders>
            <w:shd w:val="clear" w:color="000000" w:fill="FFFFFF"/>
            <w:vAlign w:val="center"/>
            <w:hideMark/>
          </w:tcPr>
          <w:p w14:paraId="1BCA12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91006AA</w:t>
            </w:r>
          </w:p>
        </w:tc>
        <w:tc>
          <w:tcPr>
            <w:tcW w:w="0" w:type="auto"/>
            <w:tcBorders>
              <w:top w:val="nil"/>
              <w:left w:val="nil"/>
              <w:bottom w:val="single" w:sz="4" w:space="0" w:color="auto"/>
              <w:right w:val="single" w:sz="4" w:space="0" w:color="auto"/>
            </w:tcBorders>
            <w:shd w:val="clear" w:color="000000" w:fill="FFFFFF"/>
            <w:vAlign w:val="center"/>
            <w:hideMark/>
          </w:tcPr>
          <w:p w14:paraId="322F50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Inteligjencës Financiare</w:t>
            </w:r>
          </w:p>
        </w:tc>
        <w:tc>
          <w:tcPr>
            <w:tcW w:w="0" w:type="auto"/>
            <w:tcBorders>
              <w:top w:val="nil"/>
              <w:left w:val="nil"/>
              <w:bottom w:val="single" w:sz="4" w:space="0" w:color="auto"/>
              <w:right w:val="single" w:sz="4" w:space="0" w:color="auto"/>
            </w:tcBorders>
            <w:shd w:val="clear" w:color="000000" w:fill="FFFFFF"/>
            <w:vAlign w:val="center"/>
            <w:hideMark/>
          </w:tcPr>
          <w:p w14:paraId="5C34F7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 Shërbimi Informativ i Shtetit; Drejtoria e Përgjithshme e Tatimeve; Drejtoria e Përgjithshme e Doganave; Autoriteti i Mbikëqyrjes Financiare; Autoriteti Kombëtar për Sigurinë Kibernetike; Banka e Shqipërisë; QKB; DHKA;</w:t>
            </w:r>
            <w:r w:rsidRPr="002128A6">
              <w:rPr>
                <w:rFonts w:ascii="Garamond" w:eastAsia="Times New Roman" w:hAnsi="Garamond" w:cs="Times New Roman"/>
                <w:kern w:val="0"/>
                <w:sz w:val="4"/>
                <w:szCs w:val="8"/>
                <w14:ligatures w14:val="none"/>
              </w:rPr>
              <w:br/>
              <w:t>Prokuroria e Përgjithshme; SPAK; Agjencia e Administrimit të Pasurive të Sekuestruara dhe të Konfiskuara</w:t>
            </w:r>
          </w:p>
        </w:tc>
        <w:tc>
          <w:tcPr>
            <w:tcW w:w="0" w:type="auto"/>
            <w:tcBorders>
              <w:top w:val="nil"/>
              <w:left w:val="nil"/>
              <w:bottom w:val="single" w:sz="4" w:space="0" w:color="auto"/>
              <w:right w:val="single" w:sz="4" w:space="0" w:color="auto"/>
            </w:tcBorders>
            <w:shd w:val="clear" w:color="000000" w:fill="FFFFFF"/>
            <w:vAlign w:val="center"/>
            <w:hideMark/>
          </w:tcPr>
          <w:p w14:paraId="7719C9D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2027</w:t>
            </w:r>
          </w:p>
        </w:tc>
        <w:tc>
          <w:tcPr>
            <w:tcW w:w="0" w:type="auto"/>
            <w:tcBorders>
              <w:top w:val="nil"/>
              <w:left w:val="nil"/>
              <w:bottom w:val="single" w:sz="4" w:space="0" w:color="auto"/>
              <w:right w:val="single" w:sz="4" w:space="0" w:color="auto"/>
            </w:tcBorders>
            <w:shd w:val="clear" w:color="000000" w:fill="FFFFFF"/>
            <w:vAlign w:val="center"/>
            <w:hideMark/>
          </w:tcPr>
          <w:p w14:paraId="3362559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E7B4D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5,887,200</w:t>
            </w:r>
          </w:p>
        </w:tc>
        <w:tc>
          <w:tcPr>
            <w:tcW w:w="0" w:type="auto"/>
            <w:tcBorders>
              <w:top w:val="nil"/>
              <w:left w:val="nil"/>
              <w:bottom w:val="single" w:sz="4" w:space="0" w:color="auto"/>
              <w:right w:val="single" w:sz="4" w:space="0" w:color="auto"/>
            </w:tcBorders>
            <w:shd w:val="clear" w:color="000000" w:fill="FFFFFF"/>
            <w:vAlign w:val="center"/>
            <w:hideMark/>
          </w:tcPr>
          <w:p w14:paraId="3B5B6B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462C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5,887,200</w:t>
            </w:r>
          </w:p>
        </w:tc>
        <w:tc>
          <w:tcPr>
            <w:tcW w:w="0" w:type="auto"/>
            <w:tcBorders>
              <w:top w:val="nil"/>
              <w:left w:val="nil"/>
              <w:bottom w:val="single" w:sz="4" w:space="0" w:color="auto"/>
              <w:right w:val="single" w:sz="4" w:space="0" w:color="auto"/>
            </w:tcBorders>
            <w:shd w:val="clear" w:color="000000" w:fill="FFFFFF"/>
            <w:vAlign w:val="center"/>
            <w:hideMark/>
          </w:tcPr>
          <w:p w14:paraId="482D64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5,887,200</w:t>
            </w:r>
          </w:p>
        </w:tc>
        <w:tc>
          <w:tcPr>
            <w:tcW w:w="0" w:type="auto"/>
            <w:tcBorders>
              <w:top w:val="nil"/>
              <w:left w:val="nil"/>
              <w:bottom w:val="single" w:sz="4" w:space="0" w:color="auto"/>
              <w:right w:val="single" w:sz="4" w:space="0" w:color="auto"/>
            </w:tcBorders>
            <w:shd w:val="clear" w:color="000000" w:fill="FFFFFF"/>
            <w:vAlign w:val="center"/>
            <w:hideMark/>
          </w:tcPr>
          <w:p w14:paraId="107974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6936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5,887,200</w:t>
            </w:r>
          </w:p>
        </w:tc>
        <w:tc>
          <w:tcPr>
            <w:tcW w:w="0" w:type="auto"/>
            <w:tcBorders>
              <w:top w:val="nil"/>
              <w:left w:val="nil"/>
              <w:bottom w:val="single" w:sz="4" w:space="0" w:color="auto"/>
              <w:right w:val="single" w:sz="4" w:space="0" w:color="auto"/>
            </w:tcBorders>
            <w:shd w:val="clear" w:color="000000" w:fill="FFFFFF"/>
            <w:vAlign w:val="center"/>
            <w:hideMark/>
          </w:tcPr>
          <w:p w14:paraId="45678F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5,887,200</w:t>
            </w:r>
          </w:p>
        </w:tc>
        <w:tc>
          <w:tcPr>
            <w:tcW w:w="0" w:type="auto"/>
            <w:tcBorders>
              <w:top w:val="nil"/>
              <w:left w:val="nil"/>
              <w:bottom w:val="single" w:sz="4" w:space="0" w:color="auto"/>
              <w:right w:val="single" w:sz="4" w:space="0" w:color="auto"/>
            </w:tcBorders>
            <w:shd w:val="clear" w:color="000000" w:fill="FFFFFF"/>
            <w:vAlign w:val="center"/>
            <w:hideMark/>
          </w:tcPr>
          <w:p w14:paraId="30EE14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A03A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5,887,200</w:t>
            </w:r>
          </w:p>
        </w:tc>
        <w:tc>
          <w:tcPr>
            <w:tcW w:w="0" w:type="auto"/>
            <w:tcBorders>
              <w:top w:val="nil"/>
              <w:left w:val="nil"/>
              <w:bottom w:val="single" w:sz="4" w:space="0" w:color="auto"/>
              <w:right w:val="single" w:sz="4" w:space="0" w:color="auto"/>
            </w:tcBorders>
            <w:shd w:val="clear" w:color="000000" w:fill="FFFFFF"/>
            <w:vAlign w:val="center"/>
            <w:hideMark/>
          </w:tcPr>
          <w:p w14:paraId="75FB19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D032C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D586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38DD3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04F5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03F05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CC6FC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17,661,600</w:t>
            </w:r>
          </w:p>
        </w:tc>
        <w:tc>
          <w:tcPr>
            <w:tcW w:w="0" w:type="auto"/>
            <w:tcBorders>
              <w:top w:val="nil"/>
              <w:left w:val="nil"/>
              <w:bottom w:val="single" w:sz="4" w:space="0" w:color="auto"/>
              <w:right w:val="single" w:sz="4" w:space="0" w:color="auto"/>
            </w:tcBorders>
            <w:shd w:val="clear" w:color="000000" w:fill="FFFFFF"/>
            <w:vAlign w:val="center"/>
            <w:hideMark/>
          </w:tcPr>
          <w:p w14:paraId="28E3CB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5FD0E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17,661,600</w:t>
            </w:r>
          </w:p>
        </w:tc>
        <w:tc>
          <w:tcPr>
            <w:tcW w:w="0" w:type="auto"/>
            <w:tcBorders>
              <w:top w:val="nil"/>
              <w:left w:val="nil"/>
              <w:bottom w:val="single" w:sz="4" w:space="0" w:color="auto"/>
              <w:right w:val="single" w:sz="4" w:space="0" w:color="auto"/>
            </w:tcBorders>
            <w:shd w:val="clear" w:color="000000" w:fill="FFFFFF"/>
            <w:noWrap/>
            <w:vAlign w:val="center"/>
            <w:hideMark/>
          </w:tcPr>
          <w:p w14:paraId="183305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17,661,600</w:t>
            </w:r>
          </w:p>
        </w:tc>
        <w:tc>
          <w:tcPr>
            <w:tcW w:w="0" w:type="auto"/>
            <w:tcBorders>
              <w:top w:val="nil"/>
              <w:left w:val="nil"/>
              <w:bottom w:val="single" w:sz="4" w:space="0" w:color="auto"/>
              <w:right w:val="single" w:sz="4" w:space="0" w:color="auto"/>
            </w:tcBorders>
            <w:shd w:val="clear" w:color="000000" w:fill="FFFFFF"/>
            <w:noWrap/>
            <w:vAlign w:val="center"/>
            <w:hideMark/>
          </w:tcPr>
          <w:p w14:paraId="787334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A11D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17,661,600</w:t>
            </w:r>
          </w:p>
        </w:tc>
        <w:tc>
          <w:tcPr>
            <w:tcW w:w="0" w:type="auto"/>
            <w:tcBorders>
              <w:top w:val="nil"/>
              <w:left w:val="nil"/>
              <w:bottom w:val="single" w:sz="4" w:space="0" w:color="auto"/>
              <w:right w:val="single" w:sz="4" w:space="0" w:color="auto"/>
            </w:tcBorders>
            <w:shd w:val="clear" w:color="000000" w:fill="FFFFFF"/>
            <w:noWrap/>
            <w:vAlign w:val="center"/>
            <w:hideMark/>
          </w:tcPr>
          <w:p w14:paraId="1DF2FA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7081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1744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BB31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5F39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730BE1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3F9D5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27C57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736D06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4539EA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2.3.5</w:t>
            </w:r>
          </w:p>
        </w:tc>
        <w:tc>
          <w:tcPr>
            <w:tcW w:w="0" w:type="auto"/>
            <w:tcBorders>
              <w:top w:val="nil"/>
              <w:left w:val="nil"/>
              <w:bottom w:val="single" w:sz="4" w:space="0" w:color="auto"/>
              <w:right w:val="single" w:sz="4" w:space="0" w:color="auto"/>
            </w:tcBorders>
            <w:shd w:val="clear" w:color="auto" w:fill="auto"/>
            <w:vAlign w:val="center"/>
            <w:hideMark/>
          </w:tcPr>
          <w:p w14:paraId="76F96678" w14:textId="762FBF78"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Trajnime për të rritur nivelin e ndërgjegjësimit të organeve ligjzbatuesve, gjyqtarëve, prokurorëve dhe të inteligjencës për rreziqet e pastrimit të parave, me tematika të lidhura me rrezikun e mbledhjes, lëvizjes së fondeve të Shqipërisë, përdorimin e fondeve për territorin e Shqipërisë, përdorimin e personave juridik, strukturave komplekse, profesionistëve, për pastrimin e parave si vepër autonome, risku nga keqpërdorimi i OJF</w:t>
            </w:r>
            <w:r w:rsidR="00822D6F">
              <w:rPr>
                <w:rFonts w:ascii="Garamond" w:eastAsia="Times New Roman" w:hAnsi="Garamond" w:cs="Times New Roman"/>
                <w:kern w:val="0"/>
                <w:sz w:val="4"/>
                <w:szCs w:val="8"/>
                <w14:ligatures w14:val="none"/>
              </w:rPr>
              <w:t>-së</w:t>
            </w:r>
            <w:r w:rsidRPr="002128A6">
              <w:rPr>
                <w:rFonts w:ascii="Garamond" w:eastAsia="Times New Roman" w:hAnsi="Garamond" w:cs="Times New Roman"/>
                <w:kern w:val="0"/>
                <w:sz w:val="4"/>
                <w:szCs w:val="8"/>
                <w14:ligatures w14:val="none"/>
              </w:rPr>
              <w:t>, financimin e terrorizmit (përfshirë edhe atë të lidhur me tregtinë apo forma të tjera të mundshme etj.).</w:t>
            </w:r>
          </w:p>
        </w:tc>
        <w:tc>
          <w:tcPr>
            <w:tcW w:w="0" w:type="auto"/>
            <w:tcBorders>
              <w:top w:val="nil"/>
              <w:left w:val="nil"/>
              <w:bottom w:val="single" w:sz="4" w:space="0" w:color="auto"/>
              <w:right w:val="single" w:sz="4" w:space="0" w:color="auto"/>
            </w:tcBorders>
            <w:shd w:val="clear" w:color="000000" w:fill="FFFFFF"/>
            <w:vAlign w:val="center"/>
            <w:hideMark/>
          </w:tcPr>
          <w:p w14:paraId="58DCFD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91006AA</w:t>
            </w:r>
          </w:p>
        </w:tc>
        <w:tc>
          <w:tcPr>
            <w:tcW w:w="0" w:type="auto"/>
            <w:tcBorders>
              <w:top w:val="nil"/>
              <w:left w:val="nil"/>
              <w:bottom w:val="single" w:sz="4" w:space="0" w:color="auto"/>
              <w:right w:val="single" w:sz="4" w:space="0" w:color="auto"/>
            </w:tcBorders>
            <w:shd w:val="clear" w:color="auto" w:fill="auto"/>
            <w:vAlign w:val="center"/>
            <w:hideMark/>
          </w:tcPr>
          <w:p w14:paraId="30F91D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Inteligjencës Financiare</w:t>
            </w:r>
          </w:p>
        </w:tc>
        <w:tc>
          <w:tcPr>
            <w:tcW w:w="0" w:type="auto"/>
            <w:tcBorders>
              <w:top w:val="nil"/>
              <w:left w:val="nil"/>
              <w:bottom w:val="single" w:sz="4" w:space="0" w:color="auto"/>
              <w:right w:val="single" w:sz="4" w:space="0" w:color="auto"/>
            </w:tcBorders>
            <w:shd w:val="clear" w:color="auto" w:fill="auto"/>
            <w:vAlign w:val="center"/>
            <w:hideMark/>
          </w:tcPr>
          <w:p w14:paraId="5FFB6D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SPAK; GJKKO; Policia e Shtetit; Drejtoria e Përgjithshme e Doganave; Shërbimi Informativ i Shtetit; Drejtoria e Përgjithshme e Tatimeve; Këshilli i Lartë i Prokurorisë</w:t>
            </w:r>
          </w:p>
        </w:tc>
        <w:tc>
          <w:tcPr>
            <w:tcW w:w="0" w:type="auto"/>
            <w:tcBorders>
              <w:top w:val="nil"/>
              <w:left w:val="nil"/>
              <w:bottom w:val="single" w:sz="4" w:space="0" w:color="auto"/>
              <w:right w:val="single" w:sz="4" w:space="0" w:color="auto"/>
            </w:tcBorders>
            <w:shd w:val="clear" w:color="auto" w:fill="auto"/>
            <w:vAlign w:val="center"/>
            <w:hideMark/>
          </w:tcPr>
          <w:p w14:paraId="4BB2BB8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22D141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noWrap/>
            <w:vAlign w:val="center"/>
            <w:hideMark/>
          </w:tcPr>
          <w:p w14:paraId="50BB3D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3A2463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745,000</w:t>
            </w:r>
          </w:p>
        </w:tc>
        <w:tc>
          <w:tcPr>
            <w:tcW w:w="0" w:type="auto"/>
            <w:tcBorders>
              <w:top w:val="nil"/>
              <w:left w:val="nil"/>
              <w:bottom w:val="single" w:sz="4" w:space="0" w:color="auto"/>
              <w:right w:val="single" w:sz="4" w:space="0" w:color="auto"/>
            </w:tcBorders>
            <w:shd w:val="clear" w:color="auto" w:fill="auto"/>
            <w:noWrap/>
            <w:vAlign w:val="center"/>
            <w:hideMark/>
          </w:tcPr>
          <w:p w14:paraId="211CD4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745,000</w:t>
            </w:r>
          </w:p>
        </w:tc>
        <w:tc>
          <w:tcPr>
            <w:tcW w:w="0" w:type="auto"/>
            <w:tcBorders>
              <w:top w:val="nil"/>
              <w:left w:val="nil"/>
              <w:bottom w:val="single" w:sz="4" w:space="0" w:color="auto"/>
              <w:right w:val="single" w:sz="4" w:space="0" w:color="auto"/>
            </w:tcBorders>
            <w:shd w:val="clear" w:color="auto" w:fill="auto"/>
            <w:noWrap/>
            <w:vAlign w:val="center"/>
            <w:hideMark/>
          </w:tcPr>
          <w:p w14:paraId="6A17BC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BAE0B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745,000</w:t>
            </w:r>
          </w:p>
        </w:tc>
        <w:tc>
          <w:tcPr>
            <w:tcW w:w="0" w:type="auto"/>
            <w:tcBorders>
              <w:top w:val="nil"/>
              <w:left w:val="nil"/>
              <w:bottom w:val="single" w:sz="4" w:space="0" w:color="auto"/>
              <w:right w:val="single" w:sz="4" w:space="0" w:color="auto"/>
            </w:tcBorders>
            <w:shd w:val="clear" w:color="auto" w:fill="auto"/>
            <w:noWrap/>
            <w:vAlign w:val="center"/>
            <w:hideMark/>
          </w:tcPr>
          <w:p w14:paraId="4F0747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745,000</w:t>
            </w:r>
          </w:p>
        </w:tc>
        <w:tc>
          <w:tcPr>
            <w:tcW w:w="0" w:type="auto"/>
            <w:tcBorders>
              <w:top w:val="nil"/>
              <w:left w:val="nil"/>
              <w:bottom w:val="single" w:sz="4" w:space="0" w:color="auto"/>
              <w:right w:val="single" w:sz="4" w:space="0" w:color="auto"/>
            </w:tcBorders>
            <w:shd w:val="clear" w:color="auto" w:fill="auto"/>
            <w:noWrap/>
            <w:vAlign w:val="center"/>
            <w:hideMark/>
          </w:tcPr>
          <w:p w14:paraId="654F1B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6D046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745,000</w:t>
            </w:r>
          </w:p>
        </w:tc>
        <w:tc>
          <w:tcPr>
            <w:tcW w:w="0" w:type="auto"/>
            <w:tcBorders>
              <w:top w:val="nil"/>
              <w:left w:val="nil"/>
              <w:bottom w:val="single" w:sz="4" w:space="0" w:color="auto"/>
              <w:right w:val="single" w:sz="4" w:space="0" w:color="auto"/>
            </w:tcBorders>
            <w:shd w:val="clear" w:color="auto" w:fill="auto"/>
            <w:noWrap/>
            <w:vAlign w:val="center"/>
            <w:hideMark/>
          </w:tcPr>
          <w:p w14:paraId="1F28FA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745,000</w:t>
            </w:r>
          </w:p>
        </w:tc>
        <w:tc>
          <w:tcPr>
            <w:tcW w:w="0" w:type="auto"/>
            <w:tcBorders>
              <w:top w:val="nil"/>
              <w:left w:val="nil"/>
              <w:bottom w:val="single" w:sz="4" w:space="0" w:color="auto"/>
              <w:right w:val="single" w:sz="4" w:space="0" w:color="auto"/>
            </w:tcBorders>
            <w:shd w:val="clear" w:color="auto" w:fill="auto"/>
            <w:noWrap/>
            <w:vAlign w:val="center"/>
            <w:hideMark/>
          </w:tcPr>
          <w:p w14:paraId="021C76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8FCCD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3559E0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541686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F3AF1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34304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D1F8B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E44E8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2,235,000</w:t>
            </w:r>
          </w:p>
        </w:tc>
        <w:tc>
          <w:tcPr>
            <w:tcW w:w="0" w:type="auto"/>
            <w:tcBorders>
              <w:top w:val="nil"/>
              <w:left w:val="nil"/>
              <w:bottom w:val="single" w:sz="4" w:space="0" w:color="auto"/>
              <w:right w:val="single" w:sz="4" w:space="0" w:color="auto"/>
            </w:tcBorders>
            <w:shd w:val="clear" w:color="000000" w:fill="FFFFFF"/>
            <w:vAlign w:val="center"/>
            <w:hideMark/>
          </w:tcPr>
          <w:p w14:paraId="049F6E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2,235,000</w:t>
            </w:r>
          </w:p>
        </w:tc>
        <w:tc>
          <w:tcPr>
            <w:tcW w:w="0" w:type="auto"/>
            <w:tcBorders>
              <w:top w:val="nil"/>
              <w:left w:val="nil"/>
              <w:bottom w:val="single" w:sz="4" w:space="0" w:color="auto"/>
              <w:right w:val="single" w:sz="4" w:space="0" w:color="auto"/>
            </w:tcBorders>
            <w:shd w:val="clear" w:color="000000" w:fill="FFFFFF"/>
            <w:noWrap/>
            <w:vAlign w:val="center"/>
            <w:hideMark/>
          </w:tcPr>
          <w:p w14:paraId="735162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49FD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59927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F8AC8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A352E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50CC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47B4ED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2F5FE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2,235,000</w:t>
            </w:r>
          </w:p>
        </w:tc>
        <w:tc>
          <w:tcPr>
            <w:tcW w:w="0" w:type="auto"/>
            <w:tcBorders>
              <w:top w:val="nil"/>
              <w:left w:val="nil"/>
              <w:bottom w:val="single" w:sz="4" w:space="0" w:color="auto"/>
              <w:right w:val="single" w:sz="4" w:space="0" w:color="auto"/>
            </w:tcBorders>
            <w:shd w:val="clear" w:color="auto" w:fill="auto"/>
            <w:vAlign w:val="center"/>
            <w:hideMark/>
          </w:tcPr>
          <w:p w14:paraId="323F05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Financim nga partenere</w:t>
            </w:r>
          </w:p>
        </w:tc>
        <w:tc>
          <w:tcPr>
            <w:tcW w:w="0" w:type="auto"/>
            <w:tcBorders>
              <w:top w:val="nil"/>
              <w:left w:val="nil"/>
              <w:bottom w:val="single" w:sz="4" w:space="0" w:color="auto"/>
              <w:right w:val="single" w:sz="4" w:space="0" w:color="auto"/>
            </w:tcBorders>
            <w:shd w:val="clear" w:color="auto" w:fill="auto"/>
            <w:vAlign w:val="center"/>
            <w:hideMark/>
          </w:tcPr>
          <w:p w14:paraId="36B685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2,235,000</w:t>
            </w:r>
          </w:p>
        </w:tc>
        <w:tc>
          <w:tcPr>
            <w:tcW w:w="0" w:type="auto"/>
            <w:tcBorders>
              <w:top w:val="nil"/>
              <w:left w:val="nil"/>
              <w:bottom w:val="single" w:sz="4" w:space="0" w:color="auto"/>
              <w:right w:val="single" w:sz="8" w:space="0" w:color="auto"/>
            </w:tcBorders>
            <w:shd w:val="clear" w:color="000000" w:fill="FFFFFF"/>
            <w:vAlign w:val="center"/>
            <w:hideMark/>
          </w:tcPr>
          <w:p w14:paraId="132FAE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F83F729"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23585F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2.3.6</w:t>
            </w:r>
          </w:p>
        </w:tc>
        <w:tc>
          <w:tcPr>
            <w:tcW w:w="0" w:type="auto"/>
            <w:tcBorders>
              <w:top w:val="nil"/>
              <w:left w:val="nil"/>
              <w:bottom w:val="single" w:sz="4" w:space="0" w:color="auto"/>
              <w:right w:val="single" w:sz="4" w:space="0" w:color="auto"/>
            </w:tcBorders>
            <w:shd w:val="clear" w:color="F1F5F9" w:fill="FFFFFF"/>
            <w:vAlign w:val="center"/>
            <w:hideMark/>
          </w:tcPr>
          <w:p w14:paraId="4A61EA5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kapaciteteve të specializuara qendrore dhe vendore për hetimin e krimit ekonomik dhe financiar, përmes integrimit të metodave novatore hetimore, mbështetjes teknologjike, menaxhimit të përmirësuar të burimeve, si dhe një plani të integruar trajnimi midis strukturave policore dhe aktorëve të tjerë shtetërorë që kontribuojnë në hetimin dhe ndjekjen penale.</w:t>
            </w:r>
          </w:p>
        </w:tc>
        <w:tc>
          <w:tcPr>
            <w:tcW w:w="0" w:type="auto"/>
            <w:tcBorders>
              <w:top w:val="nil"/>
              <w:left w:val="nil"/>
              <w:bottom w:val="single" w:sz="4" w:space="0" w:color="auto"/>
              <w:right w:val="single" w:sz="4" w:space="0" w:color="auto"/>
            </w:tcBorders>
            <w:shd w:val="clear" w:color="000000" w:fill="FFFFFF"/>
            <w:vAlign w:val="center"/>
            <w:hideMark/>
          </w:tcPr>
          <w:p w14:paraId="2967E49F" w14:textId="7F811179"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91604AB</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11BA79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39D450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Shërbimi Informativ i Shtetit; Drejtoria e Përgjithshme e Tatimeve; Drejtoria e Përgjithshme e Doganave; Agjencia e Inteligjencës Financiare; QKB</w:t>
            </w:r>
          </w:p>
        </w:tc>
        <w:tc>
          <w:tcPr>
            <w:tcW w:w="0" w:type="auto"/>
            <w:tcBorders>
              <w:top w:val="nil"/>
              <w:left w:val="nil"/>
              <w:bottom w:val="single" w:sz="4" w:space="0" w:color="auto"/>
              <w:right w:val="single" w:sz="4" w:space="0" w:color="auto"/>
            </w:tcBorders>
            <w:shd w:val="clear" w:color="000000" w:fill="FFFFFF"/>
            <w:vAlign w:val="center"/>
            <w:hideMark/>
          </w:tcPr>
          <w:p w14:paraId="2124549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9CE3D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82237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63BACE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97BF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289E61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5F0944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186C9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2AEE14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0A8F0E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2628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2BFC5A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0B1B9B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1AA3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41F6C7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333E2C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349F6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777571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415,678,270</w:t>
            </w:r>
          </w:p>
        </w:tc>
        <w:tc>
          <w:tcPr>
            <w:tcW w:w="0" w:type="auto"/>
            <w:tcBorders>
              <w:top w:val="nil"/>
              <w:left w:val="nil"/>
              <w:bottom w:val="single" w:sz="4" w:space="0" w:color="auto"/>
              <w:right w:val="single" w:sz="4" w:space="0" w:color="auto"/>
            </w:tcBorders>
            <w:shd w:val="clear" w:color="000000" w:fill="FFFFFF"/>
            <w:vAlign w:val="center"/>
            <w:hideMark/>
          </w:tcPr>
          <w:p w14:paraId="6F8FA6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4E5BC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415,678,270</w:t>
            </w:r>
          </w:p>
        </w:tc>
        <w:tc>
          <w:tcPr>
            <w:tcW w:w="0" w:type="auto"/>
            <w:tcBorders>
              <w:top w:val="nil"/>
              <w:left w:val="nil"/>
              <w:bottom w:val="single" w:sz="4" w:space="0" w:color="auto"/>
              <w:right w:val="single" w:sz="4" w:space="0" w:color="auto"/>
            </w:tcBorders>
            <w:shd w:val="clear" w:color="000000" w:fill="FFFFFF"/>
            <w:noWrap/>
            <w:vAlign w:val="center"/>
            <w:hideMark/>
          </w:tcPr>
          <w:p w14:paraId="2C7493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249,406,962</w:t>
            </w:r>
          </w:p>
        </w:tc>
        <w:tc>
          <w:tcPr>
            <w:tcW w:w="0" w:type="auto"/>
            <w:tcBorders>
              <w:top w:val="nil"/>
              <w:left w:val="nil"/>
              <w:bottom w:val="single" w:sz="4" w:space="0" w:color="auto"/>
              <w:right w:val="single" w:sz="4" w:space="0" w:color="auto"/>
            </w:tcBorders>
            <w:shd w:val="clear" w:color="000000" w:fill="FFFFFF"/>
            <w:noWrap/>
            <w:vAlign w:val="center"/>
            <w:hideMark/>
          </w:tcPr>
          <w:p w14:paraId="0F46FB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120DE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249,406,962</w:t>
            </w:r>
          </w:p>
        </w:tc>
        <w:tc>
          <w:tcPr>
            <w:tcW w:w="0" w:type="auto"/>
            <w:tcBorders>
              <w:top w:val="nil"/>
              <w:left w:val="nil"/>
              <w:bottom w:val="single" w:sz="4" w:space="0" w:color="auto"/>
              <w:right w:val="single" w:sz="4" w:space="0" w:color="auto"/>
            </w:tcBorders>
            <w:shd w:val="clear" w:color="000000" w:fill="FFFFFF"/>
            <w:noWrap/>
            <w:vAlign w:val="center"/>
            <w:hideMark/>
          </w:tcPr>
          <w:p w14:paraId="54F552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166,271,308</w:t>
            </w:r>
          </w:p>
        </w:tc>
        <w:tc>
          <w:tcPr>
            <w:tcW w:w="0" w:type="auto"/>
            <w:tcBorders>
              <w:top w:val="nil"/>
              <w:left w:val="nil"/>
              <w:bottom w:val="single" w:sz="4" w:space="0" w:color="auto"/>
              <w:right w:val="single" w:sz="4" w:space="0" w:color="auto"/>
            </w:tcBorders>
            <w:shd w:val="clear" w:color="000000" w:fill="FFFFFF"/>
            <w:noWrap/>
            <w:vAlign w:val="center"/>
            <w:hideMark/>
          </w:tcPr>
          <w:p w14:paraId="627853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1537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166,271,308</w:t>
            </w:r>
          </w:p>
        </w:tc>
        <w:tc>
          <w:tcPr>
            <w:tcW w:w="0" w:type="auto"/>
            <w:tcBorders>
              <w:top w:val="nil"/>
              <w:left w:val="nil"/>
              <w:bottom w:val="single" w:sz="4" w:space="0" w:color="auto"/>
              <w:right w:val="single" w:sz="4" w:space="0" w:color="auto"/>
            </w:tcBorders>
            <w:shd w:val="clear" w:color="000000" w:fill="FFFFFF"/>
            <w:vAlign w:val="center"/>
            <w:hideMark/>
          </w:tcPr>
          <w:p w14:paraId="71EF2C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7D69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9460AA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F1476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F0C22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B4EF299"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A75B3B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2.3.7</w:t>
            </w:r>
          </w:p>
        </w:tc>
        <w:tc>
          <w:tcPr>
            <w:tcW w:w="0" w:type="auto"/>
            <w:tcBorders>
              <w:top w:val="nil"/>
              <w:left w:val="nil"/>
              <w:bottom w:val="single" w:sz="4" w:space="0" w:color="auto"/>
              <w:right w:val="single" w:sz="4" w:space="0" w:color="auto"/>
            </w:tcBorders>
            <w:shd w:val="clear" w:color="F1F5F9" w:fill="FFFFFF"/>
            <w:vAlign w:val="center"/>
            <w:hideMark/>
          </w:tcPr>
          <w:p w14:paraId="307B70A8" w14:textId="0209BFE2"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Konsolidimi i praktikave për zbatimin e njëkohshëm të hetimeve financiare paralele me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hetimet për vepra penale të krimit të organizuar, trafikimit dhe korrupsionit, me qëllim identifikimin, gjurmim, sekuestrimin dhe konfiskimin e të ardhurave, pasurive dhe mjeteve kriminale në kohë dhe në mënyrë të koordinuar.</w:t>
            </w:r>
          </w:p>
        </w:tc>
        <w:tc>
          <w:tcPr>
            <w:tcW w:w="0" w:type="auto"/>
            <w:tcBorders>
              <w:top w:val="nil"/>
              <w:left w:val="nil"/>
              <w:bottom w:val="single" w:sz="4" w:space="0" w:color="auto"/>
              <w:right w:val="single" w:sz="4" w:space="0" w:color="auto"/>
            </w:tcBorders>
            <w:shd w:val="clear" w:color="000000" w:fill="FFFFFF"/>
            <w:vAlign w:val="center"/>
            <w:hideMark/>
          </w:tcPr>
          <w:p w14:paraId="0A9DB1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 91604AR</w:t>
            </w:r>
          </w:p>
        </w:tc>
        <w:tc>
          <w:tcPr>
            <w:tcW w:w="0" w:type="auto"/>
            <w:tcBorders>
              <w:top w:val="nil"/>
              <w:left w:val="nil"/>
              <w:bottom w:val="single" w:sz="4" w:space="0" w:color="auto"/>
              <w:right w:val="single" w:sz="4" w:space="0" w:color="auto"/>
            </w:tcBorders>
            <w:shd w:val="clear" w:color="000000" w:fill="FFFFFF"/>
            <w:vAlign w:val="center"/>
            <w:hideMark/>
          </w:tcPr>
          <w:p w14:paraId="5EA8A4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06B229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 Prokuroria e Posaçme; Agjencia e Inteligjencës Financiare; Drejtoria e Përgjithshme e Tatimeve; Drejtoria e Përgjithshme e Doganave; 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7BDDD6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88C127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0ACAE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7BAD68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8D6C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3A7FDD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565F4F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1819E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04B62C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5BDD2C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EFAB5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030892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7AF846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1C646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4E920B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53BDDD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5E7DF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113,542,441</w:t>
            </w:r>
          </w:p>
        </w:tc>
        <w:tc>
          <w:tcPr>
            <w:tcW w:w="0" w:type="auto"/>
            <w:tcBorders>
              <w:top w:val="nil"/>
              <w:left w:val="nil"/>
              <w:bottom w:val="single" w:sz="4" w:space="0" w:color="auto"/>
              <w:right w:val="single" w:sz="4" w:space="0" w:color="auto"/>
            </w:tcBorders>
            <w:shd w:val="clear" w:color="000000" w:fill="FFFFFF"/>
            <w:vAlign w:val="center"/>
            <w:hideMark/>
          </w:tcPr>
          <w:p w14:paraId="1B8392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567,712,205</w:t>
            </w:r>
          </w:p>
        </w:tc>
        <w:tc>
          <w:tcPr>
            <w:tcW w:w="0" w:type="auto"/>
            <w:tcBorders>
              <w:top w:val="nil"/>
              <w:left w:val="nil"/>
              <w:bottom w:val="single" w:sz="4" w:space="0" w:color="auto"/>
              <w:right w:val="single" w:sz="4" w:space="0" w:color="auto"/>
            </w:tcBorders>
            <w:shd w:val="clear" w:color="000000" w:fill="FFFFFF"/>
            <w:vAlign w:val="center"/>
            <w:hideMark/>
          </w:tcPr>
          <w:p w14:paraId="219061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AEEAB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567,712,205</w:t>
            </w:r>
          </w:p>
        </w:tc>
        <w:tc>
          <w:tcPr>
            <w:tcW w:w="0" w:type="auto"/>
            <w:tcBorders>
              <w:top w:val="nil"/>
              <w:left w:val="nil"/>
              <w:bottom w:val="single" w:sz="4" w:space="0" w:color="auto"/>
              <w:right w:val="single" w:sz="4" w:space="0" w:color="auto"/>
            </w:tcBorders>
            <w:shd w:val="clear" w:color="000000" w:fill="FFFFFF"/>
            <w:noWrap/>
            <w:vAlign w:val="center"/>
            <w:hideMark/>
          </w:tcPr>
          <w:p w14:paraId="7147D7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340,627,323</w:t>
            </w:r>
          </w:p>
        </w:tc>
        <w:tc>
          <w:tcPr>
            <w:tcW w:w="0" w:type="auto"/>
            <w:tcBorders>
              <w:top w:val="nil"/>
              <w:left w:val="nil"/>
              <w:bottom w:val="single" w:sz="4" w:space="0" w:color="auto"/>
              <w:right w:val="single" w:sz="4" w:space="0" w:color="auto"/>
            </w:tcBorders>
            <w:shd w:val="clear" w:color="000000" w:fill="FFFFFF"/>
            <w:noWrap/>
            <w:vAlign w:val="center"/>
            <w:hideMark/>
          </w:tcPr>
          <w:p w14:paraId="6C253E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DF4F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340,627,323</w:t>
            </w:r>
          </w:p>
        </w:tc>
        <w:tc>
          <w:tcPr>
            <w:tcW w:w="0" w:type="auto"/>
            <w:tcBorders>
              <w:top w:val="nil"/>
              <w:left w:val="nil"/>
              <w:bottom w:val="single" w:sz="4" w:space="0" w:color="auto"/>
              <w:right w:val="single" w:sz="4" w:space="0" w:color="auto"/>
            </w:tcBorders>
            <w:shd w:val="clear" w:color="000000" w:fill="FFFFFF"/>
            <w:noWrap/>
            <w:vAlign w:val="center"/>
            <w:hideMark/>
          </w:tcPr>
          <w:p w14:paraId="70FA76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227,084,882</w:t>
            </w:r>
          </w:p>
        </w:tc>
        <w:tc>
          <w:tcPr>
            <w:tcW w:w="0" w:type="auto"/>
            <w:tcBorders>
              <w:top w:val="nil"/>
              <w:left w:val="nil"/>
              <w:bottom w:val="single" w:sz="4" w:space="0" w:color="auto"/>
              <w:right w:val="single" w:sz="4" w:space="0" w:color="auto"/>
            </w:tcBorders>
            <w:shd w:val="clear" w:color="000000" w:fill="FFFFFF"/>
            <w:noWrap/>
            <w:vAlign w:val="center"/>
            <w:hideMark/>
          </w:tcPr>
          <w:p w14:paraId="539B87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AC2E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227,084,882</w:t>
            </w:r>
          </w:p>
        </w:tc>
        <w:tc>
          <w:tcPr>
            <w:tcW w:w="0" w:type="auto"/>
            <w:tcBorders>
              <w:top w:val="nil"/>
              <w:left w:val="nil"/>
              <w:bottom w:val="single" w:sz="4" w:space="0" w:color="auto"/>
              <w:right w:val="single" w:sz="4" w:space="0" w:color="auto"/>
            </w:tcBorders>
            <w:shd w:val="clear" w:color="000000" w:fill="FFFFFF"/>
            <w:vAlign w:val="center"/>
            <w:hideMark/>
          </w:tcPr>
          <w:p w14:paraId="387620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6BCD4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3DC69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DF89F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60D67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BA5F1C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D6938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lastRenderedPageBreak/>
              <w:t>2.3.8</w:t>
            </w:r>
          </w:p>
        </w:tc>
        <w:tc>
          <w:tcPr>
            <w:tcW w:w="0" w:type="auto"/>
            <w:tcBorders>
              <w:top w:val="nil"/>
              <w:left w:val="nil"/>
              <w:bottom w:val="single" w:sz="4" w:space="0" w:color="auto"/>
              <w:right w:val="single" w:sz="4" w:space="0" w:color="auto"/>
            </w:tcBorders>
            <w:shd w:val="clear" w:color="F1F5F9" w:fill="FFFFFF"/>
            <w:vAlign w:val="center"/>
            <w:hideMark/>
          </w:tcPr>
          <w:p w14:paraId="689AE94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bashkëpunimit ndërinstitucional për trajtimin e korrupsionit në të gjitha format dhe nivelet e tij, përfshirë përmes punës së koordinuar në trajtimin e çështjeve, shkëmbimit të informacionit, produkteve të përbashkëta analitike dhe protokolleve të forcuara të bashkëpunimit midis institucioneve hetimore, mbikëqyrëse dhe të prokurorisë.</w:t>
            </w:r>
          </w:p>
        </w:tc>
        <w:tc>
          <w:tcPr>
            <w:tcW w:w="0" w:type="auto"/>
            <w:tcBorders>
              <w:top w:val="nil"/>
              <w:left w:val="nil"/>
              <w:bottom w:val="single" w:sz="4" w:space="0" w:color="auto"/>
              <w:right w:val="single" w:sz="4" w:space="0" w:color="auto"/>
            </w:tcBorders>
            <w:shd w:val="clear" w:color="000000" w:fill="FFFFFF"/>
            <w:vAlign w:val="center"/>
            <w:hideMark/>
          </w:tcPr>
          <w:p w14:paraId="19F552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 91604AR</w:t>
            </w:r>
          </w:p>
        </w:tc>
        <w:tc>
          <w:tcPr>
            <w:tcW w:w="0" w:type="auto"/>
            <w:tcBorders>
              <w:top w:val="nil"/>
              <w:left w:val="nil"/>
              <w:bottom w:val="single" w:sz="4" w:space="0" w:color="auto"/>
              <w:right w:val="single" w:sz="4" w:space="0" w:color="auto"/>
            </w:tcBorders>
            <w:shd w:val="clear" w:color="000000" w:fill="FFFFFF"/>
            <w:vAlign w:val="center"/>
            <w:hideMark/>
          </w:tcPr>
          <w:p w14:paraId="737225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7D1DE0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Inteligjencës Financiare; Prokuroria e Përgjithshme; Prokuroria e Posaçme; Byroja Kombëtare e Hetimit; Drejtoria e Përgjithshme e Doganave; Drejtoria e Përgjithshme e Tatimeve</w:t>
            </w:r>
          </w:p>
        </w:tc>
        <w:tc>
          <w:tcPr>
            <w:tcW w:w="0" w:type="auto"/>
            <w:tcBorders>
              <w:top w:val="nil"/>
              <w:left w:val="nil"/>
              <w:bottom w:val="single" w:sz="4" w:space="0" w:color="auto"/>
              <w:right w:val="single" w:sz="4" w:space="0" w:color="auto"/>
            </w:tcBorders>
            <w:shd w:val="clear" w:color="000000" w:fill="FFFFFF"/>
            <w:vAlign w:val="center"/>
            <w:hideMark/>
          </w:tcPr>
          <w:p w14:paraId="7E35CFA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16C924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D34D9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1F7B96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3588E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574E98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7D2F43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93DFF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7A89A9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0E343B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CBD2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1A5A16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0D1D7F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9EB2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463FBB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160E85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1520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60,537,989</w:t>
            </w:r>
          </w:p>
        </w:tc>
        <w:tc>
          <w:tcPr>
            <w:tcW w:w="0" w:type="auto"/>
            <w:tcBorders>
              <w:top w:val="nil"/>
              <w:left w:val="nil"/>
              <w:bottom w:val="single" w:sz="4" w:space="0" w:color="auto"/>
              <w:right w:val="single" w:sz="4" w:space="0" w:color="auto"/>
            </w:tcBorders>
            <w:shd w:val="clear" w:color="000000" w:fill="FFFFFF"/>
            <w:vAlign w:val="center"/>
            <w:hideMark/>
          </w:tcPr>
          <w:p w14:paraId="3385B6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302,689,945</w:t>
            </w:r>
          </w:p>
        </w:tc>
        <w:tc>
          <w:tcPr>
            <w:tcW w:w="0" w:type="auto"/>
            <w:tcBorders>
              <w:top w:val="nil"/>
              <w:left w:val="nil"/>
              <w:bottom w:val="single" w:sz="4" w:space="0" w:color="auto"/>
              <w:right w:val="single" w:sz="4" w:space="0" w:color="auto"/>
            </w:tcBorders>
            <w:shd w:val="clear" w:color="000000" w:fill="FFFFFF"/>
            <w:vAlign w:val="center"/>
            <w:hideMark/>
          </w:tcPr>
          <w:p w14:paraId="2BB7BF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345A0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302,689,945</w:t>
            </w:r>
          </w:p>
        </w:tc>
        <w:tc>
          <w:tcPr>
            <w:tcW w:w="0" w:type="auto"/>
            <w:tcBorders>
              <w:top w:val="nil"/>
              <w:left w:val="nil"/>
              <w:bottom w:val="single" w:sz="4" w:space="0" w:color="auto"/>
              <w:right w:val="single" w:sz="4" w:space="0" w:color="auto"/>
            </w:tcBorders>
            <w:shd w:val="clear" w:color="000000" w:fill="FFFFFF"/>
            <w:noWrap/>
            <w:vAlign w:val="center"/>
            <w:hideMark/>
          </w:tcPr>
          <w:p w14:paraId="612802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181,613,967</w:t>
            </w:r>
          </w:p>
        </w:tc>
        <w:tc>
          <w:tcPr>
            <w:tcW w:w="0" w:type="auto"/>
            <w:tcBorders>
              <w:top w:val="nil"/>
              <w:left w:val="nil"/>
              <w:bottom w:val="single" w:sz="4" w:space="0" w:color="auto"/>
              <w:right w:val="single" w:sz="4" w:space="0" w:color="auto"/>
            </w:tcBorders>
            <w:shd w:val="clear" w:color="000000" w:fill="FFFFFF"/>
            <w:noWrap/>
            <w:vAlign w:val="center"/>
            <w:hideMark/>
          </w:tcPr>
          <w:p w14:paraId="56EB92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6290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181,613,967</w:t>
            </w:r>
          </w:p>
        </w:tc>
        <w:tc>
          <w:tcPr>
            <w:tcW w:w="0" w:type="auto"/>
            <w:tcBorders>
              <w:top w:val="nil"/>
              <w:left w:val="nil"/>
              <w:bottom w:val="single" w:sz="4" w:space="0" w:color="auto"/>
              <w:right w:val="single" w:sz="4" w:space="0" w:color="auto"/>
            </w:tcBorders>
            <w:shd w:val="clear" w:color="000000" w:fill="FFFFFF"/>
            <w:noWrap/>
            <w:vAlign w:val="center"/>
            <w:hideMark/>
          </w:tcPr>
          <w:p w14:paraId="2E4B97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121,075,978</w:t>
            </w:r>
          </w:p>
        </w:tc>
        <w:tc>
          <w:tcPr>
            <w:tcW w:w="0" w:type="auto"/>
            <w:tcBorders>
              <w:top w:val="nil"/>
              <w:left w:val="nil"/>
              <w:bottom w:val="single" w:sz="4" w:space="0" w:color="auto"/>
              <w:right w:val="single" w:sz="4" w:space="0" w:color="auto"/>
            </w:tcBorders>
            <w:shd w:val="clear" w:color="000000" w:fill="FFFFFF"/>
            <w:noWrap/>
            <w:vAlign w:val="center"/>
            <w:hideMark/>
          </w:tcPr>
          <w:p w14:paraId="2510B3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B28E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121,075,978</w:t>
            </w:r>
          </w:p>
        </w:tc>
        <w:tc>
          <w:tcPr>
            <w:tcW w:w="0" w:type="auto"/>
            <w:tcBorders>
              <w:top w:val="nil"/>
              <w:left w:val="nil"/>
              <w:bottom w:val="single" w:sz="4" w:space="0" w:color="auto"/>
              <w:right w:val="single" w:sz="4" w:space="0" w:color="auto"/>
            </w:tcBorders>
            <w:shd w:val="clear" w:color="000000" w:fill="FFFFFF"/>
            <w:vAlign w:val="center"/>
            <w:hideMark/>
          </w:tcPr>
          <w:p w14:paraId="3900AB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9B082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96A61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56EEC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B7B13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05F1D7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0AE508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2.3.9</w:t>
            </w:r>
          </w:p>
        </w:tc>
        <w:tc>
          <w:tcPr>
            <w:tcW w:w="0" w:type="auto"/>
            <w:tcBorders>
              <w:top w:val="nil"/>
              <w:left w:val="nil"/>
              <w:bottom w:val="single" w:sz="4" w:space="0" w:color="auto"/>
              <w:right w:val="single" w:sz="4" w:space="0" w:color="auto"/>
            </w:tcBorders>
            <w:shd w:val="clear" w:color="F1F5F9" w:fill="FFFFFF"/>
            <w:vAlign w:val="center"/>
            <w:hideMark/>
          </w:tcPr>
          <w:p w14:paraId="4A54011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kërkesave për hetime paralele dhe të përbashkëta me partnerët ndërkombëtarë, përmes veprimeve hetimore proaktive, të mbështetura nga analiza e tendencave më të fundit kriminale, në fushën e krimit ekonomik dhe aseteve të përftuara në mënyrë të paligjshme në Shqipëri dhe jashtë vendit, si dhe me qëllim forcimin e gjurmimit, sekuestrimit dhe konfiskimit të aseteve ndërkufitare.</w:t>
            </w:r>
          </w:p>
        </w:tc>
        <w:tc>
          <w:tcPr>
            <w:tcW w:w="0" w:type="auto"/>
            <w:tcBorders>
              <w:top w:val="nil"/>
              <w:left w:val="nil"/>
              <w:bottom w:val="single" w:sz="4" w:space="0" w:color="auto"/>
              <w:right w:val="single" w:sz="4" w:space="0" w:color="auto"/>
            </w:tcBorders>
            <w:shd w:val="clear" w:color="000000" w:fill="FFFFFF"/>
            <w:vAlign w:val="center"/>
            <w:hideMark/>
          </w:tcPr>
          <w:p w14:paraId="13B9C1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5844A4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5C6AC3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Inteligjencës Financiare; Prokuroria e Përgjithshme; Byroja Kombëtare e Hetimit; Prokuroria e Posaçme;</w:t>
            </w:r>
          </w:p>
        </w:tc>
        <w:tc>
          <w:tcPr>
            <w:tcW w:w="0" w:type="auto"/>
            <w:tcBorders>
              <w:top w:val="nil"/>
              <w:left w:val="nil"/>
              <w:bottom w:val="single" w:sz="4" w:space="0" w:color="auto"/>
              <w:right w:val="single" w:sz="4" w:space="0" w:color="auto"/>
            </w:tcBorders>
            <w:shd w:val="clear" w:color="000000" w:fill="FFFFFF"/>
            <w:vAlign w:val="center"/>
            <w:hideMark/>
          </w:tcPr>
          <w:p w14:paraId="06CB36D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D0324F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CAD78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65F410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3193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0BE8BB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7A78C0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58178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52F346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59D338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7271B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525FD9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4218CA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C1EA8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4F3558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4C7EFB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E8FD4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145,327,142</w:t>
            </w:r>
          </w:p>
        </w:tc>
        <w:tc>
          <w:tcPr>
            <w:tcW w:w="0" w:type="auto"/>
            <w:tcBorders>
              <w:top w:val="nil"/>
              <w:left w:val="nil"/>
              <w:bottom w:val="single" w:sz="4" w:space="0" w:color="auto"/>
              <w:right w:val="single" w:sz="4" w:space="0" w:color="auto"/>
            </w:tcBorders>
            <w:shd w:val="clear" w:color="000000" w:fill="FFFFFF"/>
            <w:vAlign w:val="center"/>
            <w:hideMark/>
          </w:tcPr>
          <w:p w14:paraId="2ED610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726,635,710</w:t>
            </w:r>
          </w:p>
        </w:tc>
        <w:tc>
          <w:tcPr>
            <w:tcW w:w="0" w:type="auto"/>
            <w:tcBorders>
              <w:top w:val="nil"/>
              <w:left w:val="nil"/>
              <w:bottom w:val="single" w:sz="4" w:space="0" w:color="auto"/>
              <w:right w:val="single" w:sz="4" w:space="0" w:color="auto"/>
            </w:tcBorders>
            <w:shd w:val="clear" w:color="000000" w:fill="FFFFFF"/>
            <w:vAlign w:val="center"/>
            <w:hideMark/>
          </w:tcPr>
          <w:p w14:paraId="655143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8BEA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726,635,710</w:t>
            </w:r>
          </w:p>
        </w:tc>
        <w:tc>
          <w:tcPr>
            <w:tcW w:w="0" w:type="auto"/>
            <w:tcBorders>
              <w:top w:val="nil"/>
              <w:left w:val="nil"/>
              <w:bottom w:val="single" w:sz="4" w:space="0" w:color="auto"/>
              <w:right w:val="single" w:sz="4" w:space="0" w:color="auto"/>
            </w:tcBorders>
            <w:shd w:val="clear" w:color="000000" w:fill="FFFFFF"/>
            <w:noWrap/>
            <w:vAlign w:val="center"/>
            <w:hideMark/>
          </w:tcPr>
          <w:p w14:paraId="07B883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435,981,426</w:t>
            </w:r>
          </w:p>
        </w:tc>
        <w:tc>
          <w:tcPr>
            <w:tcW w:w="0" w:type="auto"/>
            <w:tcBorders>
              <w:top w:val="nil"/>
              <w:left w:val="nil"/>
              <w:bottom w:val="single" w:sz="4" w:space="0" w:color="auto"/>
              <w:right w:val="single" w:sz="4" w:space="0" w:color="auto"/>
            </w:tcBorders>
            <w:shd w:val="clear" w:color="000000" w:fill="FFFFFF"/>
            <w:noWrap/>
            <w:vAlign w:val="center"/>
            <w:hideMark/>
          </w:tcPr>
          <w:p w14:paraId="4CAB5C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0C00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435,981,426</w:t>
            </w:r>
          </w:p>
        </w:tc>
        <w:tc>
          <w:tcPr>
            <w:tcW w:w="0" w:type="auto"/>
            <w:tcBorders>
              <w:top w:val="nil"/>
              <w:left w:val="nil"/>
              <w:bottom w:val="single" w:sz="4" w:space="0" w:color="auto"/>
              <w:right w:val="single" w:sz="4" w:space="0" w:color="auto"/>
            </w:tcBorders>
            <w:shd w:val="clear" w:color="000000" w:fill="FFFFFF"/>
            <w:noWrap/>
            <w:vAlign w:val="center"/>
            <w:hideMark/>
          </w:tcPr>
          <w:p w14:paraId="186C80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290,654,284</w:t>
            </w:r>
          </w:p>
        </w:tc>
        <w:tc>
          <w:tcPr>
            <w:tcW w:w="0" w:type="auto"/>
            <w:tcBorders>
              <w:top w:val="nil"/>
              <w:left w:val="nil"/>
              <w:bottom w:val="single" w:sz="4" w:space="0" w:color="auto"/>
              <w:right w:val="single" w:sz="4" w:space="0" w:color="auto"/>
            </w:tcBorders>
            <w:shd w:val="clear" w:color="000000" w:fill="FFFFFF"/>
            <w:noWrap/>
            <w:vAlign w:val="center"/>
            <w:hideMark/>
          </w:tcPr>
          <w:p w14:paraId="158A51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6801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290,654,284</w:t>
            </w:r>
          </w:p>
        </w:tc>
        <w:tc>
          <w:tcPr>
            <w:tcW w:w="0" w:type="auto"/>
            <w:tcBorders>
              <w:top w:val="nil"/>
              <w:left w:val="nil"/>
              <w:bottom w:val="single" w:sz="4" w:space="0" w:color="auto"/>
              <w:right w:val="single" w:sz="4" w:space="0" w:color="auto"/>
            </w:tcBorders>
            <w:shd w:val="clear" w:color="000000" w:fill="FFFFFF"/>
            <w:vAlign w:val="center"/>
            <w:hideMark/>
          </w:tcPr>
          <w:p w14:paraId="0F1A76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31D9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46763B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D69D8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0ABF8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67E97D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13C2FF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2.3.10</w:t>
            </w:r>
          </w:p>
        </w:tc>
        <w:tc>
          <w:tcPr>
            <w:tcW w:w="0" w:type="auto"/>
            <w:tcBorders>
              <w:top w:val="nil"/>
              <w:left w:val="nil"/>
              <w:bottom w:val="single" w:sz="4" w:space="0" w:color="auto"/>
              <w:right w:val="single" w:sz="4" w:space="0" w:color="auto"/>
            </w:tcBorders>
            <w:shd w:val="clear" w:color="F1F5F9" w:fill="FFFFFF"/>
            <w:vAlign w:val="center"/>
            <w:hideMark/>
          </w:tcPr>
          <w:p w14:paraId="7D07FDE0" w14:textId="13627DB0"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Trajtimi i krimit ekonomik dhe mashtrimit financiar përmes hetimeve proaktive, përfshirë përmes përzgjedhjes së çështjeve të udhëhequr nga inteligjenca, zbatimit të teknikave të posaçme të hetimit, aty ku lejohet me ligj, forcimit të kapaciteteve të kontabilitetit kriminalistik dhe gjurmimit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 xml:space="preserve">, si dhe prioritizimit të çështjeve me ndikim të lartë dhe të ardhura të konsiderueshme kriminale. </w:t>
            </w:r>
          </w:p>
        </w:tc>
        <w:tc>
          <w:tcPr>
            <w:tcW w:w="0" w:type="auto"/>
            <w:tcBorders>
              <w:top w:val="nil"/>
              <w:left w:val="nil"/>
              <w:bottom w:val="single" w:sz="4" w:space="0" w:color="auto"/>
              <w:right w:val="single" w:sz="4" w:space="0" w:color="auto"/>
            </w:tcBorders>
            <w:shd w:val="clear" w:color="000000" w:fill="FFFFFF"/>
            <w:vAlign w:val="center"/>
            <w:hideMark/>
          </w:tcPr>
          <w:p w14:paraId="36A365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357D81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AD4C9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Posaçme; Byroja Kombëtare e Hetimit; Prokuroria e Përgjithshme</w:t>
            </w:r>
          </w:p>
        </w:tc>
        <w:tc>
          <w:tcPr>
            <w:tcW w:w="0" w:type="auto"/>
            <w:tcBorders>
              <w:top w:val="nil"/>
              <w:left w:val="nil"/>
              <w:bottom w:val="single" w:sz="4" w:space="0" w:color="auto"/>
              <w:right w:val="single" w:sz="4" w:space="0" w:color="auto"/>
            </w:tcBorders>
            <w:shd w:val="clear" w:color="000000" w:fill="FFFFFF"/>
            <w:vAlign w:val="center"/>
            <w:hideMark/>
          </w:tcPr>
          <w:p w14:paraId="4048A4C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DE5EDA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8DA58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2B7E97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2981D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109E17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1BEC8C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D681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2C3339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443F7A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476D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194E13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633C83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39EF9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24C3CB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0674C7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921F4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87,197,116</w:t>
            </w:r>
          </w:p>
        </w:tc>
        <w:tc>
          <w:tcPr>
            <w:tcW w:w="0" w:type="auto"/>
            <w:tcBorders>
              <w:top w:val="nil"/>
              <w:left w:val="nil"/>
              <w:bottom w:val="single" w:sz="4" w:space="0" w:color="auto"/>
              <w:right w:val="single" w:sz="4" w:space="0" w:color="auto"/>
            </w:tcBorders>
            <w:shd w:val="clear" w:color="000000" w:fill="FFFFFF"/>
            <w:vAlign w:val="center"/>
            <w:hideMark/>
          </w:tcPr>
          <w:p w14:paraId="369DF0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435,985,580</w:t>
            </w:r>
          </w:p>
        </w:tc>
        <w:tc>
          <w:tcPr>
            <w:tcW w:w="0" w:type="auto"/>
            <w:tcBorders>
              <w:top w:val="nil"/>
              <w:left w:val="nil"/>
              <w:bottom w:val="single" w:sz="4" w:space="0" w:color="auto"/>
              <w:right w:val="single" w:sz="4" w:space="0" w:color="auto"/>
            </w:tcBorders>
            <w:shd w:val="clear" w:color="000000" w:fill="FFFFFF"/>
            <w:vAlign w:val="center"/>
            <w:hideMark/>
          </w:tcPr>
          <w:p w14:paraId="641D1F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4C4B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435,985,580</w:t>
            </w:r>
          </w:p>
        </w:tc>
        <w:tc>
          <w:tcPr>
            <w:tcW w:w="0" w:type="auto"/>
            <w:tcBorders>
              <w:top w:val="nil"/>
              <w:left w:val="nil"/>
              <w:bottom w:val="single" w:sz="4" w:space="0" w:color="auto"/>
              <w:right w:val="single" w:sz="4" w:space="0" w:color="auto"/>
            </w:tcBorders>
            <w:shd w:val="clear" w:color="000000" w:fill="FFFFFF"/>
            <w:noWrap/>
            <w:vAlign w:val="center"/>
            <w:hideMark/>
          </w:tcPr>
          <w:p w14:paraId="2604ED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261,591,348</w:t>
            </w:r>
          </w:p>
        </w:tc>
        <w:tc>
          <w:tcPr>
            <w:tcW w:w="0" w:type="auto"/>
            <w:tcBorders>
              <w:top w:val="nil"/>
              <w:left w:val="nil"/>
              <w:bottom w:val="single" w:sz="4" w:space="0" w:color="auto"/>
              <w:right w:val="single" w:sz="4" w:space="0" w:color="auto"/>
            </w:tcBorders>
            <w:shd w:val="clear" w:color="000000" w:fill="FFFFFF"/>
            <w:noWrap/>
            <w:vAlign w:val="center"/>
            <w:hideMark/>
          </w:tcPr>
          <w:p w14:paraId="260C0B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26D4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261,591,348</w:t>
            </w:r>
          </w:p>
        </w:tc>
        <w:tc>
          <w:tcPr>
            <w:tcW w:w="0" w:type="auto"/>
            <w:tcBorders>
              <w:top w:val="nil"/>
              <w:left w:val="nil"/>
              <w:bottom w:val="single" w:sz="4" w:space="0" w:color="auto"/>
              <w:right w:val="single" w:sz="4" w:space="0" w:color="auto"/>
            </w:tcBorders>
            <w:shd w:val="clear" w:color="000000" w:fill="FFFFFF"/>
            <w:noWrap/>
            <w:vAlign w:val="center"/>
            <w:hideMark/>
          </w:tcPr>
          <w:p w14:paraId="67A05D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174,394,232</w:t>
            </w:r>
          </w:p>
        </w:tc>
        <w:tc>
          <w:tcPr>
            <w:tcW w:w="0" w:type="auto"/>
            <w:tcBorders>
              <w:top w:val="nil"/>
              <w:left w:val="nil"/>
              <w:bottom w:val="single" w:sz="4" w:space="0" w:color="auto"/>
              <w:right w:val="single" w:sz="4" w:space="0" w:color="auto"/>
            </w:tcBorders>
            <w:shd w:val="clear" w:color="000000" w:fill="FFFFFF"/>
            <w:noWrap/>
            <w:vAlign w:val="center"/>
            <w:hideMark/>
          </w:tcPr>
          <w:p w14:paraId="0E3356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281B5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174,394,232</w:t>
            </w:r>
          </w:p>
        </w:tc>
        <w:tc>
          <w:tcPr>
            <w:tcW w:w="0" w:type="auto"/>
            <w:tcBorders>
              <w:top w:val="nil"/>
              <w:left w:val="nil"/>
              <w:bottom w:val="single" w:sz="4" w:space="0" w:color="auto"/>
              <w:right w:val="single" w:sz="4" w:space="0" w:color="auto"/>
            </w:tcBorders>
            <w:shd w:val="clear" w:color="000000" w:fill="FFFFFF"/>
            <w:vAlign w:val="center"/>
            <w:hideMark/>
          </w:tcPr>
          <w:p w14:paraId="2513B2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B450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37BD48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09529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56C4A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A4B6E0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2CA8BD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2.3.11</w:t>
            </w:r>
          </w:p>
        </w:tc>
        <w:tc>
          <w:tcPr>
            <w:tcW w:w="0" w:type="auto"/>
            <w:tcBorders>
              <w:top w:val="nil"/>
              <w:left w:val="nil"/>
              <w:bottom w:val="single" w:sz="4" w:space="0" w:color="auto"/>
              <w:right w:val="single" w:sz="4" w:space="0" w:color="auto"/>
            </w:tcBorders>
            <w:shd w:val="clear" w:color="F1F5F9" w:fill="FFFFFF"/>
            <w:vAlign w:val="center"/>
            <w:hideMark/>
          </w:tcPr>
          <w:p w14:paraId="4F629E53" w14:textId="35A217F3"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Zgjerimi i aksesit dhe verifikimit </w:t>
            </w:r>
            <w:r w:rsidR="008F549F" w:rsidRPr="002128A6">
              <w:rPr>
                <w:rFonts w:ascii="Garamond" w:eastAsia="Times New Roman" w:hAnsi="Garamond" w:cs="Times New Roman"/>
                <w:i/>
                <w:iCs/>
                <w:kern w:val="0"/>
                <w:sz w:val="4"/>
                <w:szCs w:val="8"/>
                <w14:ligatures w14:val="none"/>
              </w:rPr>
              <w:t>online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në bazat e të dhënave, për qëllime të verifikimeve paraprake dhe hetimeve në fushën ekonomiko-financiare, përfshirë duke forcuar ndërveprueshmërinë, duke përmirësuar procedurat e aksesit të ligjshëm dhe duke mundësuar verifikim në kohë të informacionit të nevojshëm për analizën e riskut dhe zhvillimin e çështjes.</w:t>
            </w:r>
          </w:p>
        </w:tc>
        <w:tc>
          <w:tcPr>
            <w:tcW w:w="0" w:type="auto"/>
            <w:tcBorders>
              <w:top w:val="nil"/>
              <w:left w:val="nil"/>
              <w:bottom w:val="single" w:sz="4" w:space="0" w:color="auto"/>
              <w:right w:val="single" w:sz="4" w:space="0" w:color="auto"/>
            </w:tcBorders>
            <w:shd w:val="clear" w:color="000000" w:fill="FFFFFF"/>
            <w:vAlign w:val="center"/>
            <w:hideMark/>
          </w:tcPr>
          <w:p w14:paraId="1560C8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3CF2AA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4493AFC5" w14:textId="0834104E"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Shërbimi Informativ i Shtetit; Drejtoria e Përgjithshme e Tatimeve; Drejtoria e Përgjithshme e Doganave; Autoriteti i Mbikëqyrjes Financiare ; Autoriteti Kombëtar për Sigurinë Kibernetike; QKB; DHKA;</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70CAED7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40499F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F945B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69908A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1487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53957F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2947AA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5993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3069B9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62F1BA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E7C7D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38D79D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42BFD9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51A5B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6F3659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13044A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BC41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87,895,257</w:t>
            </w:r>
          </w:p>
        </w:tc>
        <w:tc>
          <w:tcPr>
            <w:tcW w:w="0" w:type="auto"/>
            <w:tcBorders>
              <w:top w:val="nil"/>
              <w:left w:val="nil"/>
              <w:bottom w:val="single" w:sz="4" w:space="0" w:color="auto"/>
              <w:right w:val="single" w:sz="4" w:space="0" w:color="auto"/>
            </w:tcBorders>
            <w:shd w:val="clear" w:color="000000" w:fill="FFFFFF"/>
            <w:vAlign w:val="center"/>
            <w:hideMark/>
          </w:tcPr>
          <w:p w14:paraId="1F30EE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439,476,285</w:t>
            </w:r>
          </w:p>
        </w:tc>
        <w:tc>
          <w:tcPr>
            <w:tcW w:w="0" w:type="auto"/>
            <w:tcBorders>
              <w:top w:val="nil"/>
              <w:left w:val="nil"/>
              <w:bottom w:val="single" w:sz="4" w:space="0" w:color="auto"/>
              <w:right w:val="single" w:sz="4" w:space="0" w:color="auto"/>
            </w:tcBorders>
            <w:shd w:val="clear" w:color="000000" w:fill="FFFFFF"/>
            <w:vAlign w:val="center"/>
            <w:hideMark/>
          </w:tcPr>
          <w:p w14:paraId="334CD8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60EB4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439,476,285</w:t>
            </w:r>
          </w:p>
        </w:tc>
        <w:tc>
          <w:tcPr>
            <w:tcW w:w="0" w:type="auto"/>
            <w:tcBorders>
              <w:top w:val="nil"/>
              <w:left w:val="nil"/>
              <w:bottom w:val="single" w:sz="4" w:space="0" w:color="auto"/>
              <w:right w:val="single" w:sz="4" w:space="0" w:color="auto"/>
            </w:tcBorders>
            <w:shd w:val="clear" w:color="000000" w:fill="FFFFFF"/>
            <w:noWrap/>
            <w:vAlign w:val="center"/>
            <w:hideMark/>
          </w:tcPr>
          <w:p w14:paraId="1D3B16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263,685,771</w:t>
            </w:r>
          </w:p>
        </w:tc>
        <w:tc>
          <w:tcPr>
            <w:tcW w:w="0" w:type="auto"/>
            <w:tcBorders>
              <w:top w:val="nil"/>
              <w:left w:val="nil"/>
              <w:bottom w:val="single" w:sz="4" w:space="0" w:color="auto"/>
              <w:right w:val="single" w:sz="4" w:space="0" w:color="auto"/>
            </w:tcBorders>
            <w:shd w:val="clear" w:color="000000" w:fill="FFFFFF"/>
            <w:noWrap/>
            <w:vAlign w:val="center"/>
            <w:hideMark/>
          </w:tcPr>
          <w:p w14:paraId="7EED74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6955A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263,685,771</w:t>
            </w:r>
          </w:p>
        </w:tc>
        <w:tc>
          <w:tcPr>
            <w:tcW w:w="0" w:type="auto"/>
            <w:tcBorders>
              <w:top w:val="nil"/>
              <w:left w:val="nil"/>
              <w:bottom w:val="single" w:sz="4" w:space="0" w:color="auto"/>
              <w:right w:val="single" w:sz="4" w:space="0" w:color="auto"/>
            </w:tcBorders>
            <w:shd w:val="clear" w:color="000000" w:fill="FFFFFF"/>
            <w:noWrap/>
            <w:vAlign w:val="center"/>
            <w:hideMark/>
          </w:tcPr>
          <w:p w14:paraId="5AAB23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175,790,514</w:t>
            </w:r>
          </w:p>
        </w:tc>
        <w:tc>
          <w:tcPr>
            <w:tcW w:w="0" w:type="auto"/>
            <w:tcBorders>
              <w:top w:val="nil"/>
              <w:left w:val="nil"/>
              <w:bottom w:val="single" w:sz="4" w:space="0" w:color="auto"/>
              <w:right w:val="single" w:sz="4" w:space="0" w:color="auto"/>
            </w:tcBorders>
            <w:shd w:val="clear" w:color="000000" w:fill="FFFFFF"/>
            <w:noWrap/>
            <w:vAlign w:val="center"/>
            <w:hideMark/>
          </w:tcPr>
          <w:p w14:paraId="728342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A7FA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175,790,514</w:t>
            </w:r>
          </w:p>
        </w:tc>
        <w:tc>
          <w:tcPr>
            <w:tcW w:w="0" w:type="auto"/>
            <w:tcBorders>
              <w:top w:val="nil"/>
              <w:left w:val="nil"/>
              <w:bottom w:val="single" w:sz="4" w:space="0" w:color="auto"/>
              <w:right w:val="single" w:sz="4" w:space="0" w:color="auto"/>
            </w:tcBorders>
            <w:shd w:val="clear" w:color="000000" w:fill="FFFFFF"/>
            <w:vAlign w:val="center"/>
            <w:hideMark/>
          </w:tcPr>
          <w:p w14:paraId="373013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A68BC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F01A6D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D6B5C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AB845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125E29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767C57D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2.3.12</w:t>
            </w:r>
          </w:p>
        </w:tc>
        <w:tc>
          <w:tcPr>
            <w:tcW w:w="0" w:type="auto"/>
            <w:tcBorders>
              <w:top w:val="nil"/>
              <w:left w:val="nil"/>
              <w:bottom w:val="single" w:sz="4" w:space="0" w:color="auto"/>
              <w:right w:val="single" w:sz="4" w:space="0" w:color="auto"/>
            </w:tcBorders>
            <w:shd w:val="clear" w:color="000000" w:fill="FFFFFF"/>
            <w:vAlign w:val="center"/>
            <w:hideMark/>
          </w:tcPr>
          <w:p w14:paraId="1B42446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sekuestrimeve dhe konfiskimeve të pasurive që kanë prejardhje kriminale mbështetur në hetime thelluara.</w:t>
            </w:r>
          </w:p>
        </w:tc>
        <w:tc>
          <w:tcPr>
            <w:tcW w:w="0" w:type="auto"/>
            <w:tcBorders>
              <w:top w:val="nil"/>
              <w:left w:val="nil"/>
              <w:bottom w:val="single" w:sz="4" w:space="0" w:color="auto"/>
              <w:right w:val="single" w:sz="4" w:space="0" w:color="auto"/>
            </w:tcBorders>
            <w:shd w:val="clear" w:color="000000" w:fill="FFFFFF"/>
            <w:vAlign w:val="center"/>
            <w:hideMark/>
          </w:tcPr>
          <w:p w14:paraId="5847A5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4FB7FB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6034A1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 Prokuroria e Posaçme; Byroja Kombëtare e Hetimit; OSCE;</w:t>
            </w:r>
          </w:p>
        </w:tc>
        <w:tc>
          <w:tcPr>
            <w:tcW w:w="0" w:type="auto"/>
            <w:tcBorders>
              <w:top w:val="nil"/>
              <w:left w:val="nil"/>
              <w:bottom w:val="single" w:sz="4" w:space="0" w:color="auto"/>
              <w:right w:val="single" w:sz="4" w:space="0" w:color="auto"/>
            </w:tcBorders>
            <w:shd w:val="clear" w:color="000000" w:fill="FFFFFF"/>
            <w:vAlign w:val="center"/>
            <w:hideMark/>
          </w:tcPr>
          <w:p w14:paraId="5E23468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A55329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18174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5E5BBF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0CF80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338747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67BFB8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11F1F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6208B5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032843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AA00E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294F9B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6E1202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3FA67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7858AB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7CAC4A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8B59F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83,135,654</w:t>
            </w:r>
          </w:p>
        </w:tc>
        <w:tc>
          <w:tcPr>
            <w:tcW w:w="0" w:type="auto"/>
            <w:tcBorders>
              <w:top w:val="nil"/>
              <w:left w:val="nil"/>
              <w:bottom w:val="single" w:sz="4" w:space="0" w:color="auto"/>
              <w:right w:val="single" w:sz="4" w:space="0" w:color="auto"/>
            </w:tcBorders>
            <w:shd w:val="clear" w:color="000000" w:fill="FFFFFF"/>
            <w:vAlign w:val="center"/>
            <w:hideMark/>
          </w:tcPr>
          <w:p w14:paraId="6AC330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415,678,270</w:t>
            </w:r>
          </w:p>
        </w:tc>
        <w:tc>
          <w:tcPr>
            <w:tcW w:w="0" w:type="auto"/>
            <w:tcBorders>
              <w:top w:val="nil"/>
              <w:left w:val="nil"/>
              <w:bottom w:val="single" w:sz="4" w:space="0" w:color="auto"/>
              <w:right w:val="single" w:sz="4" w:space="0" w:color="auto"/>
            </w:tcBorders>
            <w:shd w:val="clear" w:color="000000" w:fill="FFFFFF"/>
            <w:vAlign w:val="center"/>
            <w:hideMark/>
          </w:tcPr>
          <w:p w14:paraId="5D2142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F1E5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415,678,270</w:t>
            </w:r>
          </w:p>
        </w:tc>
        <w:tc>
          <w:tcPr>
            <w:tcW w:w="0" w:type="auto"/>
            <w:tcBorders>
              <w:top w:val="nil"/>
              <w:left w:val="nil"/>
              <w:bottom w:val="single" w:sz="4" w:space="0" w:color="auto"/>
              <w:right w:val="single" w:sz="4" w:space="0" w:color="auto"/>
            </w:tcBorders>
            <w:shd w:val="clear" w:color="000000" w:fill="FFFFFF"/>
            <w:noWrap/>
            <w:vAlign w:val="center"/>
            <w:hideMark/>
          </w:tcPr>
          <w:p w14:paraId="5E0C4A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249,406,962</w:t>
            </w:r>
          </w:p>
        </w:tc>
        <w:tc>
          <w:tcPr>
            <w:tcW w:w="0" w:type="auto"/>
            <w:tcBorders>
              <w:top w:val="nil"/>
              <w:left w:val="nil"/>
              <w:bottom w:val="single" w:sz="4" w:space="0" w:color="auto"/>
              <w:right w:val="single" w:sz="4" w:space="0" w:color="auto"/>
            </w:tcBorders>
            <w:shd w:val="clear" w:color="000000" w:fill="FFFFFF"/>
            <w:noWrap/>
            <w:vAlign w:val="center"/>
            <w:hideMark/>
          </w:tcPr>
          <w:p w14:paraId="188909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304A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249,406,962</w:t>
            </w:r>
          </w:p>
        </w:tc>
        <w:tc>
          <w:tcPr>
            <w:tcW w:w="0" w:type="auto"/>
            <w:tcBorders>
              <w:top w:val="nil"/>
              <w:left w:val="nil"/>
              <w:bottom w:val="single" w:sz="4" w:space="0" w:color="auto"/>
              <w:right w:val="single" w:sz="4" w:space="0" w:color="auto"/>
            </w:tcBorders>
            <w:shd w:val="clear" w:color="000000" w:fill="FFFFFF"/>
            <w:noWrap/>
            <w:vAlign w:val="center"/>
            <w:hideMark/>
          </w:tcPr>
          <w:p w14:paraId="43AD82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166,271,308</w:t>
            </w:r>
          </w:p>
        </w:tc>
        <w:tc>
          <w:tcPr>
            <w:tcW w:w="0" w:type="auto"/>
            <w:tcBorders>
              <w:top w:val="nil"/>
              <w:left w:val="nil"/>
              <w:bottom w:val="single" w:sz="4" w:space="0" w:color="auto"/>
              <w:right w:val="single" w:sz="4" w:space="0" w:color="auto"/>
            </w:tcBorders>
            <w:shd w:val="clear" w:color="000000" w:fill="FFFFFF"/>
            <w:noWrap/>
            <w:vAlign w:val="center"/>
            <w:hideMark/>
          </w:tcPr>
          <w:p w14:paraId="72819A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1210C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166,271,308</w:t>
            </w:r>
          </w:p>
        </w:tc>
        <w:tc>
          <w:tcPr>
            <w:tcW w:w="0" w:type="auto"/>
            <w:tcBorders>
              <w:top w:val="nil"/>
              <w:left w:val="nil"/>
              <w:bottom w:val="single" w:sz="4" w:space="0" w:color="auto"/>
              <w:right w:val="single" w:sz="4" w:space="0" w:color="auto"/>
            </w:tcBorders>
            <w:shd w:val="clear" w:color="000000" w:fill="FFFFFF"/>
            <w:vAlign w:val="center"/>
            <w:hideMark/>
          </w:tcPr>
          <w:p w14:paraId="1BE0D0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AB0FD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EB441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69EDD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79D85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ECE4F2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549970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2.3.13</w:t>
            </w:r>
          </w:p>
        </w:tc>
        <w:tc>
          <w:tcPr>
            <w:tcW w:w="0" w:type="auto"/>
            <w:tcBorders>
              <w:top w:val="nil"/>
              <w:left w:val="nil"/>
              <w:bottom w:val="single" w:sz="4" w:space="0" w:color="auto"/>
              <w:right w:val="single" w:sz="4" w:space="0" w:color="auto"/>
            </w:tcBorders>
            <w:shd w:val="clear" w:color="000000" w:fill="FFFFFF"/>
            <w:vAlign w:val="center"/>
            <w:hideMark/>
          </w:tcPr>
          <w:p w14:paraId="43339241" w14:textId="39F18EF5"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Inicimi i procesit të vlerësimit për ngritjen e një Task</w:t>
            </w:r>
            <w:r w:rsidR="005C084B" w:rsidRPr="002128A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 xml:space="preserve">Force </w:t>
            </w:r>
            <w:r w:rsidRPr="00227466">
              <w:rPr>
                <w:rFonts w:ascii="Garamond" w:eastAsia="Times New Roman" w:hAnsi="Garamond" w:cs="Times New Roman"/>
                <w:i/>
                <w:iCs/>
                <w:kern w:val="0"/>
                <w:sz w:val="4"/>
                <w:szCs w:val="8"/>
                <w14:ligatures w14:val="none"/>
              </w:rPr>
              <w:t>ad hoch</w:t>
            </w:r>
            <w:r w:rsidRPr="002128A6">
              <w:rPr>
                <w:rFonts w:ascii="Garamond" w:eastAsia="Times New Roman" w:hAnsi="Garamond" w:cs="Times New Roman"/>
                <w:kern w:val="0"/>
                <w:sz w:val="4"/>
                <w:szCs w:val="8"/>
                <w14:ligatures w14:val="none"/>
              </w:rPr>
              <w:t xml:space="preserve"> të </w:t>
            </w:r>
            <w:r w:rsidR="00227466" w:rsidRPr="002128A6">
              <w:rPr>
                <w:rFonts w:ascii="Garamond" w:eastAsia="Times New Roman" w:hAnsi="Garamond" w:cs="Times New Roman"/>
                <w:kern w:val="0"/>
                <w:sz w:val="4"/>
                <w:szCs w:val="8"/>
                <w14:ligatures w14:val="none"/>
              </w:rPr>
              <w:t>specializuar</w:t>
            </w:r>
            <w:r w:rsidRPr="002128A6">
              <w:rPr>
                <w:rFonts w:ascii="Garamond" w:eastAsia="Times New Roman" w:hAnsi="Garamond" w:cs="Times New Roman"/>
                <w:kern w:val="0"/>
                <w:sz w:val="4"/>
                <w:szCs w:val="8"/>
                <w14:ligatures w14:val="none"/>
              </w:rPr>
              <w:t xml:space="preserve"> për Pastrimin e Parave në fushën e Pronave të Paluajtshme për ndërgjegjësim dhe kontroll të forcuar mbi profesionet e lira dhe kategorive të caktuara të bizneseve dhe profesioneve jofinanciare, duke përfshirë avokatët, agjentët e pasurive të paluajtshme, kontabilistët etj.</w:t>
            </w:r>
          </w:p>
        </w:tc>
        <w:tc>
          <w:tcPr>
            <w:tcW w:w="0" w:type="auto"/>
            <w:tcBorders>
              <w:top w:val="nil"/>
              <w:left w:val="nil"/>
              <w:bottom w:val="single" w:sz="4" w:space="0" w:color="auto"/>
              <w:right w:val="single" w:sz="4" w:space="0" w:color="auto"/>
            </w:tcBorders>
            <w:shd w:val="clear" w:color="000000" w:fill="FFFFFF"/>
            <w:vAlign w:val="center"/>
            <w:hideMark/>
          </w:tcPr>
          <w:p w14:paraId="2C7E8F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0E588F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nil"/>
              <w:bottom w:val="single" w:sz="4" w:space="0" w:color="auto"/>
              <w:right w:val="single" w:sz="4" w:space="0" w:color="auto"/>
            </w:tcBorders>
            <w:shd w:val="clear" w:color="000000" w:fill="FFFFFF"/>
            <w:vAlign w:val="center"/>
            <w:hideMark/>
          </w:tcPr>
          <w:p w14:paraId="768982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 Prokuroria e Përgjithshme;Prokuroria e Posaçme; Byroja Kombëtare e Hetimit; Drejtoria e Përgjithshme e Tatimeve; QKB; OSCE;</w:t>
            </w:r>
          </w:p>
        </w:tc>
        <w:tc>
          <w:tcPr>
            <w:tcW w:w="0" w:type="auto"/>
            <w:tcBorders>
              <w:top w:val="nil"/>
              <w:left w:val="nil"/>
              <w:bottom w:val="single" w:sz="4" w:space="0" w:color="auto"/>
              <w:right w:val="single" w:sz="4" w:space="0" w:color="auto"/>
            </w:tcBorders>
            <w:shd w:val="clear" w:color="000000" w:fill="FFFFFF"/>
            <w:vAlign w:val="center"/>
            <w:hideMark/>
          </w:tcPr>
          <w:p w14:paraId="1472729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5A390B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2027</w:t>
            </w:r>
          </w:p>
        </w:tc>
        <w:tc>
          <w:tcPr>
            <w:tcW w:w="0" w:type="auto"/>
            <w:tcBorders>
              <w:top w:val="nil"/>
              <w:left w:val="nil"/>
              <w:bottom w:val="single" w:sz="4" w:space="0" w:color="auto"/>
              <w:right w:val="single" w:sz="4" w:space="0" w:color="auto"/>
            </w:tcBorders>
            <w:shd w:val="clear" w:color="000000" w:fill="FFFFFF"/>
            <w:vAlign w:val="center"/>
            <w:hideMark/>
          </w:tcPr>
          <w:p w14:paraId="6EF429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27E53B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02C14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562319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1B86E0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06DB0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2B179C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3E80B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FE53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CE00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042D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4B99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24BAC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2084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7C10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09DBA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vAlign w:val="center"/>
            <w:hideMark/>
          </w:tcPr>
          <w:p w14:paraId="2DFD31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4EFF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noWrap/>
            <w:vAlign w:val="center"/>
            <w:hideMark/>
          </w:tcPr>
          <w:p w14:paraId="22AA25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noWrap/>
            <w:vAlign w:val="center"/>
            <w:hideMark/>
          </w:tcPr>
          <w:p w14:paraId="745A95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334A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noWrap/>
            <w:vAlign w:val="center"/>
            <w:hideMark/>
          </w:tcPr>
          <w:p w14:paraId="14B717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0624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9B873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4330F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EA39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A2150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60E69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1EA26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A72384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7060BD3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A483DA6" w14:textId="484E8F7C"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2.3</w:t>
            </w:r>
          </w:p>
        </w:tc>
        <w:tc>
          <w:tcPr>
            <w:tcW w:w="0" w:type="auto"/>
            <w:tcBorders>
              <w:top w:val="nil"/>
              <w:left w:val="nil"/>
              <w:bottom w:val="single" w:sz="4" w:space="0" w:color="auto"/>
              <w:right w:val="single" w:sz="4" w:space="0" w:color="auto"/>
            </w:tcBorders>
            <w:shd w:val="clear" w:color="000000" w:fill="5B9BD5"/>
            <w:vAlign w:val="center"/>
            <w:hideMark/>
          </w:tcPr>
          <w:p w14:paraId="5071F29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E73F97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2366B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CC31D1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43FF0E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40A57F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834,418,107</w:t>
            </w:r>
          </w:p>
        </w:tc>
        <w:tc>
          <w:tcPr>
            <w:tcW w:w="0" w:type="auto"/>
            <w:tcBorders>
              <w:top w:val="nil"/>
              <w:left w:val="nil"/>
              <w:bottom w:val="single" w:sz="4" w:space="0" w:color="auto"/>
              <w:right w:val="single" w:sz="4" w:space="0" w:color="auto"/>
            </w:tcBorders>
            <w:shd w:val="clear" w:color="000000" w:fill="5B9BD5"/>
            <w:vAlign w:val="center"/>
            <w:hideMark/>
          </w:tcPr>
          <w:p w14:paraId="1BDE5EF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745,000</w:t>
            </w:r>
          </w:p>
        </w:tc>
        <w:tc>
          <w:tcPr>
            <w:tcW w:w="0" w:type="auto"/>
            <w:tcBorders>
              <w:top w:val="nil"/>
              <w:left w:val="nil"/>
              <w:bottom w:val="single" w:sz="4" w:space="0" w:color="auto"/>
              <w:right w:val="single" w:sz="4" w:space="0" w:color="auto"/>
            </w:tcBorders>
            <w:shd w:val="clear" w:color="000000" w:fill="5B9BD5"/>
            <w:vAlign w:val="center"/>
            <w:hideMark/>
          </w:tcPr>
          <w:p w14:paraId="3CEE5D0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835,163,107</w:t>
            </w:r>
          </w:p>
        </w:tc>
        <w:tc>
          <w:tcPr>
            <w:tcW w:w="0" w:type="auto"/>
            <w:tcBorders>
              <w:top w:val="nil"/>
              <w:left w:val="nil"/>
              <w:bottom w:val="single" w:sz="4" w:space="0" w:color="auto"/>
              <w:right w:val="single" w:sz="4" w:space="0" w:color="auto"/>
            </w:tcBorders>
            <w:shd w:val="clear" w:color="000000" w:fill="5B9BD5"/>
            <w:vAlign w:val="center"/>
            <w:hideMark/>
          </w:tcPr>
          <w:p w14:paraId="1F73EF4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834,418,107</w:t>
            </w:r>
          </w:p>
        </w:tc>
        <w:tc>
          <w:tcPr>
            <w:tcW w:w="0" w:type="auto"/>
            <w:tcBorders>
              <w:top w:val="nil"/>
              <w:left w:val="nil"/>
              <w:bottom w:val="single" w:sz="4" w:space="0" w:color="auto"/>
              <w:right w:val="single" w:sz="4" w:space="0" w:color="auto"/>
            </w:tcBorders>
            <w:shd w:val="clear" w:color="000000" w:fill="5B9BD5"/>
            <w:vAlign w:val="center"/>
            <w:hideMark/>
          </w:tcPr>
          <w:p w14:paraId="3DB005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745,000</w:t>
            </w:r>
          </w:p>
        </w:tc>
        <w:tc>
          <w:tcPr>
            <w:tcW w:w="0" w:type="auto"/>
            <w:tcBorders>
              <w:top w:val="nil"/>
              <w:left w:val="nil"/>
              <w:bottom w:val="single" w:sz="4" w:space="0" w:color="auto"/>
              <w:right w:val="single" w:sz="4" w:space="0" w:color="auto"/>
            </w:tcBorders>
            <w:shd w:val="clear" w:color="000000" w:fill="5B9BD5"/>
            <w:vAlign w:val="center"/>
            <w:hideMark/>
          </w:tcPr>
          <w:p w14:paraId="24E16F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835,163,107</w:t>
            </w:r>
          </w:p>
        </w:tc>
        <w:tc>
          <w:tcPr>
            <w:tcW w:w="0" w:type="auto"/>
            <w:tcBorders>
              <w:top w:val="nil"/>
              <w:left w:val="nil"/>
              <w:bottom w:val="single" w:sz="4" w:space="0" w:color="auto"/>
              <w:right w:val="single" w:sz="4" w:space="0" w:color="auto"/>
            </w:tcBorders>
            <w:shd w:val="clear" w:color="000000" w:fill="5B9BD5"/>
            <w:vAlign w:val="center"/>
            <w:hideMark/>
          </w:tcPr>
          <w:p w14:paraId="7781757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834,118,107</w:t>
            </w:r>
          </w:p>
        </w:tc>
        <w:tc>
          <w:tcPr>
            <w:tcW w:w="0" w:type="auto"/>
            <w:tcBorders>
              <w:top w:val="nil"/>
              <w:left w:val="nil"/>
              <w:bottom w:val="single" w:sz="4" w:space="0" w:color="auto"/>
              <w:right w:val="single" w:sz="4" w:space="0" w:color="auto"/>
            </w:tcBorders>
            <w:shd w:val="clear" w:color="000000" w:fill="5B9BD5"/>
            <w:vAlign w:val="center"/>
            <w:hideMark/>
          </w:tcPr>
          <w:p w14:paraId="3C84897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745,000</w:t>
            </w:r>
          </w:p>
        </w:tc>
        <w:tc>
          <w:tcPr>
            <w:tcW w:w="0" w:type="auto"/>
            <w:tcBorders>
              <w:top w:val="nil"/>
              <w:left w:val="nil"/>
              <w:bottom w:val="single" w:sz="4" w:space="0" w:color="auto"/>
              <w:right w:val="single" w:sz="4" w:space="0" w:color="auto"/>
            </w:tcBorders>
            <w:shd w:val="clear" w:color="000000" w:fill="5B9BD5"/>
            <w:vAlign w:val="center"/>
            <w:hideMark/>
          </w:tcPr>
          <w:p w14:paraId="439A39E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834,863,107</w:t>
            </w:r>
          </w:p>
        </w:tc>
        <w:tc>
          <w:tcPr>
            <w:tcW w:w="0" w:type="auto"/>
            <w:tcBorders>
              <w:top w:val="nil"/>
              <w:left w:val="nil"/>
              <w:bottom w:val="single" w:sz="4" w:space="0" w:color="auto"/>
              <w:right w:val="single" w:sz="4" w:space="0" w:color="auto"/>
            </w:tcBorders>
            <w:shd w:val="clear" w:color="000000" w:fill="5B9BD5"/>
            <w:vAlign w:val="center"/>
            <w:hideMark/>
          </w:tcPr>
          <w:p w14:paraId="0EAD0C9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743,906,907</w:t>
            </w:r>
          </w:p>
        </w:tc>
        <w:tc>
          <w:tcPr>
            <w:tcW w:w="0" w:type="auto"/>
            <w:tcBorders>
              <w:top w:val="nil"/>
              <w:left w:val="nil"/>
              <w:bottom w:val="single" w:sz="4" w:space="0" w:color="auto"/>
              <w:right w:val="single" w:sz="4" w:space="0" w:color="auto"/>
            </w:tcBorders>
            <w:shd w:val="clear" w:color="000000" w:fill="5B9BD5"/>
            <w:vAlign w:val="center"/>
            <w:hideMark/>
          </w:tcPr>
          <w:p w14:paraId="1FC7FD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662729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743,906,907</w:t>
            </w:r>
          </w:p>
        </w:tc>
        <w:tc>
          <w:tcPr>
            <w:tcW w:w="0" w:type="auto"/>
            <w:tcBorders>
              <w:top w:val="nil"/>
              <w:left w:val="nil"/>
              <w:bottom w:val="single" w:sz="4" w:space="0" w:color="auto"/>
              <w:right w:val="single" w:sz="4" w:space="0" w:color="auto"/>
            </w:tcBorders>
            <w:shd w:val="clear" w:color="000000" w:fill="5B9BD5"/>
            <w:vAlign w:val="center"/>
            <w:hideMark/>
          </w:tcPr>
          <w:p w14:paraId="19D379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743,906,907</w:t>
            </w:r>
          </w:p>
        </w:tc>
        <w:tc>
          <w:tcPr>
            <w:tcW w:w="0" w:type="auto"/>
            <w:tcBorders>
              <w:top w:val="nil"/>
              <w:left w:val="nil"/>
              <w:bottom w:val="single" w:sz="4" w:space="0" w:color="auto"/>
              <w:right w:val="single" w:sz="4" w:space="0" w:color="auto"/>
            </w:tcBorders>
            <w:shd w:val="clear" w:color="000000" w:fill="5B9BD5"/>
            <w:vAlign w:val="center"/>
            <w:hideMark/>
          </w:tcPr>
          <w:p w14:paraId="60D7D24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2AA862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743,906,907</w:t>
            </w:r>
          </w:p>
        </w:tc>
        <w:tc>
          <w:tcPr>
            <w:tcW w:w="0" w:type="auto"/>
            <w:tcBorders>
              <w:top w:val="nil"/>
              <w:left w:val="nil"/>
              <w:bottom w:val="single" w:sz="4" w:space="0" w:color="auto"/>
              <w:right w:val="single" w:sz="4" w:space="0" w:color="auto"/>
            </w:tcBorders>
            <w:shd w:val="clear" w:color="000000" w:fill="5B9BD5"/>
            <w:vAlign w:val="center"/>
            <w:hideMark/>
          </w:tcPr>
          <w:p w14:paraId="72E9148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3,990,768,135</w:t>
            </w:r>
          </w:p>
        </w:tc>
        <w:tc>
          <w:tcPr>
            <w:tcW w:w="0" w:type="auto"/>
            <w:tcBorders>
              <w:top w:val="nil"/>
              <w:left w:val="nil"/>
              <w:bottom w:val="single" w:sz="4" w:space="0" w:color="auto"/>
              <w:right w:val="single" w:sz="4" w:space="0" w:color="auto"/>
            </w:tcBorders>
            <w:shd w:val="clear" w:color="000000" w:fill="5B9BD5"/>
            <w:vAlign w:val="center"/>
            <w:hideMark/>
          </w:tcPr>
          <w:p w14:paraId="72C660A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2,235,000</w:t>
            </w:r>
          </w:p>
        </w:tc>
        <w:tc>
          <w:tcPr>
            <w:tcW w:w="0" w:type="auto"/>
            <w:tcBorders>
              <w:top w:val="nil"/>
              <w:left w:val="nil"/>
              <w:bottom w:val="single" w:sz="4" w:space="0" w:color="auto"/>
              <w:right w:val="single" w:sz="4" w:space="0" w:color="auto"/>
            </w:tcBorders>
            <w:shd w:val="clear" w:color="000000" w:fill="5B9BD5"/>
            <w:vAlign w:val="center"/>
            <w:hideMark/>
          </w:tcPr>
          <w:p w14:paraId="3F75E09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3,993,003,135</w:t>
            </w:r>
          </w:p>
        </w:tc>
        <w:tc>
          <w:tcPr>
            <w:tcW w:w="0" w:type="auto"/>
            <w:tcBorders>
              <w:top w:val="nil"/>
              <w:left w:val="nil"/>
              <w:bottom w:val="single" w:sz="4" w:space="0" w:color="auto"/>
              <w:right w:val="single" w:sz="4" w:space="0" w:color="auto"/>
            </w:tcBorders>
            <w:shd w:val="clear" w:color="000000" w:fill="5B9BD5"/>
            <w:vAlign w:val="center"/>
            <w:hideMark/>
          </w:tcPr>
          <w:p w14:paraId="28370F6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2,502,954,321</w:t>
            </w:r>
          </w:p>
        </w:tc>
        <w:tc>
          <w:tcPr>
            <w:tcW w:w="0" w:type="auto"/>
            <w:tcBorders>
              <w:top w:val="nil"/>
              <w:left w:val="nil"/>
              <w:bottom w:val="single" w:sz="4" w:space="0" w:color="auto"/>
              <w:right w:val="single" w:sz="4" w:space="0" w:color="auto"/>
            </w:tcBorders>
            <w:shd w:val="clear" w:color="000000" w:fill="5B9BD5"/>
            <w:vAlign w:val="center"/>
            <w:hideMark/>
          </w:tcPr>
          <w:p w14:paraId="63569B8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C98DA2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2,502,954,321</w:t>
            </w:r>
          </w:p>
        </w:tc>
        <w:tc>
          <w:tcPr>
            <w:tcW w:w="0" w:type="auto"/>
            <w:tcBorders>
              <w:top w:val="nil"/>
              <w:left w:val="nil"/>
              <w:bottom w:val="single" w:sz="4" w:space="0" w:color="auto"/>
              <w:right w:val="single" w:sz="4" w:space="0" w:color="auto"/>
            </w:tcBorders>
            <w:shd w:val="clear" w:color="000000" w:fill="5B9BD5"/>
            <w:vAlign w:val="center"/>
            <w:hideMark/>
          </w:tcPr>
          <w:p w14:paraId="5EF6547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1,487,813,814</w:t>
            </w:r>
          </w:p>
        </w:tc>
        <w:tc>
          <w:tcPr>
            <w:tcW w:w="0" w:type="auto"/>
            <w:tcBorders>
              <w:top w:val="nil"/>
              <w:left w:val="nil"/>
              <w:bottom w:val="single" w:sz="4" w:space="0" w:color="auto"/>
              <w:right w:val="single" w:sz="4" w:space="0" w:color="auto"/>
            </w:tcBorders>
            <w:shd w:val="clear" w:color="000000" w:fill="5B9BD5"/>
            <w:vAlign w:val="center"/>
            <w:hideMark/>
          </w:tcPr>
          <w:p w14:paraId="2B13904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892EA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1,487,813,814</w:t>
            </w:r>
          </w:p>
        </w:tc>
        <w:tc>
          <w:tcPr>
            <w:tcW w:w="0" w:type="auto"/>
            <w:tcBorders>
              <w:top w:val="nil"/>
              <w:left w:val="nil"/>
              <w:bottom w:val="single" w:sz="4" w:space="0" w:color="auto"/>
              <w:right w:val="single" w:sz="4" w:space="0" w:color="auto"/>
            </w:tcBorders>
            <w:shd w:val="clear" w:color="000000" w:fill="5B9BD5"/>
            <w:vAlign w:val="center"/>
            <w:hideMark/>
          </w:tcPr>
          <w:p w14:paraId="27347FF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41F073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2,235,000</w:t>
            </w:r>
          </w:p>
        </w:tc>
        <w:tc>
          <w:tcPr>
            <w:tcW w:w="0" w:type="auto"/>
            <w:tcBorders>
              <w:top w:val="nil"/>
              <w:left w:val="nil"/>
              <w:bottom w:val="single" w:sz="4" w:space="0" w:color="auto"/>
              <w:right w:val="single" w:sz="4" w:space="0" w:color="auto"/>
            </w:tcBorders>
            <w:shd w:val="clear" w:color="000000" w:fill="5B9BD5"/>
            <w:vAlign w:val="center"/>
            <w:hideMark/>
          </w:tcPr>
          <w:p w14:paraId="5563CD6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0CC944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2,235,000</w:t>
            </w:r>
          </w:p>
        </w:tc>
        <w:tc>
          <w:tcPr>
            <w:tcW w:w="0" w:type="auto"/>
            <w:tcBorders>
              <w:top w:val="nil"/>
              <w:left w:val="nil"/>
              <w:bottom w:val="single" w:sz="4" w:space="0" w:color="auto"/>
              <w:right w:val="single" w:sz="4" w:space="0" w:color="auto"/>
            </w:tcBorders>
            <w:shd w:val="clear" w:color="000000" w:fill="5B9BD5"/>
            <w:vAlign w:val="center"/>
            <w:hideMark/>
          </w:tcPr>
          <w:p w14:paraId="7361652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51430FE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4C75DD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w:t>
            </w:r>
          </w:p>
        </w:tc>
        <w:tc>
          <w:tcPr>
            <w:tcW w:w="0" w:type="auto"/>
            <w:tcBorders>
              <w:top w:val="nil"/>
              <w:left w:val="nil"/>
              <w:bottom w:val="single" w:sz="4" w:space="0" w:color="auto"/>
              <w:right w:val="nil"/>
            </w:tcBorders>
            <w:shd w:val="clear" w:color="000000" w:fill="FCE4D6"/>
            <w:vAlign w:val="center"/>
            <w:hideMark/>
          </w:tcPr>
          <w:p w14:paraId="60C770D2"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Rritja e kapaciteteve kombëtare në parandalimin, zbulimin dhe ndjekjen penale të krimit kibernetik, përmes teknologjisë së përparuar, aftësive të specializuara dhe bashkëpunimit ndërkombëtar</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E402318" w14:textId="608799F6"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Referenca e Rezultatit me produktet e programit buxhetor</w:t>
            </w:r>
            <w:r w:rsidR="00F54824" w:rsidRPr="002128A6">
              <w:rPr>
                <w:rFonts w:ascii="Garamond" w:eastAsia="Times New Roman" w:hAnsi="Garamond" w:cs="Times New Roman"/>
                <w:b/>
                <w:bCs/>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D8F44C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përgjegjës</w:t>
            </w:r>
          </w:p>
        </w:tc>
        <w:tc>
          <w:tcPr>
            <w:tcW w:w="0" w:type="auto"/>
            <w:tcBorders>
              <w:top w:val="nil"/>
              <w:left w:val="nil"/>
              <w:bottom w:val="single" w:sz="4" w:space="0" w:color="auto"/>
              <w:right w:val="single" w:sz="4" w:space="0" w:color="auto"/>
            </w:tcBorders>
            <w:shd w:val="clear" w:color="000000" w:fill="FFFFFF"/>
            <w:vAlign w:val="center"/>
            <w:hideMark/>
          </w:tcPr>
          <w:p w14:paraId="5C4D95A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mbështetës</w:t>
            </w:r>
          </w:p>
        </w:tc>
        <w:tc>
          <w:tcPr>
            <w:tcW w:w="0" w:type="auto"/>
            <w:tcBorders>
              <w:top w:val="nil"/>
              <w:left w:val="nil"/>
              <w:bottom w:val="single" w:sz="4" w:space="0" w:color="auto"/>
              <w:right w:val="single" w:sz="4" w:space="0" w:color="auto"/>
            </w:tcBorders>
            <w:shd w:val="clear" w:color="000000" w:fill="FFFFFF"/>
            <w:vAlign w:val="center"/>
            <w:hideMark/>
          </w:tcPr>
          <w:p w14:paraId="2773E777" w14:textId="5BC96A4B"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fillimit</w:t>
            </w:r>
          </w:p>
        </w:tc>
        <w:tc>
          <w:tcPr>
            <w:tcW w:w="0" w:type="auto"/>
            <w:tcBorders>
              <w:top w:val="nil"/>
              <w:left w:val="nil"/>
              <w:bottom w:val="single" w:sz="4" w:space="0" w:color="auto"/>
              <w:right w:val="single" w:sz="4" w:space="0" w:color="auto"/>
            </w:tcBorders>
            <w:shd w:val="clear" w:color="000000" w:fill="FFFFFF"/>
            <w:vAlign w:val="center"/>
            <w:hideMark/>
          </w:tcPr>
          <w:p w14:paraId="24837D00" w14:textId="4052C00C"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mbarimit</w:t>
            </w:r>
          </w:p>
        </w:tc>
        <w:tc>
          <w:tcPr>
            <w:tcW w:w="0" w:type="auto"/>
            <w:tcBorders>
              <w:top w:val="nil"/>
              <w:left w:val="nil"/>
              <w:bottom w:val="single" w:sz="4" w:space="0" w:color="auto"/>
              <w:right w:val="single" w:sz="4" w:space="0" w:color="auto"/>
            </w:tcBorders>
            <w:shd w:val="clear" w:color="000000" w:fill="FFFFFF"/>
            <w:vAlign w:val="center"/>
            <w:hideMark/>
          </w:tcPr>
          <w:p w14:paraId="635F28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49D51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249BF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23BEA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F9567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1C278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C8548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04390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AFF6E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42C24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C730B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484CE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5F9B6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7EAF0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B1348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DDC72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D0E7D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FF2BD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E510B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632C2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46CFC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41FA4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D0022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949D6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0AF95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B0CF2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AB8242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54FBE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3F3E39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1F34FC3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8676E9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2.4.1</w:t>
            </w:r>
          </w:p>
        </w:tc>
        <w:tc>
          <w:tcPr>
            <w:tcW w:w="0" w:type="auto"/>
            <w:tcBorders>
              <w:top w:val="nil"/>
              <w:left w:val="nil"/>
              <w:bottom w:val="single" w:sz="4" w:space="0" w:color="auto"/>
              <w:right w:val="single" w:sz="4" w:space="0" w:color="auto"/>
            </w:tcBorders>
            <w:shd w:val="clear" w:color="000000" w:fill="FFFFFF"/>
            <w:vAlign w:val="center"/>
            <w:hideMark/>
          </w:tcPr>
          <w:p w14:paraId="230A4BAF" w14:textId="0A985236"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Forcimi kapaciteteve hetimore, operacionale dhe teknologjike për trajtimin e krimit kibernetik, duke përfshirë ndërtimin e kapaciteteve për analizën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 xml:space="preserve">e dhe kriminalistikën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e, si dhe duke përdorur mjete moderne dhe platformave për të mbështetur zbulimin, hetimin dhe dokumentimin e krimit kibernetik.</w:t>
            </w:r>
          </w:p>
        </w:tc>
        <w:tc>
          <w:tcPr>
            <w:tcW w:w="0" w:type="auto"/>
            <w:tcBorders>
              <w:top w:val="nil"/>
              <w:left w:val="nil"/>
              <w:bottom w:val="single" w:sz="4" w:space="0" w:color="auto"/>
              <w:right w:val="single" w:sz="4" w:space="0" w:color="auto"/>
            </w:tcBorders>
            <w:shd w:val="clear" w:color="000000" w:fill="FFFFFF"/>
            <w:vAlign w:val="center"/>
            <w:hideMark/>
          </w:tcPr>
          <w:p w14:paraId="5D062E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r w:rsidRPr="002128A6">
              <w:rPr>
                <w:rFonts w:ascii="Garamond" w:eastAsia="Times New Roman" w:hAnsi="Garamond" w:cs="Times New Roman"/>
                <w:kern w:val="0"/>
                <w:sz w:val="4"/>
                <w:szCs w:val="8"/>
                <w14:ligatures w14:val="none"/>
              </w:rPr>
              <w:br/>
              <w:t>91604AA</w:t>
            </w:r>
          </w:p>
        </w:tc>
        <w:tc>
          <w:tcPr>
            <w:tcW w:w="0" w:type="auto"/>
            <w:tcBorders>
              <w:top w:val="nil"/>
              <w:left w:val="nil"/>
              <w:bottom w:val="single" w:sz="4" w:space="0" w:color="auto"/>
              <w:right w:val="single" w:sz="4" w:space="0" w:color="auto"/>
            </w:tcBorders>
            <w:shd w:val="clear" w:color="000000" w:fill="FFFFFF"/>
            <w:vAlign w:val="center"/>
            <w:hideMark/>
          </w:tcPr>
          <w:p w14:paraId="51281C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0ADFBA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Drejtësisë, Prokuroria e Përgjithshme, Byroja Kombëtare e Hetimit, Agjencia e Inteligjencës Financiare</w:t>
            </w:r>
          </w:p>
        </w:tc>
        <w:tc>
          <w:tcPr>
            <w:tcW w:w="0" w:type="auto"/>
            <w:tcBorders>
              <w:top w:val="nil"/>
              <w:left w:val="nil"/>
              <w:bottom w:val="single" w:sz="4" w:space="0" w:color="auto"/>
              <w:right w:val="single" w:sz="4" w:space="0" w:color="auto"/>
            </w:tcBorders>
            <w:shd w:val="clear" w:color="000000" w:fill="FFFFFF"/>
            <w:vAlign w:val="center"/>
            <w:hideMark/>
          </w:tcPr>
          <w:p w14:paraId="441255B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E6FE60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5D7DD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7552A9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F5064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4A28388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040E6C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66B2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56DB374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32E3DF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0F98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504F770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139559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39657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19A0888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3EA295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E4F71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10,480,171</w:t>
            </w:r>
          </w:p>
        </w:tc>
        <w:tc>
          <w:tcPr>
            <w:tcW w:w="0" w:type="auto"/>
            <w:tcBorders>
              <w:top w:val="nil"/>
              <w:left w:val="nil"/>
              <w:bottom w:val="single" w:sz="4" w:space="0" w:color="auto"/>
              <w:right w:val="single" w:sz="4" w:space="0" w:color="auto"/>
            </w:tcBorders>
            <w:shd w:val="clear" w:color="000000" w:fill="FFFFFF"/>
            <w:vAlign w:val="center"/>
            <w:hideMark/>
          </w:tcPr>
          <w:p w14:paraId="48B78A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52,400,855</w:t>
            </w:r>
          </w:p>
        </w:tc>
        <w:tc>
          <w:tcPr>
            <w:tcW w:w="0" w:type="auto"/>
            <w:tcBorders>
              <w:top w:val="nil"/>
              <w:left w:val="nil"/>
              <w:bottom w:val="single" w:sz="4" w:space="0" w:color="auto"/>
              <w:right w:val="single" w:sz="4" w:space="0" w:color="auto"/>
            </w:tcBorders>
            <w:shd w:val="clear" w:color="000000" w:fill="FFFFFF"/>
            <w:vAlign w:val="center"/>
            <w:hideMark/>
          </w:tcPr>
          <w:p w14:paraId="44434E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35B9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52,400,855</w:t>
            </w:r>
          </w:p>
        </w:tc>
        <w:tc>
          <w:tcPr>
            <w:tcW w:w="0" w:type="auto"/>
            <w:tcBorders>
              <w:top w:val="nil"/>
              <w:left w:val="nil"/>
              <w:bottom w:val="single" w:sz="4" w:space="0" w:color="auto"/>
              <w:right w:val="single" w:sz="4" w:space="0" w:color="auto"/>
            </w:tcBorders>
            <w:shd w:val="clear" w:color="000000" w:fill="FFFFFF"/>
            <w:noWrap/>
            <w:vAlign w:val="center"/>
            <w:hideMark/>
          </w:tcPr>
          <w:p w14:paraId="59145A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31,440,513</w:t>
            </w:r>
          </w:p>
        </w:tc>
        <w:tc>
          <w:tcPr>
            <w:tcW w:w="0" w:type="auto"/>
            <w:tcBorders>
              <w:top w:val="nil"/>
              <w:left w:val="nil"/>
              <w:bottom w:val="single" w:sz="4" w:space="0" w:color="auto"/>
              <w:right w:val="single" w:sz="4" w:space="0" w:color="auto"/>
            </w:tcBorders>
            <w:shd w:val="clear" w:color="000000" w:fill="FFFFFF"/>
            <w:noWrap/>
            <w:vAlign w:val="center"/>
            <w:hideMark/>
          </w:tcPr>
          <w:p w14:paraId="7CD66D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93514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31,440,513</w:t>
            </w:r>
          </w:p>
        </w:tc>
        <w:tc>
          <w:tcPr>
            <w:tcW w:w="0" w:type="auto"/>
            <w:tcBorders>
              <w:top w:val="nil"/>
              <w:left w:val="nil"/>
              <w:bottom w:val="single" w:sz="4" w:space="0" w:color="auto"/>
              <w:right w:val="single" w:sz="4" w:space="0" w:color="auto"/>
            </w:tcBorders>
            <w:shd w:val="clear" w:color="000000" w:fill="FFFFFF"/>
            <w:noWrap/>
            <w:vAlign w:val="center"/>
            <w:hideMark/>
          </w:tcPr>
          <w:p w14:paraId="145BD7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20,960,342</w:t>
            </w:r>
          </w:p>
        </w:tc>
        <w:tc>
          <w:tcPr>
            <w:tcW w:w="0" w:type="auto"/>
            <w:tcBorders>
              <w:top w:val="nil"/>
              <w:left w:val="nil"/>
              <w:bottom w:val="single" w:sz="4" w:space="0" w:color="auto"/>
              <w:right w:val="single" w:sz="4" w:space="0" w:color="auto"/>
            </w:tcBorders>
            <w:shd w:val="clear" w:color="000000" w:fill="FFFFFF"/>
            <w:noWrap/>
            <w:vAlign w:val="center"/>
            <w:hideMark/>
          </w:tcPr>
          <w:p w14:paraId="2277A7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36630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20,960,342</w:t>
            </w:r>
          </w:p>
        </w:tc>
        <w:tc>
          <w:tcPr>
            <w:tcW w:w="0" w:type="auto"/>
            <w:tcBorders>
              <w:top w:val="nil"/>
              <w:left w:val="nil"/>
              <w:bottom w:val="single" w:sz="4" w:space="0" w:color="auto"/>
              <w:right w:val="single" w:sz="4" w:space="0" w:color="auto"/>
            </w:tcBorders>
            <w:shd w:val="clear" w:color="000000" w:fill="FFFFFF"/>
            <w:vAlign w:val="center"/>
            <w:hideMark/>
          </w:tcPr>
          <w:p w14:paraId="625763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D8546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CF2B98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6C3FD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7F077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D0E3BF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C797E0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2.4.2</w:t>
            </w:r>
          </w:p>
        </w:tc>
        <w:tc>
          <w:tcPr>
            <w:tcW w:w="0" w:type="auto"/>
            <w:tcBorders>
              <w:top w:val="nil"/>
              <w:left w:val="nil"/>
              <w:bottom w:val="single" w:sz="4" w:space="0" w:color="auto"/>
              <w:right w:val="single" w:sz="4" w:space="0" w:color="auto"/>
            </w:tcBorders>
            <w:shd w:val="clear" w:color="000000" w:fill="FFFFFF"/>
            <w:vAlign w:val="center"/>
            <w:hideMark/>
          </w:tcPr>
          <w:p w14:paraId="2BE5501A" w14:textId="3B1A8169"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Hartimi dhe zbatimi i programeve edukative dhe ndërgjegjësuese për qytetarët dhe bizneset mbi rreziqet kibernetike dhe masat mbrojtëse, përfshirë udhëzime për sjelljen e sigurt </w:t>
            </w:r>
            <w:r w:rsidR="008F549F" w:rsidRPr="002128A6">
              <w:rPr>
                <w:rFonts w:ascii="Garamond" w:eastAsia="Times New Roman" w:hAnsi="Garamond" w:cs="Times New Roman"/>
                <w:i/>
                <w:iCs/>
                <w:kern w:val="0"/>
                <w:sz w:val="4"/>
                <w:szCs w:val="8"/>
                <w14:ligatures w14:val="none"/>
              </w:rPr>
              <w:t>online</w:t>
            </w:r>
            <w:r w:rsidRPr="002128A6">
              <w:rPr>
                <w:rFonts w:ascii="Garamond" w:eastAsia="Times New Roman" w:hAnsi="Garamond" w:cs="Times New Roman"/>
                <w:kern w:val="0"/>
                <w:sz w:val="4"/>
                <w:szCs w:val="8"/>
                <w14:ligatures w14:val="none"/>
              </w:rPr>
              <w:t xml:space="preserve">, higjienën bazë kibernetike, rrugët e raportimit dhe masat parandaluese për mbrojtjen e të dhënave personale dhe aseteve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e.</w:t>
            </w:r>
          </w:p>
        </w:tc>
        <w:tc>
          <w:tcPr>
            <w:tcW w:w="0" w:type="auto"/>
            <w:tcBorders>
              <w:top w:val="nil"/>
              <w:left w:val="nil"/>
              <w:bottom w:val="single" w:sz="4" w:space="0" w:color="auto"/>
              <w:right w:val="single" w:sz="4" w:space="0" w:color="auto"/>
            </w:tcBorders>
            <w:shd w:val="clear" w:color="000000" w:fill="FFFFFF"/>
            <w:vAlign w:val="center"/>
            <w:hideMark/>
          </w:tcPr>
          <w:p w14:paraId="173EC2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r w:rsidRPr="002128A6">
              <w:rPr>
                <w:rFonts w:ascii="Garamond" w:eastAsia="Times New Roman" w:hAnsi="Garamond" w:cs="Times New Roman"/>
                <w:kern w:val="0"/>
                <w:sz w:val="4"/>
                <w:szCs w:val="8"/>
                <w14:ligatures w14:val="none"/>
              </w:rPr>
              <w:br/>
              <w:t>91604AA</w:t>
            </w:r>
          </w:p>
        </w:tc>
        <w:tc>
          <w:tcPr>
            <w:tcW w:w="0" w:type="auto"/>
            <w:tcBorders>
              <w:top w:val="nil"/>
              <w:left w:val="nil"/>
              <w:bottom w:val="single" w:sz="4" w:space="0" w:color="auto"/>
              <w:right w:val="single" w:sz="4" w:space="0" w:color="auto"/>
            </w:tcBorders>
            <w:shd w:val="clear" w:color="000000" w:fill="FFFFFF"/>
            <w:vAlign w:val="center"/>
            <w:hideMark/>
          </w:tcPr>
          <w:p w14:paraId="5DC00A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B6FB48F" w14:textId="6AEE1C98"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Shtetërore për të Drejtat dhe Mbrojtjen e Fëmijës;</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76EAD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C14924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C3D8F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10B25C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8E84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6770854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62B544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219C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2773210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06C700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5AE6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0952DAF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4AA63A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61296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721287E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4BF457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DFC7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4,875,389</w:t>
            </w:r>
          </w:p>
        </w:tc>
        <w:tc>
          <w:tcPr>
            <w:tcW w:w="0" w:type="auto"/>
            <w:tcBorders>
              <w:top w:val="nil"/>
              <w:left w:val="nil"/>
              <w:bottom w:val="single" w:sz="4" w:space="0" w:color="auto"/>
              <w:right w:val="single" w:sz="4" w:space="0" w:color="auto"/>
            </w:tcBorders>
            <w:shd w:val="clear" w:color="000000" w:fill="FFFFFF"/>
            <w:vAlign w:val="center"/>
            <w:hideMark/>
          </w:tcPr>
          <w:p w14:paraId="5F0841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24,376,945</w:t>
            </w:r>
          </w:p>
        </w:tc>
        <w:tc>
          <w:tcPr>
            <w:tcW w:w="0" w:type="auto"/>
            <w:tcBorders>
              <w:top w:val="nil"/>
              <w:left w:val="nil"/>
              <w:bottom w:val="single" w:sz="4" w:space="0" w:color="auto"/>
              <w:right w:val="single" w:sz="4" w:space="0" w:color="auto"/>
            </w:tcBorders>
            <w:shd w:val="clear" w:color="000000" w:fill="FFFFFF"/>
            <w:vAlign w:val="center"/>
            <w:hideMark/>
          </w:tcPr>
          <w:p w14:paraId="5ACA75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147D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24,376,945</w:t>
            </w:r>
          </w:p>
        </w:tc>
        <w:tc>
          <w:tcPr>
            <w:tcW w:w="0" w:type="auto"/>
            <w:tcBorders>
              <w:top w:val="nil"/>
              <w:left w:val="nil"/>
              <w:bottom w:val="single" w:sz="4" w:space="0" w:color="auto"/>
              <w:right w:val="single" w:sz="4" w:space="0" w:color="auto"/>
            </w:tcBorders>
            <w:shd w:val="clear" w:color="000000" w:fill="FFFFFF"/>
            <w:noWrap/>
            <w:vAlign w:val="center"/>
            <w:hideMark/>
          </w:tcPr>
          <w:p w14:paraId="411112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14,626,167</w:t>
            </w:r>
          </w:p>
        </w:tc>
        <w:tc>
          <w:tcPr>
            <w:tcW w:w="0" w:type="auto"/>
            <w:tcBorders>
              <w:top w:val="nil"/>
              <w:left w:val="nil"/>
              <w:bottom w:val="single" w:sz="4" w:space="0" w:color="auto"/>
              <w:right w:val="single" w:sz="4" w:space="0" w:color="auto"/>
            </w:tcBorders>
            <w:shd w:val="clear" w:color="000000" w:fill="FFFFFF"/>
            <w:noWrap/>
            <w:vAlign w:val="center"/>
            <w:hideMark/>
          </w:tcPr>
          <w:p w14:paraId="470B75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A3C0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14,626,167</w:t>
            </w:r>
          </w:p>
        </w:tc>
        <w:tc>
          <w:tcPr>
            <w:tcW w:w="0" w:type="auto"/>
            <w:tcBorders>
              <w:top w:val="nil"/>
              <w:left w:val="nil"/>
              <w:bottom w:val="single" w:sz="4" w:space="0" w:color="auto"/>
              <w:right w:val="single" w:sz="4" w:space="0" w:color="auto"/>
            </w:tcBorders>
            <w:shd w:val="clear" w:color="000000" w:fill="FFFFFF"/>
            <w:noWrap/>
            <w:vAlign w:val="center"/>
            <w:hideMark/>
          </w:tcPr>
          <w:p w14:paraId="2E2EA7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9,750,778</w:t>
            </w:r>
          </w:p>
        </w:tc>
        <w:tc>
          <w:tcPr>
            <w:tcW w:w="0" w:type="auto"/>
            <w:tcBorders>
              <w:top w:val="nil"/>
              <w:left w:val="nil"/>
              <w:bottom w:val="single" w:sz="4" w:space="0" w:color="auto"/>
              <w:right w:val="single" w:sz="4" w:space="0" w:color="auto"/>
            </w:tcBorders>
            <w:shd w:val="clear" w:color="000000" w:fill="FFFFFF"/>
            <w:noWrap/>
            <w:vAlign w:val="center"/>
            <w:hideMark/>
          </w:tcPr>
          <w:p w14:paraId="4EE3CA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D2E5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9,750,778</w:t>
            </w:r>
          </w:p>
        </w:tc>
        <w:tc>
          <w:tcPr>
            <w:tcW w:w="0" w:type="auto"/>
            <w:tcBorders>
              <w:top w:val="nil"/>
              <w:left w:val="nil"/>
              <w:bottom w:val="single" w:sz="4" w:space="0" w:color="auto"/>
              <w:right w:val="single" w:sz="4" w:space="0" w:color="auto"/>
            </w:tcBorders>
            <w:shd w:val="clear" w:color="000000" w:fill="FFFFFF"/>
            <w:vAlign w:val="center"/>
            <w:hideMark/>
          </w:tcPr>
          <w:p w14:paraId="1CC4AA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FDA43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64558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B3260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6A759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5A6B22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617718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2.4.3</w:t>
            </w:r>
          </w:p>
        </w:tc>
        <w:tc>
          <w:tcPr>
            <w:tcW w:w="0" w:type="auto"/>
            <w:tcBorders>
              <w:top w:val="nil"/>
              <w:left w:val="nil"/>
              <w:bottom w:val="single" w:sz="4" w:space="0" w:color="auto"/>
              <w:right w:val="single" w:sz="4" w:space="0" w:color="auto"/>
            </w:tcBorders>
            <w:shd w:val="clear" w:color="000000" w:fill="FFFFFF"/>
            <w:vAlign w:val="center"/>
            <w:hideMark/>
          </w:tcPr>
          <w:p w14:paraId="6C6BF148" w14:textId="4BA8EC63"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Trajtimi efektiv dhe i qëndrueshëm i të gjitha formave të krimit kibernetik, përmes realizimit të hetimeve proaktive, përfshirë përdorimin e inteligjencës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e dhe metodave të avancuara teknologjike hetimore, me qëllim parandalimin, zbulimin dhe ndëshkimin e aktiviteteve kriminale në hapësirën kibernetike.</w:t>
            </w:r>
          </w:p>
        </w:tc>
        <w:tc>
          <w:tcPr>
            <w:tcW w:w="0" w:type="auto"/>
            <w:tcBorders>
              <w:top w:val="nil"/>
              <w:left w:val="nil"/>
              <w:bottom w:val="single" w:sz="4" w:space="0" w:color="auto"/>
              <w:right w:val="single" w:sz="4" w:space="0" w:color="auto"/>
            </w:tcBorders>
            <w:shd w:val="clear" w:color="000000" w:fill="FFFFFF"/>
            <w:vAlign w:val="center"/>
            <w:hideMark/>
          </w:tcPr>
          <w:p w14:paraId="041446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18ECF2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bottom"/>
            <w:hideMark/>
          </w:tcPr>
          <w:p w14:paraId="552C66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Shërbimi Informativ i Shtetit; Drejtoria e Përgjithshme e Tatimeve; Drejtoria e Përgjithshme e Doganave; Agjencia e Inteligjencës Financiare.</w:t>
            </w:r>
            <w:r w:rsidRPr="002128A6">
              <w:rPr>
                <w:rFonts w:ascii="Garamond" w:eastAsia="Times New Roman" w:hAnsi="Garamond" w:cs="Times New Roman"/>
                <w:kern w:val="0"/>
                <w:sz w:val="4"/>
                <w:szCs w:val="8"/>
                <w14:ligatures w14:val="none"/>
              </w:rPr>
              <w:br/>
            </w:r>
            <w:r w:rsidRPr="002128A6">
              <w:rPr>
                <w:rFonts w:ascii="Garamond" w:eastAsia="Times New Roman" w:hAnsi="Garamond" w:cs="Times New Roman"/>
                <w:kern w:val="0"/>
                <w:sz w:val="4"/>
                <w:szCs w:val="8"/>
                <w14:ligatures w14:val="none"/>
              </w:rPr>
              <w:br/>
            </w:r>
          </w:p>
        </w:tc>
        <w:tc>
          <w:tcPr>
            <w:tcW w:w="0" w:type="auto"/>
            <w:tcBorders>
              <w:top w:val="nil"/>
              <w:left w:val="nil"/>
              <w:bottom w:val="single" w:sz="4" w:space="0" w:color="auto"/>
              <w:right w:val="single" w:sz="4" w:space="0" w:color="auto"/>
            </w:tcBorders>
            <w:shd w:val="clear" w:color="000000" w:fill="FFFFFF"/>
            <w:vAlign w:val="center"/>
            <w:hideMark/>
          </w:tcPr>
          <w:p w14:paraId="2352675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B5458A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DDA51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1B78F3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A31F4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9744D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DD9E3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AEB36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5C89C6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2C92A1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5917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4E166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161EA8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12ACC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51E92F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79D7B8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3BD86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78E813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vAlign w:val="center"/>
            <w:hideMark/>
          </w:tcPr>
          <w:p w14:paraId="7A4895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D9F9A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noWrap/>
            <w:vAlign w:val="center"/>
            <w:hideMark/>
          </w:tcPr>
          <w:p w14:paraId="7EF6CF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5D8277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125BC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4FCBA3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noWrap/>
            <w:vAlign w:val="center"/>
            <w:hideMark/>
          </w:tcPr>
          <w:p w14:paraId="523B4D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81C7D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vAlign w:val="center"/>
            <w:hideMark/>
          </w:tcPr>
          <w:p w14:paraId="07FC54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65255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FB057D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B2638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463D9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4DEFD76"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D268F1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2.4.4</w:t>
            </w:r>
          </w:p>
        </w:tc>
        <w:tc>
          <w:tcPr>
            <w:tcW w:w="0" w:type="auto"/>
            <w:tcBorders>
              <w:top w:val="nil"/>
              <w:left w:val="nil"/>
              <w:bottom w:val="single" w:sz="4" w:space="0" w:color="auto"/>
              <w:right w:val="single" w:sz="4" w:space="0" w:color="auto"/>
            </w:tcBorders>
            <w:shd w:val="clear" w:color="000000" w:fill="FFFFFF"/>
            <w:vAlign w:val="center"/>
            <w:hideMark/>
          </w:tcPr>
          <w:p w14:paraId="3B4B35E0" w14:textId="67C5417D"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Ofrimi i trajnimit të vazhdueshëm për të përditësuar njohuritë dhe për të forcuar bashkëpunimin ndërinstitucional, përfshirë trajnime të specializuara, përdorimin e softuerëve modernë</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dhe mjeteve hetimore, si dhe trajnime të përbashkëta me agjencitë ligjzbatuese, me fokus të veçantë te gjurmimi i aktiviteteve të paligjshme që përfshijnë kriptovalutat, hetimi i krimit kibernetik dhe identifikimi i grupeve kriminale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 xml:space="preserve">që veprojnë </w:t>
            </w:r>
            <w:r w:rsidR="008F549F" w:rsidRPr="002128A6">
              <w:rPr>
                <w:rFonts w:ascii="Garamond" w:eastAsia="Times New Roman" w:hAnsi="Garamond" w:cs="Times New Roman"/>
                <w:i/>
                <w:iCs/>
                <w:kern w:val="0"/>
                <w:sz w:val="4"/>
                <w:szCs w:val="8"/>
                <w14:ligatures w14:val="none"/>
              </w:rPr>
              <w:t>online</w:t>
            </w:r>
            <w:r w:rsidRPr="002128A6">
              <w:rPr>
                <w:rFonts w:ascii="Garamond" w:eastAsia="Times New Roman" w:hAnsi="Garamond" w:cs="Times New Roman"/>
                <w:kern w:val="0"/>
                <w:sz w:val="4"/>
                <w:szCs w:val="8"/>
                <w14:ligatures w14:val="none"/>
              </w:rPr>
              <w:t>.</w:t>
            </w:r>
          </w:p>
        </w:tc>
        <w:tc>
          <w:tcPr>
            <w:tcW w:w="0" w:type="auto"/>
            <w:tcBorders>
              <w:top w:val="nil"/>
              <w:left w:val="nil"/>
              <w:bottom w:val="single" w:sz="4" w:space="0" w:color="auto"/>
              <w:right w:val="single" w:sz="4" w:space="0" w:color="auto"/>
            </w:tcBorders>
            <w:shd w:val="clear" w:color="000000" w:fill="FFFFFF"/>
            <w:vAlign w:val="center"/>
            <w:hideMark/>
          </w:tcPr>
          <w:p w14:paraId="4F5E9C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7BB166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hideMark/>
          </w:tcPr>
          <w:p w14:paraId="5FAE2994" w14:textId="77FF7218"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Shërbimi Informativ i Shtetit; Drejtoria e Përgjithshme e Tatimeve; Drejtoria e Përgjithshme e Doganave; Agjencia e Inteligjencës Financiare; Banka e Shqipërisë; Byroja Kombëtare e Hetimit; Agjencia Shtetërore për të Drejtat dhe Mbrojtjen e Fëmijës/NJMF; Prokuroria e Përgjithshme; Prokuroria e Posaçme;</w:t>
            </w:r>
          </w:p>
        </w:tc>
        <w:tc>
          <w:tcPr>
            <w:tcW w:w="0" w:type="auto"/>
            <w:tcBorders>
              <w:top w:val="nil"/>
              <w:left w:val="nil"/>
              <w:bottom w:val="single" w:sz="4" w:space="0" w:color="auto"/>
              <w:right w:val="single" w:sz="4" w:space="0" w:color="auto"/>
            </w:tcBorders>
            <w:shd w:val="clear" w:color="000000" w:fill="FFFFFF"/>
            <w:vAlign w:val="center"/>
            <w:hideMark/>
          </w:tcPr>
          <w:p w14:paraId="377E06F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8DE9A7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ED85B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1D2B3A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5FD8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5DEE3D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17B899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FF707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62E495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764DCB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19286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0D3E8C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39C41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914F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DA051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A6D0E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C24B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CE830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vAlign w:val="center"/>
            <w:hideMark/>
          </w:tcPr>
          <w:p w14:paraId="328FB6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E5D2A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noWrap/>
            <w:vAlign w:val="center"/>
            <w:hideMark/>
          </w:tcPr>
          <w:p w14:paraId="672EBA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06C5F6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37E51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50000B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noWrap/>
            <w:vAlign w:val="center"/>
            <w:hideMark/>
          </w:tcPr>
          <w:p w14:paraId="2CC01B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0FE9D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vAlign w:val="center"/>
            <w:hideMark/>
          </w:tcPr>
          <w:p w14:paraId="22F72E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BC53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6DE272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39108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E0A1B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9ECAAC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5FC2B0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2.4.5</w:t>
            </w:r>
          </w:p>
        </w:tc>
        <w:tc>
          <w:tcPr>
            <w:tcW w:w="0" w:type="auto"/>
            <w:tcBorders>
              <w:top w:val="nil"/>
              <w:left w:val="nil"/>
              <w:bottom w:val="single" w:sz="4" w:space="0" w:color="auto"/>
              <w:right w:val="single" w:sz="4" w:space="0" w:color="auto"/>
            </w:tcBorders>
            <w:shd w:val="clear" w:color="000000" w:fill="FFFFFF"/>
            <w:vAlign w:val="center"/>
            <w:hideMark/>
          </w:tcPr>
          <w:p w14:paraId="360B8096" w14:textId="42286BCB"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Rritja e bashkëpunimit me institucionet publike, subjektet private dhe partnerët ndërkombëtarë për trajtimin e shpejtë dhe të saktë të rasteve të abuzimit seksual të fëmijëve </w:t>
            </w:r>
            <w:r w:rsidR="008F549F" w:rsidRPr="002128A6">
              <w:rPr>
                <w:rFonts w:ascii="Garamond" w:eastAsia="Times New Roman" w:hAnsi="Garamond" w:cs="Times New Roman"/>
                <w:i/>
                <w:iCs/>
                <w:kern w:val="0"/>
                <w:sz w:val="4"/>
                <w:szCs w:val="8"/>
                <w14:ligatures w14:val="none"/>
              </w:rPr>
              <w:t>online</w:t>
            </w:r>
            <w:r w:rsidRPr="002128A6">
              <w:rPr>
                <w:rFonts w:ascii="Garamond" w:eastAsia="Times New Roman" w:hAnsi="Garamond" w:cs="Times New Roman"/>
                <w:kern w:val="0"/>
                <w:sz w:val="4"/>
                <w:szCs w:val="8"/>
                <w14:ligatures w14:val="none"/>
              </w:rPr>
              <w:t>, përfshirë identifikimin dhe prioritizimin e rasteve urgjente, si dhe analizën efektive të provave në mbështetje të hetimit dhe ndjekjes penale.</w:t>
            </w:r>
          </w:p>
        </w:tc>
        <w:tc>
          <w:tcPr>
            <w:tcW w:w="0" w:type="auto"/>
            <w:tcBorders>
              <w:top w:val="nil"/>
              <w:left w:val="nil"/>
              <w:bottom w:val="single" w:sz="4" w:space="0" w:color="auto"/>
              <w:right w:val="single" w:sz="4" w:space="0" w:color="auto"/>
            </w:tcBorders>
            <w:shd w:val="clear" w:color="000000" w:fill="FFFFFF"/>
            <w:vAlign w:val="center"/>
            <w:hideMark/>
          </w:tcPr>
          <w:p w14:paraId="7250DA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22DD27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194D59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w:t>
            </w:r>
          </w:p>
        </w:tc>
        <w:tc>
          <w:tcPr>
            <w:tcW w:w="0" w:type="auto"/>
            <w:tcBorders>
              <w:top w:val="nil"/>
              <w:left w:val="nil"/>
              <w:bottom w:val="single" w:sz="4" w:space="0" w:color="auto"/>
              <w:right w:val="single" w:sz="4" w:space="0" w:color="auto"/>
            </w:tcBorders>
            <w:shd w:val="clear" w:color="000000" w:fill="FFFFFF"/>
            <w:vAlign w:val="center"/>
            <w:hideMark/>
          </w:tcPr>
          <w:p w14:paraId="4773A9F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B4C189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158F5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7CC0F8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1326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03CB27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23ABBC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E648C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25F94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67BE3D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8533E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7C9CE8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2A8AD9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BC6F9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0B6A73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0DCFBF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5F793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5DCB3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vAlign w:val="center"/>
            <w:hideMark/>
          </w:tcPr>
          <w:p w14:paraId="6EF013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B1870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noWrap/>
            <w:vAlign w:val="center"/>
            <w:hideMark/>
          </w:tcPr>
          <w:p w14:paraId="439947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6A538B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2123F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312CAA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noWrap/>
            <w:vAlign w:val="center"/>
            <w:hideMark/>
          </w:tcPr>
          <w:p w14:paraId="1988F9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6D3DC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vAlign w:val="center"/>
            <w:hideMark/>
          </w:tcPr>
          <w:p w14:paraId="78B361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4BCB8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7014F2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84608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1BA0F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175EFD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CC651C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2.4.6</w:t>
            </w:r>
          </w:p>
        </w:tc>
        <w:tc>
          <w:tcPr>
            <w:tcW w:w="0" w:type="auto"/>
            <w:tcBorders>
              <w:top w:val="nil"/>
              <w:left w:val="nil"/>
              <w:bottom w:val="single" w:sz="4" w:space="0" w:color="auto"/>
              <w:right w:val="single" w:sz="4" w:space="0" w:color="auto"/>
            </w:tcBorders>
            <w:shd w:val="clear" w:color="000000" w:fill="FFFFFF"/>
            <w:vAlign w:val="center"/>
            <w:hideMark/>
          </w:tcPr>
          <w:p w14:paraId="3F3BF4CB" w14:textId="023C3288"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Hartimi dhe zbatimi i programeve edukative dhe ndërgjegjësuese për fëmijët mbi sigurinë në internet dhe mbrojtjen nga rreziqet kibernetike, si dhe ofrimi i trajnimit të vazhdueshëm të përbashkët për punonjësit e policisë dhe aktorët vendore të vijës së parë, mbi tendencat në zhvillim të krimit kibernetik, dëmet </w:t>
            </w:r>
            <w:r w:rsidR="008F549F" w:rsidRPr="002128A6">
              <w:rPr>
                <w:rFonts w:ascii="Garamond" w:eastAsia="Times New Roman" w:hAnsi="Garamond" w:cs="Times New Roman"/>
                <w:i/>
                <w:iCs/>
                <w:kern w:val="0"/>
                <w:sz w:val="4"/>
                <w:szCs w:val="8"/>
                <w14:ligatures w14:val="none"/>
              </w:rPr>
              <w:t>online</w:t>
            </w:r>
            <w:r w:rsidRPr="002128A6">
              <w:rPr>
                <w:rFonts w:ascii="Garamond" w:eastAsia="Times New Roman" w:hAnsi="Garamond" w:cs="Times New Roman"/>
                <w:kern w:val="0"/>
                <w:sz w:val="4"/>
                <w:szCs w:val="8"/>
                <w14:ligatures w14:val="none"/>
              </w:rPr>
              <w:t xml:space="preserve"> dhe procedurat e duhura të reagimit dhe referimit.</w:t>
            </w:r>
          </w:p>
        </w:tc>
        <w:tc>
          <w:tcPr>
            <w:tcW w:w="0" w:type="auto"/>
            <w:tcBorders>
              <w:top w:val="nil"/>
              <w:left w:val="nil"/>
              <w:bottom w:val="single" w:sz="4" w:space="0" w:color="auto"/>
              <w:right w:val="single" w:sz="4" w:space="0" w:color="auto"/>
            </w:tcBorders>
            <w:shd w:val="clear" w:color="000000" w:fill="FFFFFF"/>
            <w:vAlign w:val="center"/>
            <w:hideMark/>
          </w:tcPr>
          <w:p w14:paraId="7A2ADD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5989C5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156E56ED" w14:textId="40EFA72C"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Arsimit; Autoriteti Kombëtar për Sigurinë Kibernetike; Agjencia Shtetërore për të Drejtat dhe Mbrojtjen e Fëmijës/NJMF;</w:t>
            </w:r>
          </w:p>
        </w:tc>
        <w:tc>
          <w:tcPr>
            <w:tcW w:w="0" w:type="auto"/>
            <w:tcBorders>
              <w:top w:val="nil"/>
              <w:left w:val="nil"/>
              <w:bottom w:val="single" w:sz="4" w:space="0" w:color="auto"/>
              <w:right w:val="single" w:sz="4" w:space="0" w:color="auto"/>
            </w:tcBorders>
            <w:shd w:val="clear" w:color="000000" w:fill="FFFFFF"/>
            <w:vAlign w:val="center"/>
            <w:hideMark/>
          </w:tcPr>
          <w:p w14:paraId="45097B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7D36FD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57711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63ED1F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ADDE6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4DEE67B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4E0D3F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558C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05F7A7E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08F11F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4544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6D5C367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05A16F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455B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08CF0F1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0A8305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8179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3,990,103</w:t>
            </w:r>
          </w:p>
        </w:tc>
        <w:tc>
          <w:tcPr>
            <w:tcW w:w="0" w:type="auto"/>
            <w:tcBorders>
              <w:top w:val="nil"/>
              <w:left w:val="nil"/>
              <w:bottom w:val="single" w:sz="4" w:space="0" w:color="auto"/>
              <w:right w:val="single" w:sz="4" w:space="0" w:color="auto"/>
            </w:tcBorders>
            <w:shd w:val="clear" w:color="000000" w:fill="FFFFFF"/>
            <w:vAlign w:val="center"/>
            <w:hideMark/>
          </w:tcPr>
          <w:p w14:paraId="050C3A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19,950,515</w:t>
            </w:r>
          </w:p>
        </w:tc>
        <w:tc>
          <w:tcPr>
            <w:tcW w:w="0" w:type="auto"/>
            <w:tcBorders>
              <w:top w:val="nil"/>
              <w:left w:val="nil"/>
              <w:bottom w:val="single" w:sz="4" w:space="0" w:color="auto"/>
              <w:right w:val="single" w:sz="4" w:space="0" w:color="auto"/>
            </w:tcBorders>
            <w:shd w:val="clear" w:color="000000" w:fill="FFFFFF"/>
            <w:vAlign w:val="center"/>
            <w:hideMark/>
          </w:tcPr>
          <w:p w14:paraId="411F26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31802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19,950,515</w:t>
            </w:r>
          </w:p>
        </w:tc>
        <w:tc>
          <w:tcPr>
            <w:tcW w:w="0" w:type="auto"/>
            <w:tcBorders>
              <w:top w:val="nil"/>
              <w:left w:val="nil"/>
              <w:bottom w:val="single" w:sz="4" w:space="0" w:color="auto"/>
              <w:right w:val="single" w:sz="4" w:space="0" w:color="auto"/>
            </w:tcBorders>
            <w:shd w:val="clear" w:color="000000" w:fill="FFFFFF"/>
            <w:noWrap/>
            <w:vAlign w:val="center"/>
            <w:hideMark/>
          </w:tcPr>
          <w:p w14:paraId="2B15E0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11,970,309</w:t>
            </w:r>
          </w:p>
        </w:tc>
        <w:tc>
          <w:tcPr>
            <w:tcW w:w="0" w:type="auto"/>
            <w:tcBorders>
              <w:top w:val="nil"/>
              <w:left w:val="nil"/>
              <w:bottom w:val="single" w:sz="4" w:space="0" w:color="auto"/>
              <w:right w:val="single" w:sz="4" w:space="0" w:color="auto"/>
            </w:tcBorders>
            <w:shd w:val="clear" w:color="000000" w:fill="FFFFFF"/>
            <w:noWrap/>
            <w:vAlign w:val="center"/>
            <w:hideMark/>
          </w:tcPr>
          <w:p w14:paraId="014565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E5898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11,970,309</w:t>
            </w:r>
          </w:p>
        </w:tc>
        <w:tc>
          <w:tcPr>
            <w:tcW w:w="0" w:type="auto"/>
            <w:tcBorders>
              <w:top w:val="nil"/>
              <w:left w:val="nil"/>
              <w:bottom w:val="single" w:sz="4" w:space="0" w:color="auto"/>
              <w:right w:val="single" w:sz="4" w:space="0" w:color="auto"/>
            </w:tcBorders>
            <w:shd w:val="clear" w:color="000000" w:fill="FFFFFF"/>
            <w:noWrap/>
            <w:vAlign w:val="center"/>
            <w:hideMark/>
          </w:tcPr>
          <w:p w14:paraId="07CEC8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7,980,206</w:t>
            </w:r>
          </w:p>
        </w:tc>
        <w:tc>
          <w:tcPr>
            <w:tcW w:w="0" w:type="auto"/>
            <w:tcBorders>
              <w:top w:val="nil"/>
              <w:left w:val="nil"/>
              <w:bottom w:val="single" w:sz="4" w:space="0" w:color="auto"/>
              <w:right w:val="single" w:sz="4" w:space="0" w:color="auto"/>
            </w:tcBorders>
            <w:shd w:val="clear" w:color="000000" w:fill="FFFFFF"/>
            <w:noWrap/>
            <w:vAlign w:val="center"/>
            <w:hideMark/>
          </w:tcPr>
          <w:p w14:paraId="22EBD3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C197C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7,980,206</w:t>
            </w:r>
          </w:p>
        </w:tc>
        <w:tc>
          <w:tcPr>
            <w:tcW w:w="0" w:type="auto"/>
            <w:tcBorders>
              <w:top w:val="nil"/>
              <w:left w:val="nil"/>
              <w:bottom w:val="single" w:sz="4" w:space="0" w:color="auto"/>
              <w:right w:val="single" w:sz="4" w:space="0" w:color="auto"/>
            </w:tcBorders>
            <w:shd w:val="clear" w:color="000000" w:fill="FFFFFF"/>
            <w:vAlign w:val="center"/>
            <w:hideMark/>
          </w:tcPr>
          <w:p w14:paraId="08C40D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44F05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69FD33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C768A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AB589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63107B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6EA4E9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2.4.7</w:t>
            </w:r>
          </w:p>
        </w:tc>
        <w:tc>
          <w:tcPr>
            <w:tcW w:w="0" w:type="auto"/>
            <w:tcBorders>
              <w:top w:val="nil"/>
              <w:left w:val="nil"/>
              <w:bottom w:val="single" w:sz="4" w:space="0" w:color="auto"/>
              <w:right w:val="single" w:sz="4" w:space="0" w:color="auto"/>
            </w:tcBorders>
            <w:shd w:val="clear" w:color="000000" w:fill="FFFFFF"/>
            <w:vAlign w:val="center"/>
            <w:hideMark/>
          </w:tcPr>
          <w:p w14:paraId="45D581A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Krijimi dhe aktivizimi i kapaciteteve teknike dhe teknologjike për të monitoruar Dark Web-in, me qëllim forcimin e parandalimit dhe zbulimit e hershëm të krimeve kibernetike, përfshirë përmes mjeteve të dedikuara, personelit të trajnuar dhe procedurave për mbledhjen e inteligjencës dhe ndjekjen operacionale.</w:t>
            </w:r>
          </w:p>
        </w:tc>
        <w:tc>
          <w:tcPr>
            <w:tcW w:w="0" w:type="auto"/>
            <w:tcBorders>
              <w:top w:val="nil"/>
              <w:left w:val="nil"/>
              <w:bottom w:val="single" w:sz="4" w:space="0" w:color="auto"/>
              <w:right w:val="single" w:sz="4" w:space="0" w:color="auto"/>
            </w:tcBorders>
            <w:shd w:val="clear" w:color="000000" w:fill="FFFFFF"/>
            <w:vAlign w:val="center"/>
            <w:hideMark/>
          </w:tcPr>
          <w:p w14:paraId="2ADB76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40686F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019CD9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943BFB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71F278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13B32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170524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B464C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12F9D1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14E572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168B7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696239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7847C7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4C1E4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4D79DF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5782F0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54C9B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76EC89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6B70E1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48DE1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1,503,450</w:t>
            </w:r>
          </w:p>
        </w:tc>
        <w:tc>
          <w:tcPr>
            <w:tcW w:w="0" w:type="auto"/>
            <w:tcBorders>
              <w:top w:val="nil"/>
              <w:left w:val="nil"/>
              <w:bottom w:val="single" w:sz="4" w:space="0" w:color="auto"/>
              <w:right w:val="single" w:sz="4" w:space="0" w:color="auto"/>
            </w:tcBorders>
            <w:shd w:val="clear" w:color="000000" w:fill="FFFFFF"/>
            <w:vAlign w:val="center"/>
            <w:hideMark/>
          </w:tcPr>
          <w:p w14:paraId="3206E1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7,517,250</w:t>
            </w:r>
          </w:p>
        </w:tc>
        <w:tc>
          <w:tcPr>
            <w:tcW w:w="0" w:type="auto"/>
            <w:tcBorders>
              <w:top w:val="nil"/>
              <w:left w:val="nil"/>
              <w:bottom w:val="single" w:sz="4" w:space="0" w:color="auto"/>
              <w:right w:val="single" w:sz="4" w:space="0" w:color="auto"/>
            </w:tcBorders>
            <w:shd w:val="clear" w:color="000000" w:fill="FFFFFF"/>
            <w:vAlign w:val="center"/>
            <w:hideMark/>
          </w:tcPr>
          <w:p w14:paraId="4CF4FE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DE680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7,517,250</w:t>
            </w:r>
          </w:p>
        </w:tc>
        <w:tc>
          <w:tcPr>
            <w:tcW w:w="0" w:type="auto"/>
            <w:tcBorders>
              <w:top w:val="nil"/>
              <w:left w:val="nil"/>
              <w:bottom w:val="single" w:sz="4" w:space="0" w:color="auto"/>
              <w:right w:val="single" w:sz="4" w:space="0" w:color="auto"/>
            </w:tcBorders>
            <w:shd w:val="clear" w:color="000000" w:fill="FFFFFF"/>
            <w:noWrap/>
            <w:vAlign w:val="center"/>
            <w:hideMark/>
          </w:tcPr>
          <w:p w14:paraId="3ED609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4,510,350</w:t>
            </w:r>
          </w:p>
        </w:tc>
        <w:tc>
          <w:tcPr>
            <w:tcW w:w="0" w:type="auto"/>
            <w:tcBorders>
              <w:top w:val="nil"/>
              <w:left w:val="nil"/>
              <w:bottom w:val="single" w:sz="4" w:space="0" w:color="auto"/>
              <w:right w:val="single" w:sz="4" w:space="0" w:color="auto"/>
            </w:tcBorders>
            <w:shd w:val="clear" w:color="000000" w:fill="FFFFFF"/>
            <w:noWrap/>
            <w:vAlign w:val="center"/>
            <w:hideMark/>
          </w:tcPr>
          <w:p w14:paraId="343B59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3D7D8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4,510,350</w:t>
            </w:r>
          </w:p>
        </w:tc>
        <w:tc>
          <w:tcPr>
            <w:tcW w:w="0" w:type="auto"/>
            <w:tcBorders>
              <w:top w:val="nil"/>
              <w:left w:val="nil"/>
              <w:bottom w:val="single" w:sz="4" w:space="0" w:color="auto"/>
              <w:right w:val="single" w:sz="4" w:space="0" w:color="auto"/>
            </w:tcBorders>
            <w:shd w:val="clear" w:color="000000" w:fill="FFFFFF"/>
            <w:noWrap/>
            <w:vAlign w:val="center"/>
            <w:hideMark/>
          </w:tcPr>
          <w:p w14:paraId="6A9899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3,006,900</w:t>
            </w:r>
          </w:p>
        </w:tc>
        <w:tc>
          <w:tcPr>
            <w:tcW w:w="0" w:type="auto"/>
            <w:tcBorders>
              <w:top w:val="nil"/>
              <w:left w:val="nil"/>
              <w:bottom w:val="single" w:sz="4" w:space="0" w:color="auto"/>
              <w:right w:val="single" w:sz="4" w:space="0" w:color="auto"/>
            </w:tcBorders>
            <w:shd w:val="clear" w:color="000000" w:fill="FFFFFF"/>
            <w:noWrap/>
            <w:vAlign w:val="center"/>
            <w:hideMark/>
          </w:tcPr>
          <w:p w14:paraId="7B4DA9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6660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3,006,900</w:t>
            </w:r>
          </w:p>
        </w:tc>
        <w:tc>
          <w:tcPr>
            <w:tcW w:w="0" w:type="auto"/>
            <w:tcBorders>
              <w:top w:val="nil"/>
              <w:left w:val="nil"/>
              <w:bottom w:val="single" w:sz="4" w:space="0" w:color="auto"/>
              <w:right w:val="single" w:sz="4" w:space="0" w:color="auto"/>
            </w:tcBorders>
            <w:shd w:val="clear" w:color="000000" w:fill="FFFFFF"/>
            <w:vAlign w:val="center"/>
            <w:hideMark/>
          </w:tcPr>
          <w:p w14:paraId="0B9965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6CE7C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A9A814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45E9F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D1693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35E6D1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1D7C7B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lastRenderedPageBreak/>
              <w:t>2.4.8</w:t>
            </w:r>
          </w:p>
        </w:tc>
        <w:tc>
          <w:tcPr>
            <w:tcW w:w="0" w:type="auto"/>
            <w:tcBorders>
              <w:top w:val="nil"/>
              <w:left w:val="nil"/>
              <w:bottom w:val="single" w:sz="4" w:space="0" w:color="auto"/>
              <w:right w:val="single" w:sz="4" w:space="0" w:color="auto"/>
            </w:tcBorders>
            <w:shd w:val="clear" w:color="000000" w:fill="FFFFFF"/>
            <w:vAlign w:val="center"/>
            <w:hideMark/>
          </w:tcPr>
          <w:p w14:paraId="6E14C11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rrjeteve të bashkëpunimit ndërkombëtar dhe shkëmbimit të informacionit në luftën kundër krimit kibernetik, përmes pikave të kontaktit 24/7, me qëllim sigurimin e asistencës në kohë, shkëmbim të shpejtë të informacionit dhe përgjigje të koordinuara operacionale ndaj incidenteve dhe hetimeve kibernetike ndërkufitare.</w:t>
            </w:r>
          </w:p>
        </w:tc>
        <w:tc>
          <w:tcPr>
            <w:tcW w:w="0" w:type="auto"/>
            <w:tcBorders>
              <w:top w:val="nil"/>
              <w:left w:val="nil"/>
              <w:bottom w:val="single" w:sz="4" w:space="0" w:color="auto"/>
              <w:right w:val="single" w:sz="4" w:space="0" w:color="auto"/>
            </w:tcBorders>
            <w:shd w:val="clear" w:color="000000" w:fill="FFFFFF"/>
            <w:vAlign w:val="center"/>
            <w:hideMark/>
          </w:tcPr>
          <w:p w14:paraId="2D408F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20DBB2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74F5E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2AEC6C1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4AFBB91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5F9C3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9C980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5C88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2FFF9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71126D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AF419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195DE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5D8385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9ABCB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6E9EB0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58EBC3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7BF53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1E081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0CDA4B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8DFA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3AD8C4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vAlign w:val="center"/>
            <w:hideMark/>
          </w:tcPr>
          <w:p w14:paraId="28F1AA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27E4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noWrap/>
            <w:vAlign w:val="center"/>
            <w:hideMark/>
          </w:tcPr>
          <w:p w14:paraId="476B16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7254BE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2AC2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5B656B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noWrap/>
            <w:vAlign w:val="center"/>
            <w:hideMark/>
          </w:tcPr>
          <w:p w14:paraId="5CC821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B313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vAlign w:val="center"/>
            <w:hideMark/>
          </w:tcPr>
          <w:p w14:paraId="650368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ED30F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1FF237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40056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C13EC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8376C8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4E0EF0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2.4.9</w:t>
            </w:r>
          </w:p>
        </w:tc>
        <w:tc>
          <w:tcPr>
            <w:tcW w:w="0" w:type="auto"/>
            <w:tcBorders>
              <w:top w:val="nil"/>
              <w:left w:val="nil"/>
              <w:bottom w:val="single" w:sz="4" w:space="0" w:color="auto"/>
              <w:right w:val="single" w:sz="4" w:space="0" w:color="auto"/>
            </w:tcBorders>
            <w:shd w:val="clear" w:color="000000" w:fill="FFFFFF"/>
            <w:vAlign w:val="center"/>
            <w:hideMark/>
          </w:tcPr>
          <w:p w14:paraId="2E3AE09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Standardizimi dhe optimizimi i procedurave për funksionim efektiv të pikës së kontaktit 24/7, përfshirë duke sqaruar rolet dhe përgjegjësitë, duke vendosur afatet kohore të reagimit, duke siguruar komunikim dhe dokumentim të sigurt dhe duke miratuar mekanizma të sigurimit të cilësisë për kërkesat dhe shkëmbimet e lidhura me krimin kibernetik. </w:t>
            </w:r>
          </w:p>
        </w:tc>
        <w:tc>
          <w:tcPr>
            <w:tcW w:w="0" w:type="auto"/>
            <w:tcBorders>
              <w:top w:val="nil"/>
              <w:left w:val="nil"/>
              <w:bottom w:val="single" w:sz="4" w:space="0" w:color="auto"/>
              <w:right w:val="single" w:sz="4" w:space="0" w:color="auto"/>
            </w:tcBorders>
            <w:shd w:val="clear" w:color="000000" w:fill="FFFFFF"/>
            <w:vAlign w:val="center"/>
            <w:hideMark/>
          </w:tcPr>
          <w:p w14:paraId="23C600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7E19A8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395ED2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5C1838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BDEE2D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0B189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15FE92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25076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3ECCF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6ED127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E36A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7770F7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3C9CA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F5789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C4172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05DDCA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8AAF0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0E73C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020902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A330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4,867,816</w:t>
            </w:r>
          </w:p>
        </w:tc>
        <w:tc>
          <w:tcPr>
            <w:tcW w:w="0" w:type="auto"/>
            <w:tcBorders>
              <w:top w:val="nil"/>
              <w:left w:val="nil"/>
              <w:bottom w:val="single" w:sz="4" w:space="0" w:color="auto"/>
              <w:right w:val="single" w:sz="4" w:space="0" w:color="auto"/>
            </w:tcBorders>
            <w:shd w:val="clear" w:color="000000" w:fill="FFFFFF"/>
            <w:vAlign w:val="center"/>
            <w:hideMark/>
          </w:tcPr>
          <w:p w14:paraId="457F3B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vAlign w:val="center"/>
            <w:hideMark/>
          </w:tcPr>
          <w:p w14:paraId="3D15DC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AAD29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24,339,080</w:t>
            </w:r>
          </w:p>
        </w:tc>
        <w:tc>
          <w:tcPr>
            <w:tcW w:w="0" w:type="auto"/>
            <w:tcBorders>
              <w:top w:val="nil"/>
              <w:left w:val="nil"/>
              <w:bottom w:val="single" w:sz="4" w:space="0" w:color="auto"/>
              <w:right w:val="single" w:sz="4" w:space="0" w:color="auto"/>
            </w:tcBorders>
            <w:shd w:val="clear" w:color="000000" w:fill="FFFFFF"/>
            <w:noWrap/>
            <w:vAlign w:val="center"/>
            <w:hideMark/>
          </w:tcPr>
          <w:p w14:paraId="301D19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677441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1FC6F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14,603,448</w:t>
            </w:r>
          </w:p>
        </w:tc>
        <w:tc>
          <w:tcPr>
            <w:tcW w:w="0" w:type="auto"/>
            <w:tcBorders>
              <w:top w:val="nil"/>
              <w:left w:val="nil"/>
              <w:bottom w:val="single" w:sz="4" w:space="0" w:color="auto"/>
              <w:right w:val="single" w:sz="4" w:space="0" w:color="auto"/>
            </w:tcBorders>
            <w:shd w:val="clear" w:color="000000" w:fill="FFFFFF"/>
            <w:noWrap/>
            <w:vAlign w:val="center"/>
            <w:hideMark/>
          </w:tcPr>
          <w:p w14:paraId="7C5B69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noWrap/>
            <w:vAlign w:val="center"/>
            <w:hideMark/>
          </w:tcPr>
          <w:p w14:paraId="59FA21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D5A5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9,735,632</w:t>
            </w:r>
          </w:p>
        </w:tc>
        <w:tc>
          <w:tcPr>
            <w:tcW w:w="0" w:type="auto"/>
            <w:tcBorders>
              <w:top w:val="nil"/>
              <w:left w:val="nil"/>
              <w:bottom w:val="single" w:sz="4" w:space="0" w:color="auto"/>
              <w:right w:val="single" w:sz="4" w:space="0" w:color="auto"/>
            </w:tcBorders>
            <w:shd w:val="clear" w:color="000000" w:fill="FFFFFF"/>
            <w:vAlign w:val="center"/>
            <w:hideMark/>
          </w:tcPr>
          <w:p w14:paraId="7E3F3B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D956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EE0888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6E208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86225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C321EF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C7D4FA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2.4.10</w:t>
            </w:r>
          </w:p>
        </w:tc>
        <w:tc>
          <w:tcPr>
            <w:tcW w:w="0" w:type="auto"/>
            <w:tcBorders>
              <w:top w:val="nil"/>
              <w:left w:val="nil"/>
              <w:bottom w:val="single" w:sz="4" w:space="0" w:color="auto"/>
              <w:right w:val="single" w:sz="4" w:space="0" w:color="auto"/>
            </w:tcBorders>
            <w:shd w:val="clear" w:color="000000" w:fill="FFFFFF"/>
            <w:vAlign w:val="center"/>
            <w:hideMark/>
          </w:tcPr>
          <w:p w14:paraId="5E669CE7" w14:textId="34952345"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bashkëpunimit me institucionet publike, OJF-të, ofruesit e shërbimeve të internetit, kompanitë telefonike dhe organizatat globale për të siguruar akses në kohë</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dhe informacion në kohë reale, aty ku është</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përshtatshme, si dhe për të parandaluar aktivitetet kriminale në hapësirën kibernetike, përfshirë përmes koordinimit operacional, procedurave të thjeshtuara të ruajtjes dhe dhënies së informacionit, si dhe ndërgjegjësimit dhe masave parandaluese të përbashkëta.</w:t>
            </w:r>
          </w:p>
        </w:tc>
        <w:tc>
          <w:tcPr>
            <w:tcW w:w="0" w:type="auto"/>
            <w:tcBorders>
              <w:top w:val="nil"/>
              <w:left w:val="nil"/>
              <w:bottom w:val="single" w:sz="4" w:space="0" w:color="auto"/>
              <w:right w:val="single" w:sz="4" w:space="0" w:color="auto"/>
            </w:tcBorders>
            <w:shd w:val="clear" w:color="000000" w:fill="FFFFFF"/>
            <w:vAlign w:val="center"/>
            <w:hideMark/>
          </w:tcPr>
          <w:p w14:paraId="219E29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4BB770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576A5B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63EDED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4F6B2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73CB3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0EACF2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E7B1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2281A7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62F2AC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E044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40C03F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2A4121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FB9D9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37EC7A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062C23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6525D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00D896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1000E8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E391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6,027,544</w:t>
            </w:r>
          </w:p>
        </w:tc>
        <w:tc>
          <w:tcPr>
            <w:tcW w:w="0" w:type="auto"/>
            <w:tcBorders>
              <w:top w:val="nil"/>
              <w:left w:val="nil"/>
              <w:bottom w:val="single" w:sz="4" w:space="0" w:color="auto"/>
              <w:right w:val="single" w:sz="4" w:space="0" w:color="auto"/>
            </w:tcBorders>
            <w:shd w:val="clear" w:color="000000" w:fill="FFFFFF"/>
            <w:vAlign w:val="center"/>
            <w:hideMark/>
          </w:tcPr>
          <w:p w14:paraId="6E4900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30,137,720</w:t>
            </w:r>
          </w:p>
        </w:tc>
        <w:tc>
          <w:tcPr>
            <w:tcW w:w="0" w:type="auto"/>
            <w:tcBorders>
              <w:top w:val="nil"/>
              <w:left w:val="nil"/>
              <w:bottom w:val="single" w:sz="4" w:space="0" w:color="auto"/>
              <w:right w:val="single" w:sz="4" w:space="0" w:color="auto"/>
            </w:tcBorders>
            <w:shd w:val="clear" w:color="000000" w:fill="FFFFFF"/>
            <w:vAlign w:val="center"/>
            <w:hideMark/>
          </w:tcPr>
          <w:p w14:paraId="01A753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B2D5E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30,137,720</w:t>
            </w:r>
          </w:p>
        </w:tc>
        <w:tc>
          <w:tcPr>
            <w:tcW w:w="0" w:type="auto"/>
            <w:tcBorders>
              <w:top w:val="nil"/>
              <w:left w:val="nil"/>
              <w:bottom w:val="single" w:sz="4" w:space="0" w:color="auto"/>
              <w:right w:val="single" w:sz="4" w:space="0" w:color="auto"/>
            </w:tcBorders>
            <w:shd w:val="clear" w:color="000000" w:fill="FFFFFF"/>
            <w:noWrap/>
            <w:vAlign w:val="center"/>
            <w:hideMark/>
          </w:tcPr>
          <w:p w14:paraId="669206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18,082,632</w:t>
            </w:r>
          </w:p>
        </w:tc>
        <w:tc>
          <w:tcPr>
            <w:tcW w:w="0" w:type="auto"/>
            <w:tcBorders>
              <w:top w:val="nil"/>
              <w:left w:val="nil"/>
              <w:bottom w:val="single" w:sz="4" w:space="0" w:color="auto"/>
              <w:right w:val="single" w:sz="4" w:space="0" w:color="auto"/>
            </w:tcBorders>
            <w:shd w:val="clear" w:color="000000" w:fill="FFFFFF"/>
            <w:noWrap/>
            <w:vAlign w:val="center"/>
            <w:hideMark/>
          </w:tcPr>
          <w:p w14:paraId="0B1893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8E359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18,082,632</w:t>
            </w:r>
          </w:p>
        </w:tc>
        <w:tc>
          <w:tcPr>
            <w:tcW w:w="0" w:type="auto"/>
            <w:tcBorders>
              <w:top w:val="nil"/>
              <w:left w:val="nil"/>
              <w:bottom w:val="single" w:sz="4" w:space="0" w:color="auto"/>
              <w:right w:val="single" w:sz="4" w:space="0" w:color="auto"/>
            </w:tcBorders>
            <w:shd w:val="clear" w:color="000000" w:fill="FFFFFF"/>
            <w:noWrap/>
            <w:vAlign w:val="center"/>
            <w:hideMark/>
          </w:tcPr>
          <w:p w14:paraId="54ED8C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12,055,088</w:t>
            </w:r>
          </w:p>
        </w:tc>
        <w:tc>
          <w:tcPr>
            <w:tcW w:w="0" w:type="auto"/>
            <w:tcBorders>
              <w:top w:val="nil"/>
              <w:left w:val="nil"/>
              <w:bottom w:val="single" w:sz="4" w:space="0" w:color="auto"/>
              <w:right w:val="single" w:sz="4" w:space="0" w:color="auto"/>
            </w:tcBorders>
            <w:shd w:val="clear" w:color="000000" w:fill="FFFFFF"/>
            <w:noWrap/>
            <w:vAlign w:val="center"/>
            <w:hideMark/>
          </w:tcPr>
          <w:p w14:paraId="383592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A4DA8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12,055,088</w:t>
            </w:r>
          </w:p>
        </w:tc>
        <w:tc>
          <w:tcPr>
            <w:tcW w:w="0" w:type="auto"/>
            <w:tcBorders>
              <w:top w:val="nil"/>
              <w:left w:val="nil"/>
              <w:bottom w:val="single" w:sz="4" w:space="0" w:color="auto"/>
              <w:right w:val="single" w:sz="4" w:space="0" w:color="auto"/>
            </w:tcBorders>
            <w:shd w:val="clear" w:color="000000" w:fill="FFFFFF"/>
            <w:vAlign w:val="center"/>
            <w:hideMark/>
          </w:tcPr>
          <w:p w14:paraId="103E66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4DD86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177A95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6A88A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AE2DC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9A83AA9"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74DBFB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2.4.11</w:t>
            </w:r>
          </w:p>
        </w:tc>
        <w:tc>
          <w:tcPr>
            <w:tcW w:w="0" w:type="auto"/>
            <w:tcBorders>
              <w:top w:val="nil"/>
              <w:left w:val="nil"/>
              <w:bottom w:val="single" w:sz="4" w:space="0" w:color="auto"/>
              <w:right w:val="single" w:sz="4" w:space="0" w:color="auto"/>
            </w:tcBorders>
            <w:shd w:val="clear" w:color="000000" w:fill="FFFFFF"/>
            <w:vAlign w:val="center"/>
            <w:hideMark/>
          </w:tcPr>
          <w:p w14:paraId="365E3CAD" w14:textId="14F0CD02"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Pjesëmarrja në projektet e BE-së dhe të tjera ndërkombëtare që mbështesin raportimin dhe mbrojtjen e të miturve dhe qytetarëve nga abuzimi </w:t>
            </w:r>
            <w:r w:rsidR="008F549F" w:rsidRPr="002128A6">
              <w:rPr>
                <w:rFonts w:ascii="Garamond" w:eastAsia="Times New Roman" w:hAnsi="Garamond" w:cs="Times New Roman"/>
                <w:i/>
                <w:iCs/>
                <w:kern w:val="0"/>
                <w:sz w:val="4"/>
                <w:szCs w:val="8"/>
                <w14:ligatures w14:val="none"/>
              </w:rPr>
              <w:t>online</w:t>
            </w:r>
            <w:r w:rsidRPr="002128A6">
              <w:rPr>
                <w:rFonts w:ascii="Garamond" w:eastAsia="Times New Roman" w:hAnsi="Garamond" w:cs="Times New Roman"/>
                <w:kern w:val="0"/>
                <w:sz w:val="4"/>
                <w:szCs w:val="8"/>
                <w14:ligatures w14:val="none"/>
              </w:rPr>
              <w:t xml:space="preserve">, duke shfrytëzuar nismat ekzistuese dhe duke ndjekur pjesëmarrjen në platformat e reja të raportimit si </w:t>
            </w:r>
            <w:r w:rsidR="0022746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Help4U</w:t>
            </w:r>
            <w:r w:rsidR="0022746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 përmes organizimit të takimeve, pjesëmarrjes aktive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 xml:space="preserve">në aktivitetet e projektit, dhe ndjekjes së procedurave të aplikimit. </w:t>
            </w:r>
          </w:p>
        </w:tc>
        <w:tc>
          <w:tcPr>
            <w:tcW w:w="0" w:type="auto"/>
            <w:tcBorders>
              <w:top w:val="nil"/>
              <w:left w:val="nil"/>
              <w:bottom w:val="single" w:sz="4" w:space="0" w:color="auto"/>
              <w:right w:val="single" w:sz="4" w:space="0" w:color="auto"/>
            </w:tcBorders>
            <w:shd w:val="clear" w:color="000000" w:fill="FFFFFF"/>
            <w:vAlign w:val="center"/>
            <w:hideMark/>
          </w:tcPr>
          <w:p w14:paraId="584A7B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3C7AA3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47D316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813BAF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7F971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78308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38ECAC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A95D3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10DAD6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36760B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9621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3F8263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0837D3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0B4BB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10835A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1A417F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C4C8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615B64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0A204A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E461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4,910,781</w:t>
            </w:r>
          </w:p>
        </w:tc>
        <w:tc>
          <w:tcPr>
            <w:tcW w:w="0" w:type="auto"/>
            <w:tcBorders>
              <w:top w:val="nil"/>
              <w:left w:val="nil"/>
              <w:bottom w:val="single" w:sz="4" w:space="0" w:color="auto"/>
              <w:right w:val="single" w:sz="4" w:space="0" w:color="auto"/>
            </w:tcBorders>
            <w:shd w:val="clear" w:color="000000" w:fill="FFFFFF"/>
            <w:vAlign w:val="center"/>
            <w:hideMark/>
          </w:tcPr>
          <w:p w14:paraId="3B8B3E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24,553,905</w:t>
            </w:r>
          </w:p>
        </w:tc>
        <w:tc>
          <w:tcPr>
            <w:tcW w:w="0" w:type="auto"/>
            <w:tcBorders>
              <w:top w:val="nil"/>
              <w:left w:val="nil"/>
              <w:bottom w:val="single" w:sz="4" w:space="0" w:color="auto"/>
              <w:right w:val="single" w:sz="4" w:space="0" w:color="auto"/>
            </w:tcBorders>
            <w:shd w:val="clear" w:color="000000" w:fill="FFFFFF"/>
            <w:vAlign w:val="center"/>
            <w:hideMark/>
          </w:tcPr>
          <w:p w14:paraId="67F78D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FBA8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24,553,905</w:t>
            </w:r>
          </w:p>
        </w:tc>
        <w:tc>
          <w:tcPr>
            <w:tcW w:w="0" w:type="auto"/>
            <w:tcBorders>
              <w:top w:val="nil"/>
              <w:left w:val="nil"/>
              <w:bottom w:val="single" w:sz="4" w:space="0" w:color="auto"/>
              <w:right w:val="single" w:sz="4" w:space="0" w:color="auto"/>
            </w:tcBorders>
            <w:shd w:val="clear" w:color="000000" w:fill="FFFFFF"/>
            <w:noWrap/>
            <w:vAlign w:val="center"/>
            <w:hideMark/>
          </w:tcPr>
          <w:p w14:paraId="3786FF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14,732,343</w:t>
            </w:r>
          </w:p>
        </w:tc>
        <w:tc>
          <w:tcPr>
            <w:tcW w:w="0" w:type="auto"/>
            <w:tcBorders>
              <w:top w:val="nil"/>
              <w:left w:val="nil"/>
              <w:bottom w:val="single" w:sz="4" w:space="0" w:color="auto"/>
              <w:right w:val="single" w:sz="4" w:space="0" w:color="auto"/>
            </w:tcBorders>
            <w:shd w:val="clear" w:color="000000" w:fill="FFFFFF"/>
            <w:noWrap/>
            <w:vAlign w:val="center"/>
            <w:hideMark/>
          </w:tcPr>
          <w:p w14:paraId="5107EB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ED9D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14,732,343</w:t>
            </w:r>
          </w:p>
        </w:tc>
        <w:tc>
          <w:tcPr>
            <w:tcW w:w="0" w:type="auto"/>
            <w:tcBorders>
              <w:top w:val="nil"/>
              <w:left w:val="nil"/>
              <w:bottom w:val="single" w:sz="4" w:space="0" w:color="auto"/>
              <w:right w:val="single" w:sz="4" w:space="0" w:color="auto"/>
            </w:tcBorders>
            <w:shd w:val="clear" w:color="000000" w:fill="FFFFFF"/>
            <w:noWrap/>
            <w:vAlign w:val="center"/>
            <w:hideMark/>
          </w:tcPr>
          <w:p w14:paraId="31BECC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9,821,562</w:t>
            </w:r>
          </w:p>
        </w:tc>
        <w:tc>
          <w:tcPr>
            <w:tcW w:w="0" w:type="auto"/>
            <w:tcBorders>
              <w:top w:val="nil"/>
              <w:left w:val="nil"/>
              <w:bottom w:val="single" w:sz="4" w:space="0" w:color="auto"/>
              <w:right w:val="single" w:sz="4" w:space="0" w:color="auto"/>
            </w:tcBorders>
            <w:shd w:val="clear" w:color="000000" w:fill="FFFFFF"/>
            <w:noWrap/>
            <w:vAlign w:val="center"/>
            <w:hideMark/>
          </w:tcPr>
          <w:p w14:paraId="7FB639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B6DF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9,821,562</w:t>
            </w:r>
          </w:p>
        </w:tc>
        <w:tc>
          <w:tcPr>
            <w:tcW w:w="0" w:type="auto"/>
            <w:tcBorders>
              <w:top w:val="nil"/>
              <w:left w:val="nil"/>
              <w:bottom w:val="single" w:sz="4" w:space="0" w:color="auto"/>
              <w:right w:val="single" w:sz="4" w:space="0" w:color="auto"/>
            </w:tcBorders>
            <w:shd w:val="clear" w:color="000000" w:fill="FFFFFF"/>
            <w:vAlign w:val="center"/>
            <w:hideMark/>
          </w:tcPr>
          <w:p w14:paraId="5EA01B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F3F87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43161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FB41C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BAB67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9109DC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557FB3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2.4.12</w:t>
            </w:r>
          </w:p>
        </w:tc>
        <w:tc>
          <w:tcPr>
            <w:tcW w:w="0" w:type="auto"/>
            <w:tcBorders>
              <w:top w:val="nil"/>
              <w:left w:val="nil"/>
              <w:bottom w:val="nil"/>
              <w:right w:val="nil"/>
            </w:tcBorders>
            <w:shd w:val="clear" w:color="000000" w:fill="FFFFFF"/>
            <w:vAlign w:val="center"/>
            <w:hideMark/>
          </w:tcPr>
          <w:p w14:paraId="3B4C680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Propozimi i ndryshimeve nënligjore për të siguruar mbështetje të qëndrueshme financiare për kapacitetet hetimore të krimit kibernetik, me qëllim garantimin e vazhdimësisë së strukturave të specializuara, mirëmbajtjes dhe modernizimit të mjeteve teknologjike, dhe qëndrueshmërisë afatgjatë të kapaciteteve të krimit kibernetik brenda strukturave të Policisë së Shtetit.</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D40D8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3BBC74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47DA42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B447A1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D0DBC9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30807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661696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B8EC9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7FD70E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78607E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8CEE5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245953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11F0D1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E96FA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61140F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59AF4A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4D727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3D1BA3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685192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678B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12,067,972</w:t>
            </w:r>
          </w:p>
        </w:tc>
        <w:tc>
          <w:tcPr>
            <w:tcW w:w="0" w:type="auto"/>
            <w:tcBorders>
              <w:top w:val="nil"/>
              <w:left w:val="nil"/>
              <w:bottom w:val="single" w:sz="4" w:space="0" w:color="auto"/>
              <w:right w:val="single" w:sz="4" w:space="0" w:color="auto"/>
            </w:tcBorders>
            <w:shd w:val="clear" w:color="000000" w:fill="FFFFFF"/>
            <w:vAlign w:val="center"/>
            <w:hideMark/>
          </w:tcPr>
          <w:p w14:paraId="4B5D29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60,339,860</w:t>
            </w:r>
          </w:p>
        </w:tc>
        <w:tc>
          <w:tcPr>
            <w:tcW w:w="0" w:type="auto"/>
            <w:tcBorders>
              <w:top w:val="nil"/>
              <w:left w:val="nil"/>
              <w:bottom w:val="single" w:sz="4" w:space="0" w:color="auto"/>
              <w:right w:val="single" w:sz="4" w:space="0" w:color="auto"/>
            </w:tcBorders>
            <w:shd w:val="clear" w:color="000000" w:fill="FFFFFF"/>
            <w:vAlign w:val="center"/>
            <w:hideMark/>
          </w:tcPr>
          <w:p w14:paraId="50041C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C225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60,339,860</w:t>
            </w:r>
          </w:p>
        </w:tc>
        <w:tc>
          <w:tcPr>
            <w:tcW w:w="0" w:type="auto"/>
            <w:tcBorders>
              <w:top w:val="nil"/>
              <w:left w:val="nil"/>
              <w:bottom w:val="single" w:sz="4" w:space="0" w:color="auto"/>
              <w:right w:val="single" w:sz="4" w:space="0" w:color="auto"/>
            </w:tcBorders>
            <w:shd w:val="clear" w:color="000000" w:fill="FFFFFF"/>
            <w:noWrap/>
            <w:vAlign w:val="center"/>
            <w:hideMark/>
          </w:tcPr>
          <w:p w14:paraId="5B29A0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36,203,916</w:t>
            </w:r>
          </w:p>
        </w:tc>
        <w:tc>
          <w:tcPr>
            <w:tcW w:w="0" w:type="auto"/>
            <w:tcBorders>
              <w:top w:val="nil"/>
              <w:left w:val="nil"/>
              <w:bottom w:val="single" w:sz="4" w:space="0" w:color="auto"/>
              <w:right w:val="single" w:sz="4" w:space="0" w:color="auto"/>
            </w:tcBorders>
            <w:shd w:val="clear" w:color="000000" w:fill="FFFFFF"/>
            <w:noWrap/>
            <w:vAlign w:val="center"/>
            <w:hideMark/>
          </w:tcPr>
          <w:p w14:paraId="66F0A5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91A0E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36,203,916</w:t>
            </w:r>
          </w:p>
        </w:tc>
        <w:tc>
          <w:tcPr>
            <w:tcW w:w="0" w:type="auto"/>
            <w:tcBorders>
              <w:top w:val="nil"/>
              <w:left w:val="nil"/>
              <w:bottom w:val="single" w:sz="4" w:space="0" w:color="auto"/>
              <w:right w:val="single" w:sz="4" w:space="0" w:color="auto"/>
            </w:tcBorders>
            <w:shd w:val="clear" w:color="000000" w:fill="FFFFFF"/>
            <w:noWrap/>
            <w:vAlign w:val="center"/>
            <w:hideMark/>
          </w:tcPr>
          <w:p w14:paraId="37A54E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24,135,944</w:t>
            </w:r>
          </w:p>
        </w:tc>
        <w:tc>
          <w:tcPr>
            <w:tcW w:w="0" w:type="auto"/>
            <w:tcBorders>
              <w:top w:val="nil"/>
              <w:left w:val="nil"/>
              <w:bottom w:val="single" w:sz="4" w:space="0" w:color="auto"/>
              <w:right w:val="single" w:sz="4" w:space="0" w:color="auto"/>
            </w:tcBorders>
            <w:shd w:val="clear" w:color="000000" w:fill="FFFFFF"/>
            <w:noWrap/>
            <w:vAlign w:val="center"/>
            <w:hideMark/>
          </w:tcPr>
          <w:p w14:paraId="5BBB29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63637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24,135,944</w:t>
            </w:r>
          </w:p>
        </w:tc>
        <w:tc>
          <w:tcPr>
            <w:tcW w:w="0" w:type="auto"/>
            <w:tcBorders>
              <w:top w:val="nil"/>
              <w:left w:val="nil"/>
              <w:bottom w:val="single" w:sz="4" w:space="0" w:color="auto"/>
              <w:right w:val="single" w:sz="4" w:space="0" w:color="auto"/>
            </w:tcBorders>
            <w:shd w:val="clear" w:color="000000" w:fill="FFFFFF"/>
            <w:vAlign w:val="center"/>
            <w:hideMark/>
          </w:tcPr>
          <w:p w14:paraId="58FC20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79FF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258B88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0AC73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2D323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EB7367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669E73F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single" w:sz="4" w:space="0" w:color="auto"/>
              <w:left w:val="nil"/>
              <w:bottom w:val="single" w:sz="4" w:space="0" w:color="auto"/>
              <w:right w:val="single" w:sz="4" w:space="0" w:color="auto"/>
            </w:tcBorders>
            <w:shd w:val="clear" w:color="000000" w:fill="5B9BD5"/>
            <w:vAlign w:val="center"/>
            <w:hideMark/>
          </w:tcPr>
          <w:p w14:paraId="67D38253" w14:textId="175445F3"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2.4</w:t>
            </w:r>
          </w:p>
        </w:tc>
        <w:tc>
          <w:tcPr>
            <w:tcW w:w="0" w:type="auto"/>
            <w:tcBorders>
              <w:top w:val="nil"/>
              <w:left w:val="nil"/>
              <w:bottom w:val="single" w:sz="4" w:space="0" w:color="auto"/>
              <w:right w:val="single" w:sz="4" w:space="0" w:color="auto"/>
            </w:tcBorders>
            <w:shd w:val="clear" w:color="000000" w:fill="5B9BD5"/>
            <w:vAlign w:val="center"/>
            <w:hideMark/>
          </w:tcPr>
          <w:p w14:paraId="383BA1D0"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2BB857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EFC55C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173F04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7D517E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503B3E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5A1A098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3EC3AA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08925AB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71AE7C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DFAE87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2DB4CD6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0C39071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2D2D8C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6DD3EE3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7666813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578AFB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11F8EB8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156F4AF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99AD74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68,194,490</w:t>
            </w:r>
          </w:p>
        </w:tc>
        <w:tc>
          <w:tcPr>
            <w:tcW w:w="0" w:type="auto"/>
            <w:tcBorders>
              <w:top w:val="nil"/>
              <w:left w:val="nil"/>
              <w:bottom w:val="single" w:sz="4" w:space="0" w:color="auto"/>
              <w:right w:val="single" w:sz="4" w:space="0" w:color="auto"/>
            </w:tcBorders>
            <w:shd w:val="clear" w:color="000000" w:fill="5B9BD5"/>
            <w:vAlign w:val="center"/>
            <w:hideMark/>
          </w:tcPr>
          <w:p w14:paraId="7442269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340,972,450</w:t>
            </w:r>
          </w:p>
        </w:tc>
        <w:tc>
          <w:tcPr>
            <w:tcW w:w="0" w:type="auto"/>
            <w:tcBorders>
              <w:top w:val="nil"/>
              <w:left w:val="nil"/>
              <w:bottom w:val="single" w:sz="4" w:space="0" w:color="auto"/>
              <w:right w:val="single" w:sz="4" w:space="0" w:color="auto"/>
            </w:tcBorders>
            <w:shd w:val="clear" w:color="000000" w:fill="5B9BD5"/>
            <w:vAlign w:val="center"/>
            <w:hideMark/>
          </w:tcPr>
          <w:p w14:paraId="28D07B7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11CD4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340,972,450</w:t>
            </w:r>
          </w:p>
        </w:tc>
        <w:tc>
          <w:tcPr>
            <w:tcW w:w="0" w:type="auto"/>
            <w:tcBorders>
              <w:top w:val="nil"/>
              <w:left w:val="nil"/>
              <w:bottom w:val="single" w:sz="4" w:space="0" w:color="auto"/>
              <w:right w:val="single" w:sz="4" w:space="0" w:color="auto"/>
            </w:tcBorders>
            <w:shd w:val="clear" w:color="000000" w:fill="5B9BD5"/>
            <w:vAlign w:val="center"/>
            <w:hideMark/>
          </w:tcPr>
          <w:p w14:paraId="2A2256E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204,583,470</w:t>
            </w:r>
          </w:p>
        </w:tc>
        <w:tc>
          <w:tcPr>
            <w:tcW w:w="0" w:type="auto"/>
            <w:tcBorders>
              <w:top w:val="nil"/>
              <w:left w:val="nil"/>
              <w:bottom w:val="single" w:sz="4" w:space="0" w:color="auto"/>
              <w:right w:val="single" w:sz="4" w:space="0" w:color="auto"/>
            </w:tcBorders>
            <w:shd w:val="clear" w:color="000000" w:fill="5B9BD5"/>
            <w:vAlign w:val="center"/>
            <w:hideMark/>
          </w:tcPr>
          <w:p w14:paraId="026BBF1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A8ECEE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204,583,470</w:t>
            </w:r>
          </w:p>
        </w:tc>
        <w:tc>
          <w:tcPr>
            <w:tcW w:w="0" w:type="auto"/>
            <w:tcBorders>
              <w:top w:val="nil"/>
              <w:left w:val="nil"/>
              <w:bottom w:val="single" w:sz="4" w:space="0" w:color="auto"/>
              <w:right w:val="single" w:sz="4" w:space="0" w:color="auto"/>
            </w:tcBorders>
            <w:shd w:val="clear" w:color="000000" w:fill="5B9BD5"/>
            <w:vAlign w:val="center"/>
            <w:hideMark/>
          </w:tcPr>
          <w:p w14:paraId="53A3CC2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136,388,980</w:t>
            </w:r>
          </w:p>
        </w:tc>
        <w:tc>
          <w:tcPr>
            <w:tcW w:w="0" w:type="auto"/>
            <w:tcBorders>
              <w:top w:val="nil"/>
              <w:left w:val="nil"/>
              <w:bottom w:val="single" w:sz="4" w:space="0" w:color="auto"/>
              <w:right w:val="single" w:sz="4" w:space="0" w:color="auto"/>
            </w:tcBorders>
            <w:shd w:val="clear" w:color="000000" w:fill="5B9BD5"/>
            <w:vAlign w:val="center"/>
            <w:hideMark/>
          </w:tcPr>
          <w:p w14:paraId="4DDB13E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896B5A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136,388,980</w:t>
            </w:r>
          </w:p>
        </w:tc>
        <w:tc>
          <w:tcPr>
            <w:tcW w:w="0" w:type="auto"/>
            <w:tcBorders>
              <w:top w:val="nil"/>
              <w:left w:val="nil"/>
              <w:bottom w:val="single" w:sz="4" w:space="0" w:color="auto"/>
              <w:right w:val="single" w:sz="4" w:space="0" w:color="auto"/>
            </w:tcBorders>
            <w:shd w:val="clear" w:color="000000" w:fill="5B9BD5"/>
            <w:vAlign w:val="center"/>
            <w:hideMark/>
          </w:tcPr>
          <w:p w14:paraId="78C34E0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79599F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1408BB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43DF1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76026A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7BDB4C37"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183DE61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w:t>
            </w:r>
          </w:p>
        </w:tc>
        <w:tc>
          <w:tcPr>
            <w:tcW w:w="0" w:type="auto"/>
            <w:tcBorders>
              <w:top w:val="nil"/>
              <w:left w:val="nil"/>
              <w:bottom w:val="single" w:sz="4" w:space="0" w:color="auto"/>
              <w:right w:val="single" w:sz="4" w:space="0" w:color="auto"/>
            </w:tcBorders>
            <w:shd w:val="clear" w:color="000000" w:fill="FCE4D6"/>
            <w:vAlign w:val="center"/>
            <w:hideMark/>
          </w:tcPr>
          <w:p w14:paraId="19B14F4F" w14:textId="093ED65F"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w:t>
            </w:r>
            <w:r w:rsidR="00F54824" w:rsidRPr="002128A6">
              <w:rPr>
                <w:rFonts w:ascii="Garamond" w:eastAsia="Times New Roman" w:hAnsi="Garamond" w:cs="Times New Roman"/>
                <w:b/>
                <w:bCs/>
                <w:kern w:val="0"/>
                <w:sz w:val="4"/>
                <w:szCs w:val="8"/>
                <w14:ligatures w14:val="none"/>
              </w:rPr>
              <w:t xml:space="preserve"> </w:t>
            </w:r>
            <w:r w:rsidRPr="002128A6">
              <w:rPr>
                <w:rFonts w:ascii="Garamond" w:eastAsia="Times New Roman" w:hAnsi="Garamond" w:cs="Times New Roman"/>
                <w:b/>
                <w:bCs/>
                <w:kern w:val="0"/>
                <w:sz w:val="4"/>
                <w:szCs w:val="8"/>
                <w14:ligatures w14:val="none"/>
              </w:rPr>
              <w:t>Shërbime kriminalistike të akredituara dhe të cilësisë së lartë, të cilat garantojnë integritetin, besueshmërinë dhe pranueshmërinë e provave</w:t>
            </w:r>
            <w:r w:rsidR="00F54824" w:rsidRPr="002128A6">
              <w:rPr>
                <w:rFonts w:ascii="Garamond" w:eastAsia="Times New Roman" w:hAnsi="Garamond" w:cs="Times New Roman"/>
                <w:b/>
                <w:bCs/>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23C57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FFD4B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33C3B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8C37D4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EA92C1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B0C28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C7C48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6EF33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A5FA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7806B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4B2E1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D732E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6CA5A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C04A7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98EB3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27DB8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C2BDF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A373E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463D1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479D0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03944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00BD8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8A9A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D676B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39852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59786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10A6A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7B63C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541B1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4559F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3D32A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72408F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C77DC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7D5D35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2F26193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F9B393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w:t>
            </w:r>
          </w:p>
        </w:tc>
        <w:tc>
          <w:tcPr>
            <w:tcW w:w="0" w:type="auto"/>
            <w:tcBorders>
              <w:top w:val="nil"/>
              <w:left w:val="nil"/>
              <w:bottom w:val="single" w:sz="4" w:space="0" w:color="auto"/>
              <w:right w:val="single" w:sz="4" w:space="0" w:color="auto"/>
            </w:tcBorders>
            <w:shd w:val="clear" w:color="000000" w:fill="FFFFFF"/>
            <w:vAlign w:val="center"/>
            <w:hideMark/>
          </w:tcPr>
          <w:p w14:paraId="30EFC28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Miratimi i projektvendimit “Për organizimin dhe funksionimin e Institutit të Policisë Shkencore” dhe hartimi i një plani veprimi bazuar në vendimin e miratuar, ku përcaktohen përgjegjësitë, afatet kohore, burimet dhe modalitetet e monitorimit për të siguruar zbatim efektiv të reformës.</w:t>
            </w:r>
          </w:p>
        </w:tc>
        <w:tc>
          <w:tcPr>
            <w:tcW w:w="0" w:type="auto"/>
            <w:tcBorders>
              <w:top w:val="nil"/>
              <w:left w:val="nil"/>
              <w:bottom w:val="single" w:sz="4" w:space="0" w:color="auto"/>
              <w:right w:val="single" w:sz="4" w:space="0" w:color="auto"/>
            </w:tcBorders>
            <w:shd w:val="clear" w:color="000000" w:fill="FFFFFF"/>
            <w:vAlign w:val="center"/>
            <w:hideMark/>
          </w:tcPr>
          <w:p w14:paraId="7905DE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712476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Punëve të Brendshme/Policia e Shtetit/Instituti i Policisë Shkencore; FfA; </w:t>
            </w:r>
          </w:p>
        </w:tc>
        <w:tc>
          <w:tcPr>
            <w:tcW w:w="0" w:type="auto"/>
            <w:tcBorders>
              <w:top w:val="nil"/>
              <w:left w:val="nil"/>
              <w:bottom w:val="single" w:sz="4" w:space="0" w:color="auto"/>
              <w:right w:val="single" w:sz="4" w:space="0" w:color="auto"/>
            </w:tcBorders>
            <w:shd w:val="clear" w:color="000000" w:fill="FFFFFF"/>
            <w:vAlign w:val="center"/>
            <w:hideMark/>
          </w:tcPr>
          <w:p w14:paraId="1EF568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47B6F74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13A280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F1E73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vAlign w:val="center"/>
            <w:hideMark/>
          </w:tcPr>
          <w:p w14:paraId="0E3B2E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F7CDE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vAlign w:val="center"/>
            <w:hideMark/>
          </w:tcPr>
          <w:p w14:paraId="4474A0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94D61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8915D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BEFA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8A0E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3561E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9E521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65289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6F64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76D9D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32D8B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547E0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18CA6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vAlign w:val="center"/>
            <w:hideMark/>
          </w:tcPr>
          <w:p w14:paraId="0BE739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0A20E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noWrap/>
            <w:vAlign w:val="center"/>
            <w:hideMark/>
          </w:tcPr>
          <w:p w14:paraId="2403AE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noWrap/>
            <w:vAlign w:val="center"/>
            <w:hideMark/>
          </w:tcPr>
          <w:p w14:paraId="3C3C36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0F38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noWrap/>
            <w:vAlign w:val="center"/>
            <w:hideMark/>
          </w:tcPr>
          <w:p w14:paraId="7BEDF1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4464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C0E2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6C6FD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AE76C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4A0A8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28295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6A9E7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0B4FF9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F087D4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2.5.2</w:t>
            </w:r>
          </w:p>
        </w:tc>
        <w:tc>
          <w:tcPr>
            <w:tcW w:w="0" w:type="auto"/>
            <w:tcBorders>
              <w:top w:val="nil"/>
              <w:left w:val="nil"/>
              <w:bottom w:val="single" w:sz="4" w:space="0" w:color="auto"/>
              <w:right w:val="single" w:sz="4" w:space="0" w:color="auto"/>
            </w:tcBorders>
            <w:shd w:val="clear" w:color="000000" w:fill="FFFFFF"/>
            <w:hideMark/>
          </w:tcPr>
          <w:p w14:paraId="43BA690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Miratimi një plani të detajuar për sistemimin e strukturës së Policisë Shkencore në ambientet e reja, përfshirë planifikimin e hapësirës, zonimin funksional të laboratorëve dhe zonave të provave, kërkesat e sigurisë, masat e sigurisë në punë, afatet kohore të zhvendosjes në faza dhe modalitetet e vazhdimësisë së punës, për të shmangur ndërprerjen e shërbimeve kriminalistike.</w:t>
            </w:r>
          </w:p>
        </w:tc>
        <w:tc>
          <w:tcPr>
            <w:tcW w:w="0" w:type="auto"/>
            <w:tcBorders>
              <w:top w:val="nil"/>
              <w:left w:val="nil"/>
              <w:bottom w:val="single" w:sz="4" w:space="0" w:color="auto"/>
              <w:right w:val="single" w:sz="4" w:space="0" w:color="auto"/>
            </w:tcBorders>
            <w:shd w:val="clear" w:color="000000" w:fill="FFFFFF"/>
            <w:vAlign w:val="center"/>
            <w:hideMark/>
          </w:tcPr>
          <w:p w14:paraId="615CFF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I8AU307</w:t>
            </w:r>
          </w:p>
        </w:tc>
        <w:tc>
          <w:tcPr>
            <w:tcW w:w="0" w:type="auto"/>
            <w:tcBorders>
              <w:top w:val="nil"/>
              <w:left w:val="nil"/>
              <w:bottom w:val="single" w:sz="4" w:space="0" w:color="auto"/>
              <w:right w:val="single" w:sz="4" w:space="0" w:color="auto"/>
            </w:tcBorders>
            <w:shd w:val="clear" w:color="000000" w:fill="FFFFFF"/>
            <w:vAlign w:val="center"/>
            <w:hideMark/>
          </w:tcPr>
          <w:p w14:paraId="47B9FB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44EB38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0EF3C88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96069C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2C72B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DD0FB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326,246,719</w:t>
            </w:r>
          </w:p>
        </w:tc>
        <w:tc>
          <w:tcPr>
            <w:tcW w:w="0" w:type="auto"/>
            <w:tcBorders>
              <w:top w:val="nil"/>
              <w:left w:val="nil"/>
              <w:bottom w:val="single" w:sz="4" w:space="0" w:color="auto"/>
              <w:right w:val="single" w:sz="4" w:space="0" w:color="auto"/>
            </w:tcBorders>
            <w:shd w:val="clear" w:color="000000" w:fill="FFFFFF"/>
            <w:noWrap/>
            <w:vAlign w:val="center"/>
            <w:hideMark/>
          </w:tcPr>
          <w:p w14:paraId="05500B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326,246,719</w:t>
            </w:r>
          </w:p>
        </w:tc>
        <w:tc>
          <w:tcPr>
            <w:tcW w:w="0" w:type="auto"/>
            <w:tcBorders>
              <w:top w:val="nil"/>
              <w:left w:val="nil"/>
              <w:bottom w:val="single" w:sz="4" w:space="0" w:color="auto"/>
              <w:right w:val="single" w:sz="4" w:space="0" w:color="auto"/>
            </w:tcBorders>
            <w:shd w:val="clear" w:color="000000" w:fill="FFFFFF"/>
            <w:vAlign w:val="center"/>
            <w:hideMark/>
          </w:tcPr>
          <w:p w14:paraId="6AC875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73FD2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326,246,719</w:t>
            </w:r>
          </w:p>
        </w:tc>
        <w:tc>
          <w:tcPr>
            <w:tcW w:w="0" w:type="auto"/>
            <w:tcBorders>
              <w:top w:val="nil"/>
              <w:left w:val="nil"/>
              <w:bottom w:val="single" w:sz="4" w:space="0" w:color="auto"/>
              <w:right w:val="single" w:sz="4" w:space="0" w:color="auto"/>
            </w:tcBorders>
            <w:shd w:val="clear" w:color="000000" w:fill="FFFFFF"/>
            <w:noWrap/>
            <w:vAlign w:val="center"/>
            <w:hideMark/>
          </w:tcPr>
          <w:p w14:paraId="568919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326,246,719</w:t>
            </w:r>
          </w:p>
        </w:tc>
        <w:tc>
          <w:tcPr>
            <w:tcW w:w="0" w:type="auto"/>
            <w:tcBorders>
              <w:top w:val="nil"/>
              <w:left w:val="nil"/>
              <w:bottom w:val="single" w:sz="4" w:space="0" w:color="auto"/>
              <w:right w:val="single" w:sz="4" w:space="0" w:color="auto"/>
            </w:tcBorders>
            <w:shd w:val="clear" w:color="000000" w:fill="FFFFFF"/>
            <w:vAlign w:val="center"/>
            <w:hideMark/>
          </w:tcPr>
          <w:p w14:paraId="64935E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4906B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388D7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3B124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DD673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2928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10C50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06C71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B44E9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DC942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D0CB0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652,493,438</w:t>
            </w:r>
          </w:p>
        </w:tc>
        <w:tc>
          <w:tcPr>
            <w:tcW w:w="0" w:type="auto"/>
            <w:tcBorders>
              <w:top w:val="nil"/>
              <w:left w:val="nil"/>
              <w:bottom w:val="single" w:sz="4" w:space="0" w:color="auto"/>
              <w:right w:val="single" w:sz="4" w:space="0" w:color="auto"/>
            </w:tcBorders>
            <w:shd w:val="clear" w:color="000000" w:fill="FFFFFF"/>
            <w:vAlign w:val="center"/>
            <w:hideMark/>
          </w:tcPr>
          <w:p w14:paraId="3ACD1B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652,493,438</w:t>
            </w:r>
          </w:p>
        </w:tc>
        <w:tc>
          <w:tcPr>
            <w:tcW w:w="0" w:type="auto"/>
            <w:tcBorders>
              <w:top w:val="nil"/>
              <w:left w:val="nil"/>
              <w:bottom w:val="single" w:sz="4" w:space="0" w:color="auto"/>
              <w:right w:val="single" w:sz="4" w:space="0" w:color="auto"/>
            </w:tcBorders>
            <w:shd w:val="clear" w:color="000000" w:fill="FFFFFF"/>
            <w:noWrap/>
            <w:vAlign w:val="center"/>
            <w:hideMark/>
          </w:tcPr>
          <w:p w14:paraId="69AF99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B103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652,493,438</w:t>
            </w:r>
          </w:p>
        </w:tc>
        <w:tc>
          <w:tcPr>
            <w:tcW w:w="0" w:type="auto"/>
            <w:tcBorders>
              <w:top w:val="nil"/>
              <w:left w:val="nil"/>
              <w:bottom w:val="single" w:sz="4" w:space="0" w:color="auto"/>
              <w:right w:val="single" w:sz="4" w:space="0" w:color="auto"/>
            </w:tcBorders>
            <w:shd w:val="clear" w:color="000000" w:fill="FFFFFF"/>
            <w:noWrap/>
            <w:vAlign w:val="center"/>
            <w:hideMark/>
          </w:tcPr>
          <w:p w14:paraId="71EE55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652,493,438</w:t>
            </w:r>
          </w:p>
        </w:tc>
        <w:tc>
          <w:tcPr>
            <w:tcW w:w="0" w:type="auto"/>
            <w:tcBorders>
              <w:top w:val="nil"/>
              <w:left w:val="nil"/>
              <w:bottom w:val="single" w:sz="4" w:space="0" w:color="auto"/>
              <w:right w:val="single" w:sz="4" w:space="0" w:color="auto"/>
            </w:tcBorders>
            <w:shd w:val="clear" w:color="000000" w:fill="FFFFFF"/>
            <w:noWrap/>
            <w:vAlign w:val="center"/>
            <w:hideMark/>
          </w:tcPr>
          <w:p w14:paraId="5F57F6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C9C48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28A35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B4297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CBB4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E3AB1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A272E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C32B7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95DB59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39B570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2.5.3</w:t>
            </w:r>
          </w:p>
        </w:tc>
        <w:tc>
          <w:tcPr>
            <w:tcW w:w="0" w:type="auto"/>
            <w:tcBorders>
              <w:top w:val="nil"/>
              <w:left w:val="nil"/>
              <w:bottom w:val="single" w:sz="4" w:space="0" w:color="auto"/>
              <w:right w:val="single" w:sz="4" w:space="0" w:color="auto"/>
            </w:tcBorders>
            <w:shd w:val="clear" w:color="000000" w:fill="FFFFFF"/>
            <w:vAlign w:val="center"/>
            <w:hideMark/>
          </w:tcPr>
          <w:p w14:paraId="79657AF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Zbatimi i standardeve minimale të cilësisë për hetimet në vendin e ngjarjes dhe për administrimin e provave nga vendi i ngjarjes deri në sallën e gjyqit, përfshirë procedurat standarde operacionale për sigurimin, dokumentimin, mbledhjen, paketimin, transportimin, ruajtjen, ekzaminimin dhe paraqitjen e provave, me qëllim garantimin e integritetit, gjurmueshmërisë dhe pranueshmërisë së provave.</w:t>
            </w:r>
          </w:p>
        </w:tc>
        <w:tc>
          <w:tcPr>
            <w:tcW w:w="0" w:type="auto"/>
            <w:tcBorders>
              <w:top w:val="nil"/>
              <w:left w:val="nil"/>
              <w:bottom w:val="single" w:sz="4" w:space="0" w:color="auto"/>
              <w:right w:val="single" w:sz="4" w:space="0" w:color="auto"/>
            </w:tcBorders>
            <w:shd w:val="clear" w:color="000000" w:fill="FFFFFF"/>
            <w:vAlign w:val="center"/>
            <w:hideMark/>
          </w:tcPr>
          <w:p w14:paraId="452BE3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M160510</w:t>
            </w:r>
          </w:p>
        </w:tc>
        <w:tc>
          <w:tcPr>
            <w:tcW w:w="0" w:type="auto"/>
            <w:tcBorders>
              <w:top w:val="nil"/>
              <w:left w:val="nil"/>
              <w:bottom w:val="single" w:sz="4" w:space="0" w:color="auto"/>
              <w:right w:val="single" w:sz="4" w:space="0" w:color="auto"/>
            </w:tcBorders>
            <w:shd w:val="clear" w:color="000000" w:fill="FFFFFF"/>
            <w:vAlign w:val="center"/>
            <w:hideMark/>
          </w:tcPr>
          <w:p w14:paraId="3FB6EF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68172C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5C102F7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3FA725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A02AD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D67F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55,200,000</w:t>
            </w:r>
          </w:p>
        </w:tc>
        <w:tc>
          <w:tcPr>
            <w:tcW w:w="0" w:type="auto"/>
            <w:tcBorders>
              <w:top w:val="nil"/>
              <w:left w:val="nil"/>
              <w:bottom w:val="single" w:sz="4" w:space="0" w:color="auto"/>
              <w:right w:val="single" w:sz="4" w:space="0" w:color="auto"/>
            </w:tcBorders>
            <w:shd w:val="clear" w:color="000000" w:fill="FFFFFF"/>
            <w:noWrap/>
            <w:vAlign w:val="center"/>
            <w:hideMark/>
          </w:tcPr>
          <w:p w14:paraId="56F222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55,200,000</w:t>
            </w:r>
          </w:p>
        </w:tc>
        <w:tc>
          <w:tcPr>
            <w:tcW w:w="0" w:type="auto"/>
            <w:tcBorders>
              <w:top w:val="nil"/>
              <w:left w:val="nil"/>
              <w:bottom w:val="single" w:sz="4" w:space="0" w:color="auto"/>
              <w:right w:val="single" w:sz="4" w:space="0" w:color="auto"/>
            </w:tcBorders>
            <w:shd w:val="clear" w:color="000000" w:fill="FFFFFF"/>
            <w:vAlign w:val="center"/>
            <w:hideMark/>
          </w:tcPr>
          <w:p w14:paraId="2232F2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78F1E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13,000,000</w:t>
            </w:r>
          </w:p>
        </w:tc>
        <w:tc>
          <w:tcPr>
            <w:tcW w:w="0" w:type="auto"/>
            <w:tcBorders>
              <w:top w:val="nil"/>
              <w:left w:val="nil"/>
              <w:bottom w:val="single" w:sz="4" w:space="0" w:color="auto"/>
              <w:right w:val="single" w:sz="4" w:space="0" w:color="auto"/>
            </w:tcBorders>
            <w:shd w:val="clear" w:color="000000" w:fill="FFFFFF"/>
            <w:noWrap/>
            <w:vAlign w:val="center"/>
            <w:hideMark/>
          </w:tcPr>
          <w:p w14:paraId="689A9E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13,000,000</w:t>
            </w:r>
          </w:p>
        </w:tc>
        <w:tc>
          <w:tcPr>
            <w:tcW w:w="0" w:type="auto"/>
            <w:tcBorders>
              <w:top w:val="nil"/>
              <w:left w:val="nil"/>
              <w:bottom w:val="single" w:sz="4" w:space="0" w:color="auto"/>
              <w:right w:val="single" w:sz="4" w:space="0" w:color="auto"/>
            </w:tcBorders>
            <w:shd w:val="clear" w:color="000000" w:fill="FFFFFF"/>
            <w:vAlign w:val="center"/>
            <w:hideMark/>
          </w:tcPr>
          <w:p w14:paraId="0ECB51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90FEC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62E4DF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014CF7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0BE8D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2958E8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52D34C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1C94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566F25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00EC3A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1914D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89,200,000</w:t>
            </w:r>
          </w:p>
        </w:tc>
        <w:tc>
          <w:tcPr>
            <w:tcW w:w="0" w:type="auto"/>
            <w:tcBorders>
              <w:top w:val="nil"/>
              <w:left w:val="nil"/>
              <w:bottom w:val="single" w:sz="4" w:space="0" w:color="auto"/>
              <w:right w:val="single" w:sz="4" w:space="0" w:color="auto"/>
            </w:tcBorders>
            <w:shd w:val="clear" w:color="000000" w:fill="FFFFFF"/>
            <w:vAlign w:val="center"/>
            <w:hideMark/>
          </w:tcPr>
          <w:p w14:paraId="3E67AC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89,200,000</w:t>
            </w:r>
          </w:p>
        </w:tc>
        <w:tc>
          <w:tcPr>
            <w:tcW w:w="0" w:type="auto"/>
            <w:tcBorders>
              <w:top w:val="nil"/>
              <w:left w:val="nil"/>
              <w:bottom w:val="single" w:sz="4" w:space="0" w:color="auto"/>
              <w:right w:val="single" w:sz="4" w:space="0" w:color="auto"/>
            </w:tcBorders>
            <w:shd w:val="clear" w:color="000000" w:fill="FFFFFF"/>
            <w:noWrap/>
            <w:vAlign w:val="center"/>
            <w:hideMark/>
          </w:tcPr>
          <w:p w14:paraId="2A5D3E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6262B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153EC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BA545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E5A50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9E0FA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6EC95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D3DC6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E2E1B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BFA2E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7CD48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89,200,000</w:t>
            </w:r>
          </w:p>
        </w:tc>
      </w:tr>
      <w:tr w:rsidR="00F54824" w:rsidRPr="002128A6" w14:paraId="6E54B86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809112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2.5.4</w:t>
            </w:r>
          </w:p>
        </w:tc>
        <w:tc>
          <w:tcPr>
            <w:tcW w:w="0" w:type="auto"/>
            <w:tcBorders>
              <w:top w:val="nil"/>
              <w:left w:val="nil"/>
              <w:bottom w:val="single" w:sz="4" w:space="0" w:color="auto"/>
              <w:right w:val="single" w:sz="4" w:space="0" w:color="auto"/>
            </w:tcBorders>
            <w:shd w:val="clear" w:color="000000" w:fill="FFFFFF"/>
            <w:vAlign w:val="center"/>
            <w:hideMark/>
          </w:tcPr>
          <w:p w14:paraId="6EE3E12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Krijimi dhe sigurimi i funksionimit të bazave të të dhënave për administrimit të të dhënave të ADN-së dhe daktiloskopike, në përputhje me Ligjin nr. 124/2024 “Për mbrojtjen e të dhënave personale”, përfshirë duke përcaktuar qëllimet e ligjshme të përpunimit, kontrollet e aksesit, rregullat e ruajtjes, gjurmët e auditimit dhe garancitë e sigurisë së të dhënave për të mbrojtur të dhënat personale, ndërsa mundësohet krahasimi efektiv kriminalistik.</w:t>
            </w:r>
          </w:p>
        </w:tc>
        <w:tc>
          <w:tcPr>
            <w:tcW w:w="0" w:type="auto"/>
            <w:tcBorders>
              <w:top w:val="nil"/>
              <w:left w:val="nil"/>
              <w:bottom w:val="single" w:sz="4" w:space="0" w:color="auto"/>
              <w:right w:val="single" w:sz="4" w:space="0" w:color="auto"/>
            </w:tcBorders>
            <w:shd w:val="clear" w:color="000000" w:fill="FFFFFF"/>
            <w:vAlign w:val="center"/>
            <w:hideMark/>
          </w:tcPr>
          <w:p w14:paraId="37427DA6" w14:textId="03E9D213"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Pa Kod n</w:t>
            </w:r>
            <w:r w:rsidR="00B77BA6" w:rsidRPr="002128A6">
              <w:rPr>
                <w:rFonts w:ascii="Garamond" w:eastAsia="Times New Roman" w:hAnsi="Garamond" w:cs="Times New Roman"/>
                <w:kern w:val="0"/>
                <w:sz w:val="4"/>
                <w:szCs w:val="8"/>
                <w14:ligatures w14:val="none"/>
              </w:rPr>
              <w:t>ë</w:t>
            </w:r>
            <w:r w:rsidRPr="002128A6">
              <w:rPr>
                <w:rFonts w:ascii="Garamond" w:eastAsia="Times New Roman" w:hAnsi="Garamond" w:cs="Times New Roman"/>
                <w:kern w:val="0"/>
                <w:sz w:val="4"/>
                <w:szCs w:val="8"/>
                <w14:ligatures w14:val="none"/>
              </w:rPr>
              <w:t xml:space="preserve"> PBA</w:t>
            </w:r>
          </w:p>
        </w:tc>
        <w:tc>
          <w:tcPr>
            <w:tcW w:w="0" w:type="auto"/>
            <w:tcBorders>
              <w:top w:val="nil"/>
              <w:left w:val="nil"/>
              <w:bottom w:val="single" w:sz="4" w:space="0" w:color="auto"/>
              <w:right w:val="single" w:sz="4" w:space="0" w:color="auto"/>
            </w:tcBorders>
            <w:shd w:val="clear" w:color="000000" w:fill="FFFFFF"/>
            <w:vAlign w:val="center"/>
            <w:hideMark/>
          </w:tcPr>
          <w:p w14:paraId="0CDB1E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4D281C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16D5FCE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A54C65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14A0B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09FF0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D07C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3573F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26A3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000000" w:fill="FFFFFF"/>
            <w:noWrap/>
            <w:vAlign w:val="center"/>
            <w:hideMark/>
          </w:tcPr>
          <w:p w14:paraId="366057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000000" w:fill="FFFFFF"/>
            <w:vAlign w:val="center"/>
            <w:hideMark/>
          </w:tcPr>
          <w:p w14:paraId="290293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E602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000000" w:fill="FFFFFF"/>
            <w:noWrap/>
            <w:vAlign w:val="center"/>
            <w:hideMark/>
          </w:tcPr>
          <w:p w14:paraId="2CF6A9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000000" w:fill="FFFFFF"/>
            <w:vAlign w:val="center"/>
            <w:hideMark/>
          </w:tcPr>
          <w:p w14:paraId="0DBFE8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641D1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000000" w:fill="FFFFFF"/>
            <w:noWrap/>
            <w:vAlign w:val="center"/>
            <w:hideMark/>
          </w:tcPr>
          <w:p w14:paraId="7608A7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000000" w:fill="FFFFFF"/>
            <w:vAlign w:val="center"/>
            <w:hideMark/>
          </w:tcPr>
          <w:p w14:paraId="45189D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C57C5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000000" w:fill="FFFFFF"/>
            <w:noWrap/>
            <w:vAlign w:val="center"/>
            <w:hideMark/>
          </w:tcPr>
          <w:p w14:paraId="2E4D1F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000000" w:fill="FFFFFF"/>
            <w:vAlign w:val="center"/>
            <w:hideMark/>
          </w:tcPr>
          <w:p w14:paraId="5FC1F2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E790C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2,700,000,000</w:t>
            </w:r>
          </w:p>
        </w:tc>
        <w:tc>
          <w:tcPr>
            <w:tcW w:w="0" w:type="auto"/>
            <w:tcBorders>
              <w:top w:val="nil"/>
              <w:left w:val="nil"/>
              <w:bottom w:val="single" w:sz="4" w:space="0" w:color="auto"/>
              <w:right w:val="single" w:sz="4" w:space="0" w:color="auto"/>
            </w:tcBorders>
            <w:shd w:val="clear" w:color="000000" w:fill="FFFFFF"/>
            <w:vAlign w:val="center"/>
            <w:hideMark/>
          </w:tcPr>
          <w:p w14:paraId="74E346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2,700,000,000</w:t>
            </w:r>
          </w:p>
        </w:tc>
        <w:tc>
          <w:tcPr>
            <w:tcW w:w="0" w:type="auto"/>
            <w:tcBorders>
              <w:top w:val="nil"/>
              <w:left w:val="nil"/>
              <w:bottom w:val="single" w:sz="4" w:space="0" w:color="auto"/>
              <w:right w:val="single" w:sz="4" w:space="0" w:color="auto"/>
            </w:tcBorders>
            <w:shd w:val="clear" w:color="000000" w:fill="FFFFFF"/>
            <w:noWrap/>
            <w:vAlign w:val="center"/>
            <w:hideMark/>
          </w:tcPr>
          <w:p w14:paraId="4E22EE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2160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47482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4CCEE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4F37B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2,700,000,000</w:t>
            </w:r>
          </w:p>
        </w:tc>
        <w:tc>
          <w:tcPr>
            <w:tcW w:w="0" w:type="auto"/>
            <w:tcBorders>
              <w:top w:val="nil"/>
              <w:left w:val="nil"/>
              <w:bottom w:val="single" w:sz="4" w:space="0" w:color="auto"/>
              <w:right w:val="single" w:sz="4" w:space="0" w:color="auto"/>
            </w:tcBorders>
            <w:shd w:val="clear" w:color="000000" w:fill="FFFFFF"/>
            <w:noWrap/>
            <w:vAlign w:val="center"/>
            <w:hideMark/>
          </w:tcPr>
          <w:p w14:paraId="7BD5F6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2,700,000,000</w:t>
            </w:r>
          </w:p>
        </w:tc>
        <w:tc>
          <w:tcPr>
            <w:tcW w:w="0" w:type="auto"/>
            <w:tcBorders>
              <w:top w:val="nil"/>
              <w:left w:val="nil"/>
              <w:bottom w:val="single" w:sz="4" w:space="0" w:color="auto"/>
              <w:right w:val="single" w:sz="4" w:space="0" w:color="auto"/>
            </w:tcBorders>
            <w:shd w:val="clear" w:color="000000" w:fill="FFFFFF"/>
            <w:vAlign w:val="center"/>
            <w:hideMark/>
          </w:tcPr>
          <w:p w14:paraId="5A4D4A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1DF1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1CFE1E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F198F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2A1A5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C34660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B338F3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2.5.5</w:t>
            </w:r>
          </w:p>
        </w:tc>
        <w:tc>
          <w:tcPr>
            <w:tcW w:w="0" w:type="auto"/>
            <w:tcBorders>
              <w:top w:val="nil"/>
              <w:left w:val="nil"/>
              <w:bottom w:val="single" w:sz="4" w:space="0" w:color="auto"/>
              <w:right w:val="single" w:sz="4" w:space="0" w:color="auto"/>
            </w:tcBorders>
            <w:shd w:val="clear" w:color="000000" w:fill="FFFFFF"/>
            <w:vAlign w:val="center"/>
            <w:hideMark/>
          </w:tcPr>
          <w:p w14:paraId="540A78B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Rishikimi dhe përditësimi i programit fillestar dhe të vazhdueshëm të trajnimit për oficerët e Policisë Shkencore dhe personelin civil të Institutit të Policisë Shkencore, përfshirë vlerësimet e nevojave, përditësimin e kurrikulës, kërkesat e certifikimit/kompetencës dhe modulet praktike të harmonizuara me standardet ISO dhe metodat e reja kriminalistike.</w:t>
            </w:r>
          </w:p>
        </w:tc>
        <w:tc>
          <w:tcPr>
            <w:tcW w:w="0" w:type="auto"/>
            <w:tcBorders>
              <w:top w:val="nil"/>
              <w:left w:val="nil"/>
              <w:bottom w:val="single" w:sz="4" w:space="0" w:color="auto"/>
              <w:right w:val="single" w:sz="4" w:space="0" w:color="auto"/>
            </w:tcBorders>
            <w:shd w:val="clear" w:color="000000" w:fill="FFFFFF"/>
            <w:vAlign w:val="center"/>
            <w:hideMark/>
          </w:tcPr>
          <w:p w14:paraId="30C6CE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single" w:sz="4" w:space="0" w:color="auto"/>
            </w:tcBorders>
            <w:shd w:val="clear" w:color="000000" w:fill="FFFFFF"/>
            <w:vAlign w:val="center"/>
            <w:hideMark/>
          </w:tcPr>
          <w:p w14:paraId="55E2E3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Shkencore/Akademia e Sigurisë</w:t>
            </w:r>
          </w:p>
        </w:tc>
        <w:tc>
          <w:tcPr>
            <w:tcW w:w="0" w:type="auto"/>
            <w:tcBorders>
              <w:top w:val="nil"/>
              <w:left w:val="nil"/>
              <w:bottom w:val="single" w:sz="4" w:space="0" w:color="auto"/>
              <w:right w:val="single" w:sz="4" w:space="0" w:color="auto"/>
            </w:tcBorders>
            <w:shd w:val="clear" w:color="000000" w:fill="FFFFFF"/>
            <w:vAlign w:val="center"/>
            <w:hideMark/>
          </w:tcPr>
          <w:p w14:paraId="7C391B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IML;FFA</w:t>
            </w:r>
          </w:p>
        </w:tc>
        <w:tc>
          <w:tcPr>
            <w:tcW w:w="0" w:type="auto"/>
            <w:tcBorders>
              <w:top w:val="nil"/>
              <w:left w:val="nil"/>
              <w:bottom w:val="single" w:sz="4" w:space="0" w:color="auto"/>
              <w:right w:val="single" w:sz="4" w:space="0" w:color="auto"/>
            </w:tcBorders>
            <w:shd w:val="clear" w:color="000000" w:fill="FFFFFF"/>
            <w:vAlign w:val="center"/>
            <w:hideMark/>
          </w:tcPr>
          <w:p w14:paraId="35D3CC7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957995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0A199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1,521,694</w:t>
            </w:r>
          </w:p>
        </w:tc>
        <w:tc>
          <w:tcPr>
            <w:tcW w:w="0" w:type="auto"/>
            <w:tcBorders>
              <w:top w:val="nil"/>
              <w:left w:val="nil"/>
              <w:bottom w:val="single" w:sz="4" w:space="0" w:color="auto"/>
              <w:right w:val="single" w:sz="4" w:space="0" w:color="auto"/>
            </w:tcBorders>
            <w:shd w:val="clear" w:color="000000" w:fill="FFFFFF"/>
            <w:vAlign w:val="center"/>
            <w:hideMark/>
          </w:tcPr>
          <w:p w14:paraId="627AA0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5703C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1,521,694</w:t>
            </w:r>
          </w:p>
        </w:tc>
        <w:tc>
          <w:tcPr>
            <w:tcW w:w="0" w:type="auto"/>
            <w:tcBorders>
              <w:top w:val="nil"/>
              <w:left w:val="nil"/>
              <w:bottom w:val="single" w:sz="4" w:space="0" w:color="auto"/>
              <w:right w:val="single" w:sz="4" w:space="0" w:color="auto"/>
            </w:tcBorders>
            <w:shd w:val="clear" w:color="000000" w:fill="FFFFFF"/>
            <w:vAlign w:val="center"/>
            <w:hideMark/>
          </w:tcPr>
          <w:p w14:paraId="0DC6B9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BC2A2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EC16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025DE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E6A0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5BAD0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E8CF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05F78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966B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95A6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11AE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35D5E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01216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1,521,694</w:t>
            </w:r>
          </w:p>
        </w:tc>
        <w:tc>
          <w:tcPr>
            <w:tcW w:w="0" w:type="auto"/>
            <w:tcBorders>
              <w:top w:val="nil"/>
              <w:left w:val="nil"/>
              <w:bottom w:val="single" w:sz="4" w:space="0" w:color="auto"/>
              <w:right w:val="single" w:sz="4" w:space="0" w:color="auto"/>
            </w:tcBorders>
            <w:shd w:val="clear" w:color="000000" w:fill="FFFFFF"/>
            <w:vAlign w:val="center"/>
            <w:hideMark/>
          </w:tcPr>
          <w:p w14:paraId="30F54F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DECC5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1,521,694</w:t>
            </w:r>
          </w:p>
        </w:tc>
        <w:tc>
          <w:tcPr>
            <w:tcW w:w="0" w:type="auto"/>
            <w:tcBorders>
              <w:top w:val="nil"/>
              <w:left w:val="nil"/>
              <w:bottom w:val="single" w:sz="4" w:space="0" w:color="auto"/>
              <w:right w:val="single" w:sz="4" w:space="0" w:color="auto"/>
            </w:tcBorders>
            <w:shd w:val="clear" w:color="000000" w:fill="FFFFFF"/>
            <w:noWrap/>
            <w:vAlign w:val="center"/>
            <w:hideMark/>
          </w:tcPr>
          <w:p w14:paraId="0F5BD5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1,521,694</w:t>
            </w:r>
          </w:p>
        </w:tc>
        <w:tc>
          <w:tcPr>
            <w:tcW w:w="0" w:type="auto"/>
            <w:tcBorders>
              <w:top w:val="nil"/>
              <w:left w:val="nil"/>
              <w:bottom w:val="single" w:sz="4" w:space="0" w:color="auto"/>
              <w:right w:val="single" w:sz="4" w:space="0" w:color="auto"/>
            </w:tcBorders>
            <w:shd w:val="clear" w:color="000000" w:fill="FFFFFF"/>
            <w:noWrap/>
            <w:vAlign w:val="center"/>
            <w:hideMark/>
          </w:tcPr>
          <w:p w14:paraId="5116A3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C9462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1,521,694</w:t>
            </w:r>
          </w:p>
        </w:tc>
        <w:tc>
          <w:tcPr>
            <w:tcW w:w="0" w:type="auto"/>
            <w:tcBorders>
              <w:top w:val="nil"/>
              <w:left w:val="nil"/>
              <w:bottom w:val="single" w:sz="4" w:space="0" w:color="auto"/>
              <w:right w:val="single" w:sz="4" w:space="0" w:color="auto"/>
            </w:tcBorders>
            <w:shd w:val="clear" w:color="000000" w:fill="FFFFFF"/>
            <w:noWrap/>
            <w:vAlign w:val="center"/>
            <w:hideMark/>
          </w:tcPr>
          <w:p w14:paraId="13A2F8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E18DD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AF26B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10823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03A5B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9D1410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BB895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35558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901D82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4021D1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2.5.6</w:t>
            </w:r>
          </w:p>
        </w:tc>
        <w:tc>
          <w:tcPr>
            <w:tcW w:w="0" w:type="auto"/>
            <w:tcBorders>
              <w:top w:val="nil"/>
              <w:left w:val="nil"/>
              <w:bottom w:val="single" w:sz="4" w:space="0" w:color="auto"/>
              <w:right w:val="single" w:sz="4" w:space="0" w:color="auto"/>
            </w:tcBorders>
            <w:shd w:val="clear" w:color="000000" w:fill="FFFFFF"/>
            <w:vAlign w:val="center"/>
            <w:hideMark/>
          </w:tcPr>
          <w:p w14:paraId="302396C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Mundësimi i shkëmbimit me partnerët të të dhënave të automatizuara në fushën e të dhënave të ADN-së dhe daktiloskopike, në bazë të dispozitave të Marrëveshjes PCC Prum, duke siguruar ndërveprueshmëri teknike, kanale të sigurta komunikimi, procedura të standardizuara të kërkimit dhe ndjekjes, si dhe pasjtueshmërinë me kërkesat e mbrojtjes së të dhënave.</w:t>
            </w:r>
          </w:p>
        </w:tc>
        <w:tc>
          <w:tcPr>
            <w:tcW w:w="0" w:type="auto"/>
            <w:tcBorders>
              <w:top w:val="nil"/>
              <w:left w:val="nil"/>
              <w:bottom w:val="single" w:sz="4" w:space="0" w:color="auto"/>
              <w:right w:val="single" w:sz="4" w:space="0" w:color="auto"/>
            </w:tcBorders>
            <w:shd w:val="clear" w:color="000000" w:fill="FFFFFF"/>
            <w:vAlign w:val="center"/>
            <w:hideMark/>
          </w:tcPr>
          <w:p w14:paraId="605D62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91604AS</w:t>
            </w:r>
          </w:p>
        </w:tc>
        <w:tc>
          <w:tcPr>
            <w:tcW w:w="0" w:type="auto"/>
            <w:tcBorders>
              <w:top w:val="nil"/>
              <w:left w:val="nil"/>
              <w:bottom w:val="single" w:sz="4" w:space="0" w:color="auto"/>
              <w:right w:val="single" w:sz="4" w:space="0" w:color="auto"/>
            </w:tcBorders>
            <w:shd w:val="clear" w:color="000000" w:fill="FFFFFF"/>
            <w:vAlign w:val="center"/>
            <w:hideMark/>
          </w:tcPr>
          <w:p w14:paraId="799EB0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57EA01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47495C0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45B628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0E009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4DCF89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DE68E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00F40A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2D459A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23A05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66EE02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53D321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B4EE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693D7A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768F24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C6BDE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014248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66E37B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F304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12,010,247</w:t>
            </w:r>
          </w:p>
        </w:tc>
        <w:tc>
          <w:tcPr>
            <w:tcW w:w="0" w:type="auto"/>
            <w:tcBorders>
              <w:top w:val="nil"/>
              <w:left w:val="nil"/>
              <w:bottom w:val="single" w:sz="4" w:space="0" w:color="auto"/>
              <w:right w:val="single" w:sz="4" w:space="0" w:color="auto"/>
            </w:tcBorders>
            <w:shd w:val="clear" w:color="000000" w:fill="FFFFFF"/>
            <w:vAlign w:val="center"/>
            <w:hideMark/>
          </w:tcPr>
          <w:p w14:paraId="68F6C8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60,051,235</w:t>
            </w:r>
          </w:p>
        </w:tc>
        <w:tc>
          <w:tcPr>
            <w:tcW w:w="0" w:type="auto"/>
            <w:tcBorders>
              <w:top w:val="nil"/>
              <w:left w:val="nil"/>
              <w:bottom w:val="single" w:sz="4" w:space="0" w:color="auto"/>
              <w:right w:val="single" w:sz="4" w:space="0" w:color="auto"/>
            </w:tcBorders>
            <w:shd w:val="clear" w:color="000000" w:fill="FFFFFF"/>
            <w:vAlign w:val="center"/>
            <w:hideMark/>
          </w:tcPr>
          <w:p w14:paraId="5E6CC6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E1427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60,051,235</w:t>
            </w:r>
          </w:p>
        </w:tc>
        <w:tc>
          <w:tcPr>
            <w:tcW w:w="0" w:type="auto"/>
            <w:tcBorders>
              <w:top w:val="nil"/>
              <w:left w:val="nil"/>
              <w:bottom w:val="single" w:sz="4" w:space="0" w:color="auto"/>
              <w:right w:val="single" w:sz="4" w:space="0" w:color="auto"/>
            </w:tcBorders>
            <w:shd w:val="clear" w:color="000000" w:fill="FFFFFF"/>
            <w:noWrap/>
            <w:vAlign w:val="center"/>
            <w:hideMark/>
          </w:tcPr>
          <w:p w14:paraId="362A0E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36,030,741</w:t>
            </w:r>
          </w:p>
        </w:tc>
        <w:tc>
          <w:tcPr>
            <w:tcW w:w="0" w:type="auto"/>
            <w:tcBorders>
              <w:top w:val="nil"/>
              <w:left w:val="nil"/>
              <w:bottom w:val="single" w:sz="4" w:space="0" w:color="auto"/>
              <w:right w:val="single" w:sz="4" w:space="0" w:color="auto"/>
            </w:tcBorders>
            <w:shd w:val="clear" w:color="000000" w:fill="FFFFFF"/>
            <w:noWrap/>
            <w:vAlign w:val="center"/>
            <w:hideMark/>
          </w:tcPr>
          <w:p w14:paraId="068DB2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50250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36,030,741</w:t>
            </w:r>
          </w:p>
        </w:tc>
        <w:tc>
          <w:tcPr>
            <w:tcW w:w="0" w:type="auto"/>
            <w:tcBorders>
              <w:top w:val="nil"/>
              <w:left w:val="nil"/>
              <w:bottom w:val="single" w:sz="4" w:space="0" w:color="auto"/>
              <w:right w:val="single" w:sz="4" w:space="0" w:color="auto"/>
            </w:tcBorders>
            <w:shd w:val="clear" w:color="000000" w:fill="FFFFFF"/>
            <w:noWrap/>
            <w:vAlign w:val="center"/>
            <w:hideMark/>
          </w:tcPr>
          <w:p w14:paraId="44D01C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24,020,494</w:t>
            </w:r>
          </w:p>
        </w:tc>
        <w:tc>
          <w:tcPr>
            <w:tcW w:w="0" w:type="auto"/>
            <w:tcBorders>
              <w:top w:val="nil"/>
              <w:left w:val="nil"/>
              <w:bottom w:val="single" w:sz="4" w:space="0" w:color="auto"/>
              <w:right w:val="single" w:sz="4" w:space="0" w:color="auto"/>
            </w:tcBorders>
            <w:shd w:val="clear" w:color="000000" w:fill="FFFFFF"/>
            <w:noWrap/>
            <w:vAlign w:val="center"/>
            <w:hideMark/>
          </w:tcPr>
          <w:p w14:paraId="7ED001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E5A7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24,020,494</w:t>
            </w:r>
          </w:p>
        </w:tc>
        <w:tc>
          <w:tcPr>
            <w:tcW w:w="0" w:type="auto"/>
            <w:tcBorders>
              <w:top w:val="nil"/>
              <w:left w:val="nil"/>
              <w:bottom w:val="single" w:sz="4" w:space="0" w:color="auto"/>
              <w:right w:val="single" w:sz="4" w:space="0" w:color="auto"/>
            </w:tcBorders>
            <w:shd w:val="clear" w:color="000000" w:fill="FFFFFF"/>
            <w:vAlign w:val="center"/>
            <w:hideMark/>
          </w:tcPr>
          <w:p w14:paraId="616056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7D0FA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72C7D4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0D012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96B00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FBF51D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4F931FC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2.5.7</w:t>
            </w:r>
          </w:p>
        </w:tc>
        <w:tc>
          <w:tcPr>
            <w:tcW w:w="0" w:type="auto"/>
            <w:tcBorders>
              <w:top w:val="nil"/>
              <w:left w:val="nil"/>
              <w:bottom w:val="single" w:sz="4" w:space="0" w:color="auto"/>
              <w:right w:val="single" w:sz="4" w:space="0" w:color="auto"/>
            </w:tcBorders>
            <w:shd w:val="clear" w:color="000000" w:fill="FFFFFF"/>
            <w:vAlign w:val="center"/>
            <w:hideMark/>
          </w:tcPr>
          <w:p w14:paraId="5A37294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Arritja e akreditimit të shërbimeve të ofruara nga Instituti i Policisë Shkencore sipas standardeve ISO, i zbatuar në faza, duke prioritizuar disiplinat shkencore me ndikim të lartë, duke kryer auditimet e brendshme, duke adresuar mospërputhjet (identifikimi, dokumentimi, vlerësimi dhe korrigjimi i devijimeve nga standardet e cilësisë së vendosur) dhe duke siguruar përmirësim të vazhdueshëm të cilësisë.</w:t>
            </w:r>
          </w:p>
        </w:tc>
        <w:tc>
          <w:tcPr>
            <w:tcW w:w="0" w:type="auto"/>
            <w:tcBorders>
              <w:top w:val="nil"/>
              <w:left w:val="nil"/>
              <w:bottom w:val="single" w:sz="4" w:space="0" w:color="auto"/>
              <w:right w:val="single" w:sz="4" w:space="0" w:color="auto"/>
            </w:tcBorders>
            <w:shd w:val="clear" w:color="000000" w:fill="FFFFFF"/>
            <w:vAlign w:val="center"/>
            <w:hideMark/>
          </w:tcPr>
          <w:p w14:paraId="113758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M160510</w:t>
            </w:r>
          </w:p>
        </w:tc>
        <w:tc>
          <w:tcPr>
            <w:tcW w:w="0" w:type="auto"/>
            <w:tcBorders>
              <w:top w:val="nil"/>
              <w:left w:val="nil"/>
              <w:bottom w:val="single" w:sz="4" w:space="0" w:color="auto"/>
              <w:right w:val="single" w:sz="4" w:space="0" w:color="auto"/>
            </w:tcBorders>
            <w:shd w:val="clear" w:color="000000" w:fill="FFFFFF"/>
            <w:vAlign w:val="center"/>
            <w:hideMark/>
          </w:tcPr>
          <w:p w14:paraId="135163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346B94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FFA</w:t>
            </w:r>
          </w:p>
        </w:tc>
        <w:tc>
          <w:tcPr>
            <w:tcW w:w="0" w:type="auto"/>
            <w:tcBorders>
              <w:top w:val="nil"/>
              <w:left w:val="nil"/>
              <w:bottom w:val="single" w:sz="4" w:space="0" w:color="auto"/>
              <w:right w:val="single" w:sz="4" w:space="0" w:color="auto"/>
            </w:tcBorders>
            <w:shd w:val="clear" w:color="000000" w:fill="FFFFFF"/>
            <w:vAlign w:val="center"/>
            <w:hideMark/>
          </w:tcPr>
          <w:p w14:paraId="1E310DC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AEB1EE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90C7A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C175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55,334,000</w:t>
            </w:r>
          </w:p>
        </w:tc>
        <w:tc>
          <w:tcPr>
            <w:tcW w:w="0" w:type="auto"/>
            <w:tcBorders>
              <w:top w:val="nil"/>
              <w:left w:val="nil"/>
              <w:bottom w:val="single" w:sz="4" w:space="0" w:color="auto"/>
              <w:right w:val="single" w:sz="4" w:space="0" w:color="auto"/>
            </w:tcBorders>
            <w:shd w:val="clear" w:color="000000" w:fill="FFFFFF"/>
            <w:noWrap/>
            <w:vAlign w:val="center"/>
            <w:hideMark/>
          </w:tcPr>
          <w:p w14:paraId="1EC66B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55,334,000</w:t>
            </w:r>
          </w:p>
        </w:tc>
        <w:tc>
          <w:tcPr>
            <w:tcW w:w="0" w:type="auto"/>
            <w:tcBorders>
              <w:top w:val="nil"/>
              <w:left w:val="nil"/>
              <w:bottom w:val="single" w:sz="4" w:space="0" w:color="auto"/>
              <w:right w:val="single" w:sz="4" w:space="0" w:color="auto"/>
            </w:tcBorders>
            <w:shd w:val="clear" w:color="000000" w:fill="FFFFFF"/>
            <w:vAlign w:val="center"/>
            <w:hideMark/>
          </w:tcPr>
          <w:p w14:paraId="3D2719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FFE72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14,700,000</w:t>
            </w:r>
          </w:p>
        </w:tc>
        <w:tc>
          <w:tcPr>
            <w:tcW w:w="0" w:type="auto"/>
            <w:tcBorders>
              <w:top w:val="nil"/>
              <w:left w:val="nil"/>
              <w:bottom w:val="single" w:sz="4" w:space="0" w:color="auto"/>
              <w:right w:val="single" w:sz="4" w:space="0" w:color="auto"/>
            </w:tcBorders>
            <w:shd w:val="clear" w:color="000000" w:fill="FFFFFF"/>
            <w:noWrap/>
            <w:vAlign w:val="center"/>
            <w:hideMark/>
          </w:tcPr>
          <w:p w14:paraId="7F7D47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14,700,000</w:t>
            </w:r>
          </w:p>
        </w:tc>
        <w:tc>
          <w:tcPr>
            <w:tcW w:w="0" w:type="auto"/>
            <w:tcBorders>
              <w:top w:val="nil"/>
              <w:left w:val="nil"/>
              <w:bottom w:val="single" w:sz="4" w:space="0" w:color="auto"/>
              <w:right w:val="single" w:sz="4" w:space="0" w:color="auto"/>
            </w:tcBorders>
            <w:shd w:val="clear" w:color="000000" w:fill="FFFFFF"/>
            <w:vAlign w:val="center"/>
            <w:hideMark/>
          </w:tcPr>
          <w:p w14:paraId="042B7B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33053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4,120,000</w:t>
            </w:r>
          </w:p>
        </w:tc>
        <w:tc>
          <w:tcPr>
            <w:tcW w:w="0" w:type="auto"/>
            <w:tcBorders>
              <w:top w:val="nil"/>
              <w:left w:val="nil"/>
              <w:bottom w:val="single" w:sz="4" w:space="0" w:color="auto"/>
              <w:right w:val="single" w:sz="4" w:space="0" w:color="auto"/>
            </w:tcBorders>
            <w:shd w:val="clear" w:color="000000" w:fill="FFFFFF"/>
            <w:noWrap/>
            <w:vAlign w:val="center"/>
            <w:hideMark/>
          </w:tcPr>
          <w:p w14:paraId="4007D4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4,120,000</w:t>
            </w:r>
          </w:p>
        </w:tc>
        <w:tc>
          <w:tcPr>
            <w:tcW w:w="0" w:type="auto"/>
            <w:tcBorders>
              <w:top w:val="nil"/>
              <w:left w:val="nil"/>
              <w:bottom w:val="single" w:sz="4" w:space="0" w:color="auto"/>
              <w:right w:val="single" w:sz="4" w:space="0" w:color="auto"/>
            </w:tcBorders>
            <w:shd w:val="clear" w:color="000000" w:fill="FFFFFF"/>
            <w:vAlign w:val="center"/>
            <w:hideMark/>
          </w:tcPr>
          <w:p w14:paraId="07775B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90D58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24,120,000</w:t>
            </w:r>
          </w:p>
        </w:tc>
        <w:tc>
          <w:tcPr>
            <w:tcW w:w="0" w:type="auto"/>
            <w:tcBorders>
              <w:top w:val="nil"/>
              <w:left w:val="nil"/>
              <w:bottom w:val="single" w:sz="4" w:space="0" w:color="auto"/>
              <w:right w:val="single" w:sz="4" w:space="0" w:color="auto"/>
            </w:tcBorders>
            <w:shd w:val="clear" w:color="000000" w:fill="FFFFFF"/>
            <w:noWrap/>
            <w:vAlign w:val="center"/>
            <w:hideMark/>
          </w:tcPr>
          <w:p w14:paraId="601B41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24,120,000</w:t>
            </w:r>
          </w:p>
        </w:tc>
        <w:tc>
          <w:tcPr>
            <w:tcW w:w="0" w:type="auto"/>
            <w:tcBorders>
              <w:top w:val="nil"/>
              <w:left w:val="nil"/>
              <w:bottom w:val="single" w:sz="4" w:space="0" w:color="auto"/>
              <w:right w:val="single" w:sz="4" w:space="0" w:color="auto"/>
            </w:tcBorders>
            <w:shd w:val="clear" w:color="000000" w:fill="FFFFFF"/>
            <w:vAlign w:val="center"/>
            <w:hideMark/>
          </w:tcPr>
          <w:p w14:paraId="109FDA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7B01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24,120,000</w:t>
            </w:r>
          </w:p>
        </w:tc>
        <w:tc>
          <w:tcPr>
            <w:tcW w:w="0" w:type="auto"/>
            <w:tcBorders>
              <w:top w:val="nil"/>
              <w:left w:val="nil"/>
              <w:bottom w:val="single" w:sz="4" w:space="0" w:color="auto"/>
              <w:right w:val="single" w:sz="4" w:space="0" w:color="auto"/>
            </w:tcBorders>
            <w:shd w:val="clear" w:color="000000" w:fill="FFFFFF"/>
            <w:noWrap/>
            <w:vAlign w:val="center"/>
            <w:hideMark/>
          </w:tcPr>
          <w:p w14:paraId="0CF55A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24,120,000</w:t>
            </w:r>
          </w:p>
        </w:tc>
        <w:tc>
          <w:tcPr>
            <w:tcW w:w="0" w:type="auto"/>
            <w:tcBorders>
              <w:top w:val="nil"/>
              <w:left w:val="nil"/>
              <w:bottom w:val="single" w:sz="4" w:space="0" w:color="auto"/>
              <w:right w:val="single" w:sz="4" w:space="0" w:color="auto"/>
            </w:tcBorders>
            <w:shd w:val="clear" w:color="000000" w:fill="FFFFFF"/>
            <w:vAlign w:val="center"/>
            <w:hideMark/>
          </w:tcPr>
          <w:p w14:paraId="3BA27E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3E632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74,154,000</w:t>
            </w:r>
          </w:p>
        </w:tc>
        <w:tc>
          <w:tcPr>
            <w:tcW w:w="0" w:type="auto"/>
            <w:tcBorders>
              <w:top w:val="nil"/>
              <w:left w:val="nil"/>
              <w:bottom w:val="single" w:sz="4" w:space="0" w:color="auto"/>
              <w:right w:val="single" w:sz="4" w:space="0" w:color="auto"/>
            </w:tcBorders>
            <w:shd w:val="clear" w:color="000000" w:fill="FFFFFF"/>
            <w:vAlign w:val="center"/>
            <w:hideMark/>
          </w:tcPr>
          <w:p w14:paraId="113861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74,154,000</w:t>
            </w:r>
          </w:p>
        </w:tc>
        <w:tc>
          <w:tcPr>
            <w:tcW w:w="0" w:type="auto"/>
            <w:tcBorders>
              <w:top w:val="nil"/>
              <w:left w:val="nil"/>
              <w:bottom w:val="single" w:sz="4" w:space="0" w:color="auto"/>
              <w:right w:val="single" w:sz="4" w:space="0" w:color="auto"/>
            </w:tcBorders>
            <w:shd w:val="clear" w:color="000000" w:fill="FFFFFF"/>
            <w:noWrap/>
            <w:vAlign w:val="center"/>
            <w:hideMark/>
          </w:tcPr>
          <w:p w14:paraId="3AF9BD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9F94A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BBC47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115BE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A3B8B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5240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374B8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DC51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231969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36B0F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D31EF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74,154,000</w:t>
            </w:r>
          </w:p>
        </w:tc>
      </w:tr>
      <w:tr w:rsidR="00F54824" w:rsidRPr="002128A6" w14:paraId="4BD48E6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87558B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2.5.8</w:t>
            </w:r>
          </w:p>
        </w:tc>
        <w:tc>
          <w:tcPr>
            <w:tcW w:w="0" w:type="auto"/>
            <w:tcBorders>
              <w:top w:val="nil"/>
              <w:left w:val="nil"/>
              <w:bottom w:val="single" w:sz="4" w:space="0" w:color="auto"/>
              <w:right w:val="single" w:sz="4" w:space="0" w:color="auto"/>
            </w:tcBorders>
            <w:shd w:val="clear" w:color="000000" w:fill="FFFFFF"/>
            <w:vAlign w:val="center"/>
            <w:hideMark/>
          </w:tcPr>
          <w:p w14:paraId="28D951B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Hartimi një plani të dedikuar për zbatimin e metodave novatore në shkencat kriminalistike në luftën kundër krimit të organizuar dhe aktiviteteve të tjera kriminale, përfshirë identifikimin e metodave prioritare, pajisjeve dhe trajnimit të kërkuar, procedurat e validimit dhe integrimin në flukset operacionale të punës.</w:t>
            </w:r>
          </w:p>
        </w:tc>
        <w:tc>
          <w:tcPr>
            <w:tcW w:w="0" w:type="auto"/>
            <w:tcBorders>
              <w:top w:val="nil"/>
              <w:left w:val="nil"/>
              <w:bottom w:val="single" w:sz="4" w:space="0" w:color="auto"/>
              <w:right w:val="single" w:sz="4" w:space="0" w:color="auto"/>
            </w:tcBorders>
            <w:shd w:val="clear" w:color="000000" w:fill="FFFFFF"/>
            <w:vAlign w:val="center"/>
            <w:hideMark/>
          </w:tcPr>
          <w:p w14:paraId="34211F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M160510</w:t>
            </w:r>
          </w:p>
        </w:tc>
        <w:tc>
          <w:tcPr>
            <w:tcW w:w="0" w:type="auto"/>
            <w:tcBorders>
              <w:top w:val="nil"/>
              <w:left w:val="nil"/>
              <w:bottom w:val="single" w:sz="4" w:space="0" w:color="auto"/>
              <w:right w:val="single" w:sz="4" w:space="0" w:color="auto"/>
            </w:tcBorders>
            <w:shd w:val="clear" w:color="000000" w:fill="FFFFFF"/>
            <w:vAlign w:val="center"/>
            <w:hideMark/>
          </w:tcPr>
          <w:p w14:paraId="75D426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Mininstria e Punëve të Brendshme/Policia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66E6A7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39BD124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5736F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88B90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25DB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55,200,000</w:t>
            </w:r>
          </w:p>
        </w:tc>
        <w:tc>
          <w:tcPr>
            <w:tcW w:w="0" w:type="auto"/>
            <w:tcBorders>
              <w:top w:val="nil"/>
              <w:left w:val="nil"/>
              <w:bottom w:val="single" w:sz="4" w:space="0" w:color="auto"/>
              <w:right w:val="single" w:sz="4" w:space="0" w:color="auto"/>
            </w:tcBorders>
            <w:shd w:val="clear" w:color="000000" w:fill="FFFFFF"/>
            <w:noWrap/>
            <w:vAlign w:val="center"/>
            <w:hideMark/>
          </w:tcPr>
          <w:p w14:paraId="305F7B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55,200,000</w:t>
            </w:r>
          </w:p>
        </w:tc>
        <w:tc>
          <w:tcPr>
            <w:tcW w:w="0" w:type="auto"/>
            <w:tcBorders>
              <w:top w:val="nil"/>
              <w:left w:val="nil"/>
              <w:bottom w:val="single" w:sz="4" w:space="0" w:color="auto"/>
              <w:right w:val="single" w:sz="4" w:space="0" w:color="auto"/>
            </w:tcBorders>
            <w:shd w:val="clear" w:color="000000" w:fill="FFFFFF"/>
            <w:vAlign w:val="center"/>
            <w:hideMark/>
          </w:tcPr>
          <w:p w14:paraId="59FE94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6A05D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13,000,000</w:t>
            </w:r>
          </w:p>
        </w:tc>
        <w:tc>
          <w:tcPr>
            <w:tcW w:w="0" w:type="auto"/>
            <w:tcBorders>
              <w:top w:val="nil"/>
              <w:left w:val="nil"/>
              <w:bottom w:val="single" w:sz="4" w:space="0" w:color="auto"/>
              <w:right w:val="single" w:sz="4" w:space="0" w:color="auto"/>
            </w:tcBorders>
            <w:shd w:val="clear" w:color="000000" w:fill="FFFFFF"/>
            <w:noWrap/>
            <w:vAlign w:val="center"/>
            <w:hideMark/>
          </w:tcPr>
          <w:p w14:paraId="211FE7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13,000,000</w:t>
            </w:r>
          </w:p>
        </w:tc>
        <w:tc>
          <w:tcPr>
            <w:tcW w:w="0" w:type="auto"/>
            <w:tcBorders>
              <w:top w:val="nil"/>
              <w:left w:val="nil"/>
              <w:bottom w:val="single" w:sz="4" w:space="0" w:color="auto"/>
              <w:right w:val="single" w:sz="4" w:space="0" w:color="auto"/>
            </w:tcBorders>
            <w:shd w:val="clear" w:color="000000" w:fill="FFFFFF"/>
            <w:vAlign w:val="center"/>
            <w:hideMark/>
          </w:tcPr>
          <w:p w14:paraId="5FF500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51722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738A59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1D882D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C57D3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2065BB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79CA03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5F971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5D78C9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7DDEFB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E5884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89,200,000</w:t>
            </w:r>
          </w:p>
        </w:tc>
        <w:tc>
          <w:tcPr>
            <w:tcW w:w="0" w:type="auto"/>
            <w:tcBorders>
              <w:top w:val="nil"/>
              <w:left w:val="nil"/>
              <w:bottom w:val="single" w:sz="4" w:space="0" w:color="auto"/>
              <w:right w:val="single" w:sz="4" w:space="0" w:color="auto"/>
            </w:tcBorders>
            <w:shd w:val="clear" w:color="000000" w:fill="FFFFFF"/>
            <w:vAlign w:val="center"/>
            <w:hideMark/>
          </w:tcPr>
          <w:p w14:paraId="54E80D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89,200,000</w:t>
            </w:r>
          </w:p>
        </w:tc>
        <w:tc>
          <w:tcPr>
            <w:tcW w:w="0" w:type="auto"/>
            <w:tcBorders>
              <w:top w:val="nil"/>
              <w:left w:val="nil"/>
              <w:bottom w:val="single" w:sz="4" w:space="0" w:color="auto"/>
              <w:right w:val="single" w:sz="4" w:space="0" w:color="auto"/>
            </w:tcBorders>
            <w:shd w:val="clear" w:color="000000" w:fill="FFFFFF"/>
            <w:noWrap/>
            <w:vAlign w:val="center"/>
            <w:hideMark/>
          </w:tcPr>
          <w:p w14:paraId="654FBB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ED4BE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2AE3F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1B4C5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11AC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17D7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A6D8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DAE9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2BBC9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5EDD1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F8C13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89,200,000</w:t>
            </w:r>
          </w:p>
        </w:tc>
      </w:tr>
      <w:tr w:rsidR="00F54824" w:rsidRPr="002128A6" w14:paraId="6A162F86"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71B574A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2.5.9</w:t>
            </w:r>
          </w:p>
        </w:tc>
        <w:tc>
          <w:tcPr>
            <w:tcW w:w="0" w:type="auto"/>
            <w:tcBorders>
              <w:top w:val="nil"/>
              <w:left w:val="nil"/>
              <w:bottom w:val="single" w:sz="4" w:space="0" w:color="auto"/>
              <w:right w:val="single" w:sz="4" w:space="0" w:color="auto"/>
            </w:tcBorders>
            <w:shd w:val="clear" w:color="000000" w:fill="FFFFFF"/>
            <w:vAlign w:val="center"/>
            <w:hideMark/>
          </w:tcPr>
          <w:p w14:paraId="594979E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Mbështetja dhe forcimi i kapaciteteve për procesin e menaxhimit të cilësisë në nivel rajonal të hetimit të vendngjarjes dhe në nivel qendror, përfshirë përmes procedurave të harmonizuara, mentorimit, kontrolleve të brendshme dhe rishikimeve periodike të cilësisë për të siguruar zbatim konsistent të standardeve në të gjithë vendin.</w:t>
            </w:r>
          </w:p>
        </w:tc>
        <w:tc>
          <w:tcPr>
            <w:tcW w:w="0" w:type="auto"/>
            <w:tcBorders>
              <w:top w:val="nil"/>
              <w:left w:val="nil"/>
              <w:bottom w:val="single" w:sz="4" w:space="0" w:color="auto"/>
              <w:right w:val="single" w:sz="4" w:space="0" w:color="auto"/>
            </w:tcBorders>
            <w:shd w:val="clear" w:color="000000" w:fill="FFFFFF"/>
            <w:vAlign w:val="center"/>
            <w:hideMark/>
          </w:tcPr>
          <w:p w14:paraId="72D716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M160510</w:t>
            </w:r>
          </w:p>
        </w:tc>
        <w:tc>
          <w:tcPr>
            <w:tcW w:w="0" w:type="auto"/>
            <w:tcBorders>
              <w:top w:val="nil"/>
              <w:left w:val="nil"/>
              <w:bottom w:val="single" w:sz="4" w:space="0" w:color="auto"/>
              <w:right w:val="single" w:sz="4" w:space="0" w:color="auto"/>
            </w:tcBorders>
            <w:shd w:val="clear" w:color="000000" w:fill="FFFFFF"/>
            <w:vAlign w:val="center"/>
            <w:hideMark/>
          </w:tcPr>
          <w:p w14:paraId="4082FB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7BF1A3CD" w14:textId="4450AE81"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FFA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025F63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4B62A66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29730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D3D35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w:t>
            </w:r>
          </w:p>
        </w:tc>
        <w:tc>
          <w:tcPr>
            <w:tcW w:w="0" w:type="auto"/>
            <w:tcBorders>
              <w:top w:val="nil"/>
              <w:left w:val="nil"/>
              <w:bottom w:val="single" w:sz="4" w:space="0" w:color="auto"/>
              <w:right w:val="single" w:sz="4" w:space="0" w:color="auto"/>
            </w:tcBorders>
            <w:shd w:val="clear" w:color="000000" w:fill="FFFFFF"/>
            <w:noWrap/>
            <w:vAlign w:val="center"/>
            <w:hideMark/>
          </w:tcPr>
          <w:p w14:paraId="50454E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w:t>
            </w:r>
          </w:p>
        </w:tc>
        <w:tc>
          <w:tcPr>
            <w:tcW w:w="0" w:type="auto"/>
            <w:tcBorders>
              <w:top w:val="nil"/>
              <w:left w:val="nil"/>
              <w:bottom w:val="single" w:sz="4" w:space="0" w:color="auto"/>
              <w:right w:val="single" w:sz="4" w:space="0" w:color="auto"/>
            </w:tcBorders>
            <w:shd w:val="clear" w:color="000000" w:fill="FFFFFF"/>
            <w:vAlign w:val="center"/>
            <w:hideMark/>
          </w:tcPr>
          <w:p w14:paraId="0DE5BA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3AFA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EA205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8A918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A1E7A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w:t>
            </w:r>
          </w:p>
        </w:tc>
        <w:tc>
          <w:tcPr>
            <w:tcW w:w="0" w:type="auto"/>
            <w:tcBorders>
              <w:top w:val="nil"/>
              <w:left w:val="nil"/>
              <w:bottom w:val="single" w:sz="4" w:space="0" w:color="auto"/>
              <w:right w:val="single" w:sz="4" w:space="0" w:color="auto"/>
            </w:tcBorders>
            <w:shd w:val="clear" w:color="000000" w:fill="FFFFFF"/>
            <w:noWrap/>
            <w:vAlign w:val="center"/>
            <w:hideMark/>
          </w:tcPr>
          <w:p w14:paraId="4E5859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20,000,000</w:t>
            </w:r>
          </w:p>
        </w:tc>
        <w:tc>
          <w:tcPr>
            <w:tcW w:w="0" w:type="auto"/>
            <w:tcBorders>
              <w:top w:val="nil"/>
              <w:left w:val="nil"/>
              <w:bottom w:val="single" w:sz="4" w:space="0" w:color="auto"/>
              <w:right w:val="single" w:sz="4" w:space="0" w:color="auto"/>
            </w:tcBorders>
            <w:shd w:val="clear" w:color="000000" w:fill="FFFFFF"/>
            <w:vAlign w:val="center"/>
            <w:hideMark/>
          </w:tcPr>
          <w:p w14:paraId="2E71CC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EACD7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7DAC4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EC400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4643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A926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E3229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55E0B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vAlign w:val="center"/>
            <w:hideMark/>
          </w:tcPr>
          <w:p w14:paraId="43F697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noWrap/>
            <w:vAlign w:val="center"/>
            <w:hideMark/>
          </w:tcPr>
          <w:p w14:paraId="66164B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05367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AB81D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51C2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FA627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4C5C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911F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A755B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33CF12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3FBCD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DFBA5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r>
      <w:tr w:rsidR="00F54824" w:rsidRPr="002128A6" w14:paraId="2A99988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B85639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2.5.10</w:t>
            </w:r>
          </w:p>
        </w:tc>
        <w:tc>
          <w:tcPr>
            <w:tcW w:w="0" w:type="auto"/>
            <w:tcBorders>
              <w:top w:val="nil"/>
              <w:left w:val="nil"/>
              <w:bottom w:val="single" w:sz="4" w:space="0" w:color="auto"/>
              <w:right w:val="single" w:sz="4" w:space="0" w:color="auto"/>
            </w:tcBorders>
            <w:shd w:val="clear" w:color="000000" w:fill="FFFFFF"/>
            <w:hideMark/>
          </w:tcPr>
          <w:p w14:paraId="674996E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Ngritja dhe mirëmbajtja e një regjistri për inventarin e pajisjeve kriminalistike duke identifikuar sistematikisht nevojat për kalibrim, mirëmbajtje, rinovim ose zëvendësim të tyre, përfshirë duke vendosur afate, caktuar përgjegjësi dhe siguruar gjurmueshmërinë e ndërhyrjeve për të mbrojtur besueshmërinë e rezultateve kriminalistike.</w:t>
            </w:r>
          </w:p>
        </w:tc>
        <w:tc>
          <w:tcPr>
            <w:tcW w:w="0" w:type="auto"/>
            <w:tcBorders>
              <w:top w:val="nil"/>
              <w:left w:val="nil"/>
              <w:bottom w:val="single" w:sz="4" w:space="0" w:color="auto"/>
              <w:right w:val="single" w:sz="4" w:space="0" w:color="auto"/>
            </w:tcBorders>
            <w:shd w:val="clear" w:color="000000" w:fill="FFFFFF"/>
            <w:vAlign w:val="center"/>
            <w:hideMark/>
          </w:tcPr>
          <w:p w14:paraId="0D2F04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91604AS</w:t>
            </w:r>
          </w:p>
        </w:tc>
        <w:tc>
          <w:tcPr>
            <w:tcW w:w="0" w:type="auto"/>
            <w:tcBorders>
              <w:top w:val="nil"/>
              <w:left w:val="nil"/>
              <w:bottom w:val="single" w:sz="4" w:space="0" w:color="auto"/>
              <w:right w:val="single" w:sz="4" w:space="0" w:color="auto"/>
            </w:tcBorders>
            <w:shd w:val="clear" w:color="000000" w:fill="FFFFFF"/>
            <w:vAlign w:val="center"/>
            <w:hideMark/>
          </w:tcPr>
          <w:p w14:paraId="5FDE6A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72B7B3FF" w14:textId="42220312"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FFA</w:t>
            </w:r>
            <w:r w:rsidR="00F54824"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C81318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356C81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345DF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vAlign w:val="center"/>
            <w:hideMark/>
          </w:tcPr>
          <w:p w14:paraId="6A9B71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5BA3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vAlign w:val="center"/>
            <w:hideMark/>
          </w:tcPr>
          <w:p w14:paraId="1EAC13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A7EEB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22991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CB86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DFC16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AF79B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1501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EEEA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9792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1CED0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62306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8CEFA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76C4F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vAlign w:val="center"/>
            <w:hideMark/>
          </w:tcPr>
          <w:p w14:paraId="31271D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4A117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noWrap/>
            <w:vAlign w:val="center"/>
            <w:hideMark/>
          </w:tcPr>
          <w:p w14:paraId="7304AE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noWrap/>
            <w:vAlign w:val="center"/>
            <w:hideMark/>
          </w:tcPr>
          <w:p w14:paraId="15B14C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DD0A6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1,698,719</w:t>
            </w:r>
          </w:p>
        </w:tc>
        <w:tc>
          <w:tcPr>
            <w:tcW w:w="0" w:type="auto"/>
            <w:tcBorders>
              <w:top w:val="nil"/>
              <w:left w:val="nil"/>
              <w:bottom w:val="single" w:sz="4" w:space="0" w:color="auto"/>
              <w:right w:val="single" w:sz="4" w:space="0" w:color="auto"/>
            </w:tcBorders>
            <w:shd w:val="clear" w:color="000000" w:fill="FFFFFF"/>
            <w:noWrap/>
            <w:vAlign w:val="center"/>
            <w:hideMark/>
          </w:tcPr>
          <w:p w14:paraId="588DEB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79665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B22E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1C109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5854E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631C91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EFB6B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E53A9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68BD7B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58FE7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2.5.11</w:t>
            </w:r>
          </w:p>
        </w:tc>
        <w:tc>
          <w:tcPr>
            <w:tcW w:w="0" w:type="auto"/>
            <w:tcBorders>
              <w:top w:val="nil"/>
              <w:left w:val="nil"/>
              <w:bottom w:val="single" w:sz="4" w:space="0" w:color="auto"/>
              <w:right w:val="single" w:sz="4" w:space="0" w:color="auto"/>
            </w:tcBorders>
            <w:shd w:val="clear" w:color="000000" w:fill="FFFFFF"/>
            <w:hideMark/>
          </w:tcPr>
          <w:p w14:paraId="6CB8967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Hartimi i një plani investimi për 1, 3 dhe 5 vjet për ofrimin e shërbimeve të policisë shkencore, përfshirë nevojat e prioritizuara të prokurimit dhe infrastrukturës, buxhetimin dhe burimet e financimit, kërkesat për burime njerëzore dhe trajnim, dhe pikat e referimit të lidhura me akreditimin e shërbimit dhe objektivat e cilësisë.</w:t>
            </w:r>
          </w:p>
        </w:tc>
        <w:tc>
          <w:tcPr>
            <w:tcW w:w="0" w:type="auto"/>
            <w:tcBorders>
              <w:top w:val="nil"/>
              <w:left w:val="nil"/>
              <w:bottom w:val="single" w:sz="4" w:space="0" w:color="auto"/>
              <w:right w:val="single" w:sz="4" w:space="0" w:color="auto"/>
            </w:tcBorders>
            <w:shd w:val="clear" w:color="000000" w:fill="FFFFFF"/>
            <w:vAlign w:val="center"/>
            <w:hideMark/>
          </w:tcPr>
          <w:p w14:paraId="007053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704AD4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Mininstria e Punëve të Brendshme/Policia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01C08E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5339165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01B9A9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E069B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2,555,231</w:t>
            </w:r>
          </w:p>
        </w:tc>
        <w:tc>
          <w:tcPr>
            <w:tcW w:w="0" w:type="auto"/>
            <w:tcBorders>
              <w:top w:val="nil"/>
              <w:left w:val="nil"/>
              <w:bottom w:val="single" w:sz="4" w:space="0" w:color="auto"/>
              <w:right w:val="single" w:sz="4" w:space="0" w:color="auto"/>
            </w:tcBorders>
            <w:shd w:val="clear" w:color="000000" w:fill="FFFFFF"/>
            <w:vAlign w:val="center"/>
            <w:hideMark/>
          </w:tcPr>
          <w:p w14:paraId="6E8949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3D5D4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2,555,231</w:t>
            </w:r>
          </w:p>
        </w:tc>
        <w:tc>
          <w:tcPr>
            <w:tcW w:w="0" w:type="auto"/>
            <w:tcBorders>
              <w:top w:val="nil"/>
              <w:left w:val="nil"/>
              <w:bottom w:val="single" w:sz="4" w:space="0" w:color="auto"/>
              <w:right w:val="single" w:sz="4" w:space="0" w:color="auto"/>
            </w:tcBorders>
            <w:shd w:val="clear" w:color="000000" w:fill="FFFFFF"/>
            <w:vAlign w:val="center"/>
            <w:hideMark/>
          </w:tcPr>
          <w:p w14:paraId="5D3E39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74237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2537A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78006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88E1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46F4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02B45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70F78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A060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9AD8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6E2D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ED69D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A731C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2,555,231</w:t>
            </w:r>
          </w:p>
        </w:tc>
        <w:tc>
          <w:tcPr>
            <w:tcW w:w="0" w:type="auto"/>
            <w:tcBorders>
              <w:top w:val="nil"/>
              <w:left w:val="nil"/>
              <w:bottom w:val="single" w:sz="4" w:space="0" w:color="auto"/>
              <w:right w:val="single" w:sz="4" w:space="0" w:color="auto"/>
            </w:tcBorders>
            <w:shd w:val="clear" w:color="000000" w:fill="FFFFFF"/>
            <w:vAlign w:val="center"/>
            <w:hideMark/>
          </w:tcPr>
          <w:p w14:paraId="5D09CB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D9F7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2,555,231</w:t>
            </w:r>
          </w:p>
        </w:tc>
        <w:tc>
          <w:tcPr>
            <w:tcW w:w="0" w:type="auto"/>
            <w:tcBorders>
              <w:top w:val="nil"/>
              <w:left w:val="nil"/>
              <w:bottom w:val="single" w:sz="4" w:space="0" w:color="auto"/>
              <w:right w:val="single" w:sz="4" w:space="0" w:color="auto"/>
            </w:tcBorders>
            <w:shd w:val="clear" w:color="000000" w:fill="FFFFFF"/>
            <w:noWrap/>
            <w:vAlign w:val="center"/>
            <w:hideMark/>
          </w:tcPr>
          <w:p w14:paraId="53FE0A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2,555,231</w:t>
            </w:r>
          </w:p>
        </w:tc>
        <w:tc>
          <w:tcPr>
            <w:tcW w:w="0" w:type="auto"/>
            <w:tcBorders>
              <w:top w:val="nil"/>
              <w:left w:val="nil"/>
              <w:bottom w:val="single" w:sz="4" w:space="0" w:color="auto"/>
              <w:right w:val="single" w:sz="4" w:space="0" w:color="auto"/>
            </w:tcBorders>
            <w:shd w:val="clear" w:color="000000" w:fill="FFFFFF"/>
            <w:noWrap/>
            <w:vAlign w:val="center"/>
            <w:hideMark/>
          </w:tcPr>
          <w:p w14:paraId="53DAF6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3595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2,555,231</w:t>
            </w:r>
          </w:p>
        </w:tc>
        <w:tc>
          <w:tcPr>
            <w:tcW w:w="0" w:type="auto"/>
            <w:tcBorders>
              <w:top w:val="nil"/>
              <w:left w:val="nil"/>
              <w:bottom w:val="single" w:sz="4" w:space="0" w:color="auto"/>
              <w:right w:val="single" w:sz="4" w:space="0" w:color="auto"/>
            </w:tcBorders>
            <w:shd w:val="clear" w:color="000000" w:fill="FFFFFF"/>
            <w:noWrap/>
            <w:vAlign w:val="center"/>
            <w:hideMark/>
          </w:tcPr>
          <w:p w14:paraId="2CC65B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0C351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014A0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686C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154B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F776E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29A89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D8AF2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0C28E5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4F7F53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2.5.12</w:t>
            </w:r>
          </w:p>
        </w:tc>
        <w:tc>
          <w:tcPr>
            <w:tcW w:w="0" w:type="auto"/>
            <w:tcBorders>
              <w:top w:val="nil"/>
              <w:left w:val="nil"/>
              <w:bottom w:val="single" w:sz="4" w:space="0" w:color="auto"/>
              <w:right w:val="single" w:sz="4" w:space="0" w:color="auto"/>
            </w:tcBorders>
            <w:shd w:val="clear" w:color="000000" w:fill="FFFFFF"/>
            <w:vAlign w:val="center"/>
            <w:hideMark/>
          </w:tcPr>
          <w:p w14:paraId="62BAE3D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Ndërtimi i Serverit të Stacionit të Kontrollit në Distancë për të mundësuar krahasimin e drejtpërdrejtë të të dhënave daktiloskopike në sistemin AFIS Papillon të Institutit të Policisë Shkencore, duke siguruar ndërlidhje të sigurt, kapacitet të mjaftueshëm të serverit, integrim me flukset ekzistuese të punës dhe auditueshmëri të kërkimeve dhe përputhjeve.</w:t>
            </w:r>
          </w:p>
        </w:tc>
        <w:tc>
          <w:tcPr>
            <w:tcW w:w="0" w:type="auto"/>
            <w:tcBorders>
              <w:top w:val="nil"/>
              <w:left w:val="nil"/>
              <w:bottom w:val="single" w:sz="4" w:space="0" w:color="auto"/>
              <w:right w:val="single" w:sz="4" w:space="0" w:color="auto"/>
            </w:tcBorders>
            <w:shd w:val="clear" w:color="000000" w:fill="FFFFFF"/>
            <w:vAlign w:val="center"/>
            <w:hideMark/>
          </w:tcPr>
          <w:p w14:paraId="36C301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M160510</w:t>
            </w:r>
          </w:p>
        </w:tc>
        <w:tc>
          <w:tcPr>
            <w:tcW w:w="0" w:type="auto"/>
            <w:tcBorders>
              <w:top w:val="nil"/>
              <w:left w:val="nil"/>
              <w:bottom w:val="single" w:sz="4" w:space="0" w:color="auto"/>
              <w:right w:val="single" w:sz="4" w:space="0" w:color="auto"/>
            </w:tcBorders>
            <w:shd w:val="clear" w:color="000000" w:fill="FFFFFF"/>
            <w:vAlign w:val="center"/>
            <w:hideMark/>
          </w:tcPr>
          <w:p w14:paraId="7227E6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w:t>
            </w:r>
          </w:p>
        </w:tc>
        <w:tc>
          <w:tcPr>
            <w:tcW w:w="0" w:type="auto"/>
            <w:tcBorders>
              <w:top w:val="nil"/>
              <w:left w:val="nil"/>
              <w:bottom w:val="single" w:sz="4" w:space="0" w:color="auto"/>
              <w:right w:val="single" w:sz="4" w:space="0" w:color="auto"/>
            </w:tcBorders>
            <w:shd w:val="clear" w:color="000000" w:fill="FFFFFF"/>
            <w:vAlign w:val="center"/>
            <w:hideMark/>
          </w:tcPr>
          <w:p w14:paraId="7FD18A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24ACCA9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3E5AC8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D1943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42AB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35,200,000</w:t>
            </w:r>
          </w:p>
        </w:tc>
        <w:tc>
          <w:tcPr>
            <w:tcW w:w="0" w:type="auto"/>
            <w:tcBorders>
              <w:top w:val="nil"/>
              <w:left w:val="nil"/>
              <w:bottom w:val="single" w:sz="4" w:space="0" w:color="auto"/>
              <w:right w:val="single" w:sz="4" w:space="0" w:color="auto"/>
            </w:tcBorders>
            <w:shd w:val="clear" w:color="000000" w:fill="FFFFFF"/>
            <w:noWrap/>
            <w:vAlign w:val="center"/>
            <w:hideMark/>
          </w:tcPr>
          <w:p w14:paraId="01B3AD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35,200,000</w:t>
            </w:r>
          </w:p>
        </w:tc>
        <w:tc>
          <w:tcPr>
            <w:tcW w:w="0" w:type="auto"/>
            <w:tcBorders>
              <w:top w:val="nil"/>
              <w:left w:val="nil"/>
              <w:bottom w:val="single" w:sz="4" w:space="0" w:color="auto"/>
              <w:right w:val="single" w:sz="4" w:space="0" w:color="auto"/>
            </w:tcBorders>
            <w:shd w:val="clear" w:color="000000" w:fill="FFFFFF"/>
            <w:vAlign w:val="center"/>
            <w:hideMark/>
          </w:tcPr>
          <w:p w14:paraId="6518B3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AD46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13,000,000</w:t>
            </w:r>
          </w:p>
        </w:tc>
        <w:tc>
          <w:tcPr>
            <w:tcW w:w="0" w:type="auto"/>
            <w:tcBorders>
              <w:top w:val="nil"/>
              <w:left w:val="nil"/>
              <w:bottom w:val="single" w:sz="4" w:space="0" w:color="auto"/>
              <w:right w:val="single" w:sz="4" w:space="0" w:color="auto"/>
            </w:tcBorders>
            <w:shd w:val="clear" w:color="000000" w:fill="FFFFFF"/>
            <w:noWrap/>
            <w:vAlign w:val="center"/>
            <w:hideMark/>
          </w:tcPr>
          <w:p w14:paraId="356433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13,000,000</w:t>
            </w:r>
          </w:p>
        </w:tc>
        <w:tc>
          <w:tcPr>
            <w:tcW w:w="0" w:type="auto"/>
            <w:tcBorders>
              <w:top w:val="nil"/>
              <w:left w:val="nil"/>
              <w:bottom w:val="single" w:sz="4" w:space="0" w:color="auto"/>
              <w:right w:val="single" w:sz="4" w:space="0" w:color="auto"/>
            </w:tcBorders>
            <w:shd w:val="clear" w:color="000000" w:fill="FFFFFF"/>
            <w:vAlign w:val="center"/>
            <w:hideMark/>
          </w:tcPr>
          <w:p w14:paraId="600C9E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2BEA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32C6A7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0A1BF0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CDC44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593061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30151A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AC9D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noWrap/>
            <w:vAlign w:val="center"/>
            <w:hideMark/>
          </w:tcPr>
          <w:p w14:paraId="5D1DB5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21,000,000</w:t>
            </w:r>
          </w:p>
        </w:tc>
        <w:tc>
          <w:tcPr>
            <w:tcW w:w="0" w:type="auto"/>
            <w:tcBorders>
              <w:top w:val="nil"/>
              <w:left w:val="nil"/>
              <w:bottom w:val="single" w:sz="4" w:space="0" w:color="auto"/>
              <w:right w:val="single" w:sz="4" w:space="0" w:color="auto"/>
            </w:tcBorders>
            <w:shd w:val="clear" w:color="000000" w:fill="FFFFFF"/>
            <w:vAlign w:val="center"/>
            <w:hideMark/>
          </w:tcPr>
          <w:p w14:paraId="57D087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5F362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69,200,000</w:t>
            </w:r>
          </w:p>
        </w:tc>
        <w:tc>
          <w:tcPr>
            <w:tcW w:w="0" w:type="auto"/>
            <w:tcBorders>
              <w:top w:val="nil"/>
              <w:left w:val="nil"/>
              <w:bottom w:val="single" w:sz="4" w:space="0" w:color="auto"/>
              <w:right w:val="single" w:sz="4" w:space="0" w:color="auto"/>
            </w:tcBorders>
            <w:shd w:val="clear" w:color="000000" w:fill="FFFFFF"/>
            <w:vAlign w:val="center"/>
            <w:hideMark/>
          </w:tcPr>
          <w:p w14:paraId="151E6A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69,200,000</w:t>
            </w:r>
          </w:p>
        </w:tc>
        <w:tc>
          <w:tcPr>
            <w:tcW w:w="0" w:type="auto"/>
            <w:tcBorders>
              <w:top w:val="nil"/>
              <w:left w:val="nil"/>
              <w:bottom w:val="single" w:sz="4" w:space="0" w:color="auto"/>
              <w:right w:val="single" w:sz="4" w:space="0" w:color="auto"/>
            </w:tcBorders>
            <w:shd w:val="clear" w:color="000000" w:fill="FFFFFF"/>
            <w:noWrap/>
            <w:vAlign w:val="center"/>
            <w:hideMark/>
          </w:tcPr>
          <w:p w14:paraId="4AE6E7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73A50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341B2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A57B8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526B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EFF63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68CBA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D2CB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69,200,000</w:t>
            </w:r>
          </w:p>
        </w:tc>
        <w:tc>
          <w:tcPr>
            <w:tcW w:w="0" w:type="auto"/>
            <w:tcBorders>
              <w:top w:val="nil"/>
              <w:left w:val="nil"/>
              <w:bottom w:val="single" w:sz="4" w:space="0" w:color="auto"/>
              <w:right w:val="single" w:sz="4" w:space="0" w:color="auto"/>
            </w:tcBorders>
            <w:shd w:val="clear" w:color="000000" w:fill="FFFFFF"/>
            <w:vAlign w:val="center"/>
            <w:hideMark/>
          </w:tcPr>
          <w:p w14:paraId="54E5006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Donacion IPA 2019</w:t>
            </w:r>
          </w:p>
        </w:tc>
        <w:tc>
          <w:tcPr>
            <w:tcW w:w="0" w:type="auto"/>
            <w:tcBorders>
              <w:top w:val="nil"/>
              <w:left w:val="nil"/>
              <w:bottom w:val="single" w:sz="4" w:space="0" w:color="auto"/>
              <w:right w:val="single" w:sz="4" w:space="0" w:color="auto"/>
            </w:tcBorders>
            <w:shd w:val="clear" w:color="000000" w:fill="FFFFFF"/>
            <w:vAlign w:val="center"/>
            <w:hideMark/>
          </w:tcPr>
          <w:p w14:paraId="704E80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69,200,000</w:t>
            </w:r>
          </w:p>
        </w:tc>
        <w:tc>
          <w:tcPr>
            <w:tcW w:w="0" w:type="auto"/>
            <w:tcBorders>
              <w:top w:val="nil"/>
              <w:left w:val="nil"/>
              <w:bottom w:val="single" w:sz="4" w:space="0" w:color="auto"/>
              <w:right w:val="single" w:sz="8" w:space="0" w:color="auto"/>
            </w:tcBorders>
            <w:shd w:val="clear" w:color="000000" w:fill="FFFFFF"/>
            <w:vAlign w:val="center"/>
            <w:hideMark/>
          </w:tcPr>
          <w:p w14:paraId="0E93A2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BD0F26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3D525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2.5.13</w:t>
            </w:r>
          </w:p>
        </w:tc>
        <w:tc>
          <w:tcPr>
            <w:tcW w:w="0" w:type="auto"/>
            <w:tcBorders>
              <w:top w:val="nil"/>
              <w:left w:val="nil"/>
              <w:bottom w:val="single" w:sz="4" w:space="0" w:color="auto"/>
              <w:right w:val="single" w:sz="4" w:space="0" w:color="auto"/>
            </w:tcBorders>
            <w:shd w:val="clear" w:color="000000" w:fill="FFFFFF"/>
            <w:vAlign w:val="center"/>
            <w:hideMark/>
          </w:tcPr>
          <w:p w14:paraId="431DF76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Organizimi i trajnimeve dhe vlerësimeve periodike të kompetencave të ekspertëve të vendngjarjes, përfshirë vlerësimet praktike, proceset e certifikimit/ricertifikimit dhe ngritjen e kapaciteteve të shënjestruara për të garantuar zbatim konsistent të standardeve minimale të cilësisë dhe trajtim të duhur të provave.</w:t>
            </w:r>
          </w:p>
        </w:tc>
        <w:tc>
          <w:tcPr>
            <w:tcW w:w="0" w:type="auto"/>
            <w:tcBorders>
              <w:top w:val="nil"/>
              <w:left w:val="nil"/>
              <w:bottom w:val="single" w:sz="4" w:space="0" w:color="auto"/>
              <w:right w:val="single" w:sz="4" w:space="0" w:color="auto"/>
            </w:tcBorders>
            <w:shd w:val="clear" w:color="000000" w:fill="FFFFFF"/>
            <w:vAlign w:val="center"/>
            <w:hideMark/>
          </w:tcPr>
          <w:p w14:paraId="6FA9FF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91604AS;</w:t>
            </w:r>
            <w:r w:rsidRPr="002128A6">
              <w:rPr>
                <w:rFonts w:ascii="Garamond" w:eastAsia="Times New Roman" w:hAnsi="Garamond" w:cs="Times New Roman"/>
                <w:kern w:val="0"/>
                <w:sz w:val="4"/>
                <w:szCs w:val="8"/>
                <w14:ligatures w14:val="none"/>
              </w:rPr>
              <w:br/>
              <w:t>91604AR</w:t>
            </w:r>
          </w:p>
        </w:tc>
        <w:tc>
          <w:tcPr>
            <w:tcW w:w="0" w:type="auto"/>
            <w:tcBorders>
              <w:top w:val="nil"/>
              <w:left w:val="nil"/>
              <w:bottom w:val="single" w:sz="4" w:space="0" w:color="auto"/>
              <w:right w:val="single" w:sz="4" w:space="0" w:color="auto"/>
            </w:tcBorders>
            <w:shd w:val="clear" w:color="000000" w:fill="FFFFFF"/>
            <w:vAlign w:val="center"/>
            <w:hideMark/>
          </w:tcPr>
          <w:p w14:paraId="67ACF8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Shkencore/Akademia e Sigurisë</w:t>
            </w:r>
          </w:p>
        </w:tc>
        <w:tc>
          <w:tcPr>
            <w:tcW w:w="0" w:type="auto"/>
            <w:tcBorders>
              <w:top w:val="nil"/>
              <w:left w:val="nil"/>
              <w:bottom w:val="single" w:sz="4" w:space="0" w:color="auto"/>
              <w:right w:val="single" w:sz="4" w:space="0" w:color="auto"/>
            </w:tcBorders>
            <w:shd w:val="clear" w:color="000000" w:fill="FFFFFF"/>
            <w:vAlign w:val="center"/>
            <w:hideMark/>
          </w:tcPr>
          <w:p w14:paraId="71CC78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4C4287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F54C9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2D2C1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vAlign w:val="center"/>
            <w:hideMark/>
          </w:tcPr>
          <w:p w14:paraId="4A439A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848D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vAlign w:val="center"/>
            <w:hideMark/>
          </w:tcPr>
          <w:p w14:paraId="5E38A4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DFCA0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F9C04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F60A3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7CA4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B6AC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3FB14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25418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F4615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EA840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7B332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98BF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0281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vAlign w:val="center"/>
            <w:hideMark/>
          </w:tcPr>
          <w:p w14:paraId="4E2817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32AEA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noWrap/>
            <w:vAlign w:val="center"/>
            <w:hideMark/>
          </w:tcPr>
          <w:p w14:paraId="50634C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noWrap/>
            <w:vAlign w:val="center"/>
            <w:hideMark/>
          </w:tcPr>
          <w:p w14:paraId="0C6849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7E19D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noWrap/>
            <w:vAlign w:val="center"/>
            <w:hideMark/>
          </w:tcPr>
          <w:p w14:paraId="455290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B7D7E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602B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7B0C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799EF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774739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982D4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B2E57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46D2EA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7AE6033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2.5.14</w:t>
            </w:r>
          </w:p>
        </w:tc>
        <w:tc>
          <w:tcPr>
            <w:tcW w:w="0" w:type="auto"/>
            <w:tcBorders>
              <w:top w:val="nil"/>
              <w:left w:val="nil"/>
              <w:bottom w:val="single" w:sz="4" w:space="0" w:color="auto"/>
              <w:right w:val="single" w:sz="4" w:space="0" w:color="auto"/>
            </w:tcBorders>
            <w:shd w:val="clear" w:color="000000" w:fill="FFFFFF"/>
            <w:vAlign w:val="center"/>
            <w:hideMark/>
          </w:tcPr>
          <w:p w14:paraId="651702B7" w14:textId="40960DE6"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Integrimi i IPSh</w:t>
            </w:r>
            <w:r w:rsidR="00227466">
              <w:rPr>
                <w:rFonts w:ascii="Garamond" w:eastAsia="Times New Roman" w:hAnsi="Garamond" w:cs="Times New Roman"/>
                <w:kern w:val="0"/>
                <w:sz w:val="4"/>
                <w:szCs w:val="8"/>
                <w14:ligatures w14:val="none"/>
              </w:rPr>
              <w:t>-së</w:t>
            </w:r>
            <w:r w:rsidRPr="002128A6">
              <w:rPr>
                <w:rFonts w:ascii="Garamond" w:eastAsia="Times New Roman" w:hAnsi="Garamond" w:cs="Times New Roman"/>
                <w:kern w:val="0"/>
                <w:sz w:val="4"/>
                <w:szCs w:val="8"/>
                <w14:ligatures w14:val="none"/>
              </w:rPr>
              <w:t xml:space="preserve"> në komunitetin ndërkombëtar të shkencave kriminalistike, përfshirë përmes pjesëmarrjes në rrjete përkatëse, shkëmbime dhe aktivitete të krahasimit, me qëllim përshtatjen</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 xml:space="preserve">modeleve, praktikave dhe metodave novatore të përdorura nga vendet e zhvilluara për përfshirjen e tyre në politikat kombëtare të zhvillimit të shërbimit kriminalistik në Shqipëri. </w:t>
            </w:r>
          </w:p>
        </w:tc>
        <w:tc>
          <w:tcPr>
            <w:tcW w:w="0" w:type="auto"/>
            <w:tcBorders>
              <w:top w:val="nil"/>
              <w:left w:val="nil"/>
              <w:bottom w:val="single" w:sz="4" w:space="0" w:color="auto"/>
              <w:right w:val="single" w:sz="4" w:space="0" w:color="auto"/>
            </w:tcBorders>
            <w:shd w:val="clear" w:color="000000" w:fill="FFFFFF"/>
            <w:vAlign w:val="center"/>
            <w:hideMark/>
          </w:tcPr>
          <w:p w14:paraId="3ED012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91604AS</w:t>
            </w:r>
          </w:p>
        </w:tc>
        <w:tc>
          <w:tcPr>
            <w:tcW w:w="0" w:type="auto"/>
            <w:tcBorders>
              <w:top w:val="nil"/>
              <w:left w:val="nil"/>
              <w:bottom w:val="single" w:sz="4" w:space="0" w:color="auto"/>
              <w:right w:val="nil"/>
            </w:tcBorders>
            <w:shd w:val="clear" w:color="000000" w:fill="FFFFFF"/>
            <w:vAlign w:val="center"/>
            <w:hideMark/>
          </w:tcPr>
          <w:p w14:paraId="4F5AFC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Mininstria e Punëve të Brendshme/Instituti i Policisë Shkencore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0929D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439E7DD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24F783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DC332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vAlign w:val="center"/>
            <w:hideMark/>
          </w:tcPr>
          <w:p w14:paraId="3473D5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ACB9F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vAlign w:val="center"/>
            <w:hideMark/>
          </w:tcPr>
          <w:p w14:paraId="50B997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F4DE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F14B3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84811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D133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7A42D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76E7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C8DC9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88B3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6317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58751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34C64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C68C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vAlign w:val="center"/>
            <w:hideMark/>
          </w:tcPr>
          <w:p w14:paraId="40058A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F98D8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noWrap/>
            <w:vAlign w:val="center"/>
            <w:hideMark/>
          </w:tcPr>
          <w:p w14:paraId="15AA86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noWrap/>
            <w:vAlign w:val="center"/>
            <w:hideMark/>
          </w:tcPr>
          <w:p w14:paraId="49EB27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542C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3,583,999</w:t>
            </w:r>
          </w:p>
        </w:tc>
        <w:tc>
          <w:tcPr>
            <w:tcW w:w="0" w:type="auto"/>
            <w:tcBorders>
              <w:top w:val="nil"/>
              <w:left w:val="nil"/>
              <w:bottom w:val="single" w:sz="4" w:space="0" w:color="auto"/>
              <w:right w:val="single" w:sz="4" w:space="0" w:color="auto"/>
            </w:tcBorders>
            <w:shd w:val="clear" w:color="000000" w:fill="FFFFFF"/>
            <w:noWrap/>
            <w:vAlign w:val="center"/>
            <w:hideMark/>
          </w:tcPr>
          <w:p w14:paraId="01367B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23BDC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75D3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C2FDB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0C6F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1B2C5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08108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14162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C6BBAC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61006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2.5.15</w:t>
            </w:r>
          </w:p>
        </w:tc>
        <w:tc>
          <w:tcPr>
            <w:tcW w:w="0" w:type="auto"/>
            <w:tcBorders>
              <w:top w:val="nil"/>
              <w:left w:val="nil"/>
              <w:bottom w:val="nil"/>
              <w:right w:val="nil"/>
            </w:tcBorders>
            <w:shd w:val="clear" w:color="auto" w:fill="auto"/>
            <w:noWrap/>
            <w:vAlign w:val="center"/>
            <w:hideMark/>
          </w:tcPr>
          <w:p w14:paraId="0FE3F74C" w14:textId="77777777" w:rsidR="00DB1B67" w:rsidRPr="002128A6" w:rsidRDefault="00DB1B67" w:rsidP="00DB1B67">
            <w:pPr>
              <w:spacing w:after="0" w:line="240" w:lineRule="auto"/>
              <w:jc w:val="both"/>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Rishikimi dhe propozimi i ndryshimeve ligjore në lidhje me mbledhjen e mostrave të ADN-së nga të dyshuarit dhe të arrestuarit, përfshirë duke sqaruar bazën ligjore, garancitë procedurale, kërkesat e zinxhirit të ruajtjes, periudhat e ruajtjes dhe garancitë e mbrojtjes së të dhënave, me qëllim forcimin e efektivitetit hetimor dhe respektimin e të drejtave themelore.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792DC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nil"/>
            </w:tcBorders>
            <w:shd w:val="clear" w:color="000000" w:fill="FFFFFF"/>
            <w:vAlign w:val="center"/>
            <w:hideMark/>
          </w:tcPr>
          <w:p w14:paraId="181396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Mininstria e Punëve të Brendshme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27B2B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Drejtësisë; FFA</w:t>
            </w:r>
          </w:p>
        </w:tc>
        <w:tc>
          <w:tcPr>
            <w:tcW w:w="0" w:type="auto"/>
            <w:tcBorders>
              <w:top w:val="nil"/>
              <w:left w:val="nil"/>
              <w:bottom w:val="single" w:sz="4" w:space="0" w:color="auto"/>
              <w:right w:val="single" w:sz="4" w:space="0" w:color="auto"/>
            </w:tcBorders>
            <w:shd w:val="clear" w:color="000000" w:fill="FFFFFF"/>
            <w:vAlign w:val="center"/>
            <w:hideMark/>
          </w:tcPr>
          <w:p w14:paraId="0A40813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7A968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90BA0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7E2601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04B6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36E9BD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4010C0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C3C2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3A0823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6544D2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5C10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12E699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33A4FB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B5998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17435F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0EB070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1DE75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w:t>
            </w:r>
          </w:p>
        </w:tc>
        <w:tc>
          <w:tcPr>
            <w:tcW w:w="0" w:type="auto"/>
            <w:tcBorders>
              <w:top w:val="nil"/>
              <w:left w:val="nil"/>
              <w:bottom w:val="single" w:sz="4" w:space="0" w:color="auto"/>
              <w:right w:val="single" w:sz="4" w:space="0" w:color="auto"/>
            </w:tcBorders>
            <w:shd w:val="clear" w:color="000000" w:fill="FFFFFF"/>
            <w:vAlign w:val="center"/>
            <w:hideMark/>
          </w:tcPr>
          <w:p w14:paraId="6E5E2A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1,250,000</w:t>
            </w:r>
          </w:p>
        </w:tc>
        <w:tc>
          <w:tcPr>
            <w:tcW w:w="0" w:type="auto"/>
            <w:tcBorders>
              <w:top w:val="nil"/>
              <w:left w:val="nil"/>
              <w:bottom w:val="single" w:sz="4" w:space="0" w:color="auto"/>
              <w:right w:val="single" w:sz="4" w:space="0" w:color="auto"/>
            </w:tcBorders>
            <w:shd w:val="clear" w:color="000000" w:fill="FFFFFF"/>
            <w:vAlign w:val="center"/>
            <w:hideMark/>
          </w:tcPr>
          <w:p w14:paraId="2D9D25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0BE66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1,250,000</w:t>
            </w:r>
          </w:p>
        </w:tc>
        <w:tc>
          <w:tcPr>
            <w:tcW w:w="0" w:type="auto"/>
            <w:tcBorders>
              <w:top w:val="nil"/>
              <w:left w:val="nil"/>
              <w:bottom w:val="single" w:sz="4" w:space="0" w:color="auto"/>
              <w:right w:val="single" w:sz="4" w:space="0" w:color="auto"/>
            </w:tcBorders>
            <w:shd w:val="clear" w:color="000000" w:fill="FFFFFF"/>
            <w:noWrap/>
            <w:vAlign w:val="center"/>
            <w:hideMark/>
          </w:tcPr>
          <w:p w14:paraId="2367AE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750,000</w:t>
            </w:r>
          </w:p>
        </w:tc>
        <w:tc>
          <w:tcPr>
            <w:tcW w:w="0" w:type="auto"/>
            <w:tcBorders>
              <w:top w:val="nil"/>
              <w:left w:val="nil"/>
              <w:bottom w:val="single" w:sz="4" w:space="0" w:color="auto"/>
              <w:right w:val="single" w:sz="4" w:space="0" w:color="auto"/>
            </w:tcBorders>
            <w:shd w:val="clear" w:color="000000" w:fill="FFFFFF"/>
            <w:noWrap/>
            <w:vAlign w:val="center"/>
            <w:hideMark/>
          </w:tcPr>
          <w:p w14:paraId="5BA141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54FA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750,000</w:t>
            </w:r>
          </w:p>
        </w:tc>
        <w:tc>
          <w:tcPr>
            <w:tcW w:w="0" w:type="auto"/>
            <w:tcBorders>
              <w:top w:val="nil"/>
              <w:left w:val="nil"/>
              <w:bottom w:val="single" w:sz="4" w:space="0" w:color="auto"/>
              <w:right w:val="single" w:sz="4" w:space="0" w:color="auto"/>
            </w:tcBorders>
            <w:shd w:val="clear" w:color="000000" w:fill="FFFFFF"/>
            <w:noWrap/>
            <w:vAlign w:val="center"/>
            <w:hideMark/>
          </w:tcPr>
          <w:p w14:paraId="5B0845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w:t>
            </w:r>
          </w:p>
        </w:tc>
        <w:tc>
          <w:tcPr>
            <w:tcW w:w="0" w:type="auto"/>
            <w:tcBorders>
              <w:top w:val="nil"/>
              <w:left w:val="nil"/>
              <w:bottom w:val="single" w:sz="4" w:space="0" w:color="auto"/>
              <w:right w:val="single" w:sz="4" w:space="0" w:color="auto"/>
            </w:tcBorders>
            <w:shd w:val="clear" w:color="000000" w:fill="FFFFFF"/>
            <w:noWrap/>
            <w:vAlign w:val="center"/>
            <w:hideMark/>
          </w:tcPr>
          <w:p w14:paraId="675440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29E9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w:t>
            </w:r>
          </w:p>
        </w:tc>
        <w:tc>
          <w:tcPr>
            <w:tcW w:w="0" w:type="auto"/>
            <w:tcBorders>
              <w:top w:val="nil"/>
              <w:left w:val="nil"/>
              <w:bottom w:val="single" w:sz="4" w:space="0" w:color="auto"/>
              <w:right w:val="single" w:sz="4" w:space="0" w:color="auto"/>
            </w:tcBorders>
            <w:shd w:val="clear" w:color="000000" w:fill="FFFFFF"/>
            <w:vAlign w:val="center"/>
            <w:hideMark/>
          </w:tcPr>
          <w:p w14:paraId="30FDDD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63536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7AEC8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0D0FC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C7054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1FC462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7228E9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2.5.16</w:t>
            </w:r>
          </w:p>
        </w:tc>
        <w:tc>
          <w:tcPr>
            <w:tcW w:w="0" w:type="auto"/>
            <w:tcBorders>
              <w:top w:val="single" w:sz="4" w:space="0" w:color="auto"/>
              <w:left w:val="nil"/>
              <w:bottom w:val="single" w:sz="4" w:space="0" w:color="auto"/>
              <w:right w:val="single" w:sz="4" w:space="0" w:color="auto"/>
            </w:tcBorders>
            <w:shd w:val="clear" w:color="000000" w:fill="FFFFFF"/>
            <w:hideMark/>
          </w:tcPr>
          <w:p w14:paraId="73C526DF" w14:textId="4281AA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Përditësimi i programeve të trajnimit me zhvillime të reja teknologjike, bazuar në nevojave të identifikuara dhe zhvillim trajnimeve për sigurimin dhe ekzaminimin e vendngjarjes, përfshirë modulet mbi pajisjet e reja, dokumentimin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 parandalimin e kontaminimit dhe integritetin e provave.</w:t>
            </w:r>
          </w:p>
        </w:tc>
        <w:tc>
          <w:tcPr>
            <w:tcW w:w="0" w:type="auto"/>
            <w:tcBorders>
              <w:top w:val="nil"/>
              <w:left w:val="nil"/>
              <w:bottom w:val="single" w:sz="4" w:space="0" w:color="auto"/>
              <w:right w:val="single" w:sz="4" w:space="0" w:color="auto"/>
            </w:tcBorders>
            <w:shd w:val="clear" w:color="000000" w:fill="FFFFFF"/>
            <w:vAlign w:val="center"/>
            <w:hideMark/>
          </w:tcPr>
          <w:p w14:paraId="6D7128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nil"/>
            </w:tcBorders>
            <w:shd w:val="clear" w:color="000000" w:fill="FFFFFF"/>
            <w:vAlign w:val="center"/>
            <w:hideMark/>
          </w:tcPr>
          <w:p w14:paraId="291A82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Shkencore/Akademia e Sigurisë</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0A1A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13B746E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927888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CAE36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1,635,523</w:t>
            </w:r>
          </w:p>
        </w:tc>
        <w:tc>
          <w:tcPr>
            <w:tcW w:w="0" w:type="auto"/>
            <w:tcBorders>
              <w:top w:val="nil"/>
              <w:left w:val="nil"/>
              <w:bottom w:val="single" w:sz="4" w:space="0" w:color="auto"/>
              <w:right w:val="single" w:sz="4" w:space="0" w:color="auto"/>
            </w:tcBorders>
            <w:shd w:val="clear" w:color="000000" w:fill="FFFFFF"/>
            <w:vAlign w:val="center"/>
            <w:hideMark/>
          </w:tcPr>
          <w:p w14:paraId="425B9C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8A4B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1,635,523</w:t>
            </w:r>
          </w:p>
        </w:tc>
        <w:tc>
          <w:tcPr>
            <w:tcW w:w="0" w:type="auto"/>
            <w:tcBorders>
              <w:top w:val="nil"/>
              <w:left w:val="nil"/>
              <w:bottom w:val="single" w:sz="4" w:space="0" w:color="auto"/>
              <w:right w:val="single" w:sz="4" w:space="0" w:color="auto"/>
            </w:tcBorders>
            <w:shd w:val="clear" w:color="000000" w:fill="FFFFFF"/>
            <w:vAlign w:val="center"/>
            <w:hideMark/>
          </w:tcPr>
          <w:p w14:paraId="079114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3D40C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8E856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45DF5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930A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AF92E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48CA2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23AA6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10AB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8F1A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5E717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D6D10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C10FF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1,635,523</w:t>
            </w:r>
          </w:p>
        </w:tc>
        <w:tc>
          <w:tcPr>
            <w:tcW w:w="0" w:type="auto"/>
            <w:tcBorders>
              <w:top w:val="nil"/>
              <w:left w:val="nil"/>
              <w:bottom w:val="single" w:sz="4" w:space="0" w:color="auto"/>
              <w:right w:val="single" w:sz="4" w:space="0" w:color="auto"/>
            </w:tcBorders>
            <w:shd w:val="clear" w:color="000000" w:fill="FFFFFF"/>
            <w:vAlign w:val="center"/>
            <w:hideMark/>
          </w:tcPr>
          <w:p w14:paraId="532BB9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F7560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1,635,523</w:t>
            </w:r>
          </w:p>
        </w:tc>
        <w:tc>
          <w:tcPr>
            <w:tcW w:w="0" w:type="auto"/>
            <w:tcBorders>
              <w:top w:val="nil"/>
              <w:left w:val="nil"/>
              <w:bottom w:val="single" w:sz="4" w:space="0" w:color="auto"/>
              <w:right w:val="single" w:sz="4" w:space="0" w:color="auto"/>
            </w:tcBorders>
            <w:shd w:val="clear" w:color="000000" w:fill="FFFFFF"/>
            <w:noWrap/>
            <w:vAlign w:val="center"/>
            <w:hideMark/>
          </w:tcPr>
          <w:p w14:paraId="650B34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1,635,523</w:t>
            </w:r>
          </w:p>
        </w:tc>
        <w:tc>
          <w:tcPr>
            <w:tcW w:w="0" w:type="auto"/>
            <w:tcBorders>
              <w:top w:val="nil"/>
              <w:left w:val="nil"/>
              <w:bottom w:val="single" w:sz="4" w:space="0" w:color="auto"/>
              <w:right w:val="single" w:sz="4" w:space="0" w:color="auto"/>
            </w:tcBorders>
            <w:shd w:val="clear" w:color="000000" w:fill="FFFFFF"/>
            <w:noWrap/>
            <w:vAlign w:val="center"/>
            <w:hideMark/>
          </w:tcPr>
          <w:p w14:paraId="79F66A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D5807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1,635,523</w:t>
            </w:r>
          </w:p>
        </w:tc>
        <w:tc>
          <w:tcPr>
            <w:tcW w:w="0" w:type="auto"/>
            <w:tcBorders>
              <w:top w:val="nil"/>
              <w:left w:val="nil"/>
              <w:bottom w:val="single" w:sz="4" w:space="0" w:color="auto"/>
              <w:right w:val="single" w:sz="4" w:space="0" w:color="auto"/>
            </w:tcBorders>
            <w:shd w:val="clear" w:color="000000" w:fill="FFFFFF"/>
            <w:noWrap/>
            <w:vAlign w:val="center"/>
            <w:hideMark/>
          </w:tcPr>
          <w:p w14:paraId="352A4D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2F8DF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9703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C5F3E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CF68B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9624CC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B282D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F6D5F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47B93DE"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2B3E73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2.5.17</w:t>
            </w:r>
          </w:p>
        </w:tc>
        <w:tc>
          <w:tcPr>
            <w:tcW w:w="0" w:type="auto"/>
            <w:tcBorders>
              <w:top w:val="nil"/>
              <w:left w:val="nil"/>
              <w:bottom w:val="single" w:sz="4" w:space="0" w:color="auto"/>
              <w:right w:val="single" w:sz="4" w:space="0" w:color="auto"/>
            </w:tcBorders>
            <w:shd w:val="clear" w:color="000000" w:fill="FFFFFF"/>
            <w:hideMark/>
          </w:tcPr>
          <w:p w14:paraId="3AB9728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Rishikimi dhe përditësimi i programit fillestar dhe të vazhdueshëm të trajnimit për oficerët e policisë gjyqësore, përfshirë modulet mbi koordinimin efektiv me ekspertët kriminalistë, trajtimin dhe referimin e provave, kërkimin dhe interpretimin e ekspertizave dhe paraqitjen në sallën e gjyqit të konstatimeve kriminalistike.</w:t>
            </w:r>
          </w:p>
        </w:tc>
        <w:tc>
          <w:tcPr>
            <w:tcW w:w="0" w:type="auto"/>
            <w:tcBorders>
              <w:top w:val="nil"/>
              <w:left w:val="nil"/>
              <w:bottom w:val="single" w:sz="4" w:space="0" w:color="auto"/>
              <w:right w:val="single" w:sz="4" w:space="0" w:color="auto"/>
            </w:tcBorders>
            <w:shd w:val="clear" w:color="000000" w:fill="FFFFFF"/>
            <w:vAlign w:val="center"/>
            <w:hideMark/>
          </w:tcPr>
          <w:p w14:paraId="776ABD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nil"/>
            </w:tcBorders>
            <w:shd w:val="clear" w:color="000000" w:fill="FFFFFF"/>
            <w:vAlign w:val="center"/>
            <w:hideMark/>
          </w:tcPr>
          <w:p w14:paraId="54E324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Shkencore/Akademia e Sigurisë</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8F5F3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000000" w:fill="FFFFFF"/>
            <w:vAlign w:val="center"/>
            <w:hideMark/>
          </w:tcPr>
          <w:p w14:paraId="7E81A95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4F49D58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E9095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1,786,187</w:t>
            </w:r>
          </w:p>
        </w:tc>
        <w:tc>
          <w:tcPr>
            <w:tcW w:w="0" w:type="auto"/>
            <w:tcBorders>
              <w:top w:val="nil"/>
              <w:left w:val="nil"/>
              <w:bottom w:val="single" w:sz="4" w:space="0" w:color="auto"/>
              <w:right w:val="single" w:sz="4" w:space="0" w:color="auto"/>
            </w:tcBorders>
            <w:shd w:val="clear" w:color="000000" w:fill="FFFFFF"/>
            <w:vAlign w:val="center"/>
            <w:hideMark/>
          </w:tcPr>
          <w:p w14:paraId="6BC5F3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2D88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1,786,187</w:t>
            </w:r>
          </w:p>
        </w:tc>
        <w:tc>
          <w:tcPr>
            <w:tcW w:w="0" w:type="auto"/>
            <w:tcBorders>
              <w:top w:val="nil"/>
              <w:left w:val="nil"/>
              <w:bottom w:val="single" w:sz="4" w:space="0" w:color="auto"/>
              <w:right w:val="single" w:sz="4" w:space="0" w:color="auto"/>
            </w:tcBorders>
            <w:shd w:val="clear" w:color="000000" w:fill="FFFFFF"/>
            <w:vAlign w:val="center"/>
            <w:hideMark/>
          </w:tcPr>
          <w:p w14:paraId="01E11A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AF8B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07FFB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8D644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EFE82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F128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29DE4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E5FE3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A544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24BCE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3145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A555E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81961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1,786,187</w:t>
            </w:r>
          </w:p>
        </w:tc>
        <w:tc>
          <w:tcPr>
            <w:tcW w:w="0" w:type="auto"/>
            <w:tcBorders>
              <w:top w:val="nil"/>
              <w:left w:val="nil"/>
              <w:bottom w:val="single" w:sz="4" w:space="0" w:color="auto"/>
              <w:right w:val="single" w:sz="4" w:space="0" w:color="auto"/>
            </w:tcBorders>
            <w:shd w:val="clear" w:color="000000" w:fill="FFFFFF"/>
            <w:vAlign w:val="center"/>
            <w:hideMark/>
          </w:tcPr>
          <w:p w14:paraId="50B885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1E738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1,786,187</w:t>
            </w:r>
          </w:p>
        </w:tc>
        <w:tc>
          <w:tcPr>
            <w:tcW w:w="0" w:type="auto"/>
            <w:tcBorders>
              <w:top w:val="nil"/>
              <w:left w:val="nil"/>
              <w:bottom w:val="single" w:sz="4" w:space="0" w:color="auto"/>
              <w:right w:val="single" w:sz="4" w:space="0" w:color="auto"/>
            </w:tcBorders>
            <w:shd w:val="clear" w:color="000000" w:fill="FFFFFF"/>
            <w:noWrap/>
            <w:vAlign w:val="center"/>
            <w:hideMark/>
          </w:tcPr>
          <w:p w14:paraId="2E742E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1,786,187</w:t>
            </w:r>
          </w:p>
        </w:tc>
        <w:tc>
          <w:tcPr>
            <w:tcW w:w="0" w:type="auto"/>
            <w:tcBorders>
              <w:top w:val="nil"/>
              <w:left w:val="nil"/>
              <w:bottom w:val="single" w:sz="4" w:space="0" w:color="auto"/>
              <w:right w:val="single" w:sz="4" w:space="0" w:color="auto"/>
            </w:tcBorders>
            <w:shd w:val="clear" w:color="000000" w:fill="FFFFFF"/>
            <w:noWrap/>
            <w:vAlign w:val="center"/>
            <w:hideMark/>
          </w:tcPr>
          <w:p w14:paraId="3A378F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0838E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1,786,187</w:t>
            </w:r>
          </w:p>
        </w:tc>
        <w:tc>
          <w:tcPr>
            <w:tcW w:w="0" w:type="auto"/>
            <w:tcBorders>
              <w:top w:val="nil"/>
              <w:left w:val="nil"/>
              <w:bottom w:val="single" w:sz="4" w:space="0" w:color="auto"/>
              <w:right w:val="single" w:sz="4" w:space="0" w:color="auto"/>
            </w:tcBorders>
            <w:shd w:val="clear" w:color="000000" w:fill="FFFFFF"/>
            <w:noWrap/>
            <w:vAlign w:val="center"/>
            <w:hideMark/>
          </w:tcPr>
          <w:p w14:paraId="520047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FBD63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A849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61815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0762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76197A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604F2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6DF02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23A69F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2578D4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2.5.18</w:t>
            </w:r>
          </w:p>
        </w:tc>
        <w:tc>
          <w:tcPr>
            <w:tcW w:w="0" w:type="auto"/>
            <w:tcBorders>
              <w:top w:val="nil"/>
              <w:left w:val="nil"/>
              <w:bottom w:val="single" w:sz="4" w:space="0" w:color="auto"/>
              <w:right w:val="single" w:sz="4" w:space="0" w:color="auto"/>
            </w:tcBorders>
            <w:shd w:val="clear" w:color="auto" w:fill="auto"/>
            <w:vAlign w:val="center"/>
            <w:hideMark/>
          </w:tcPr>
          <w:p w14:paraId="43D36ACE" w14:textId="6C155774"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Forcimi i kapaciteteve teknike dhe profesionale për kryerjen e ekzaminimeve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 xml:space="preserve">e, përfshirë përmes personelit të specializuar, mjeteve moderne kriminalistike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 xml:space="preserve">e, metodologjive të standardizuara dhe trajnimit të vazhdueshëm për të mbështetur hetimet që përfshijnë pajisjet elektronike, provat </w:t>
            </w:r>
            <w:r w:rsidR="008F549F" w:rsidRPr="002128A6">
              <w:rPr>
                <w:rFonts w:ascii="Garamond" w:eastAsia="Times New Roman" w:hAnsi="Garamond" w:cs="Times New Roman"/>
                <w:i/>
                <w:iCs/>
                <w:kern w:val="0"/>
                <w:sz w:val="4"/>
                <w:szCs w:val="8"/>
                <w14:ligatures w14:val="none"/>
              </w:rPr>
              <w:t>online</w:t>
            </w:r>
            <w:r w:rsidRPr="002128A6">
              <w:rPr>
                <w:rFonts w:ascii="Garamond" w:eastAsia="Times New Roman" w:hAnsi="Garamond" w:cs="Times New Roman"/>
                <w:kern w:val="0"/>
                <w:sz w:val="4"/>
                <w:szCs w:val="8"/>
                <w14:ligatures w14:val="none"/>
              </w:rPr>
              <w:t xml:space="preserve"> dhe gjurmët </w:t>
            </w:r>
            <w:r w:rsidR="00F54824" w:rsidRPr="002128A6">
              <w:rPr>
                <w:rFonts w:ascii="Garamond" w:eastAsia="Times New Roman" w:hAnsi="Garamond" w:cs="Times New Roman"/>
                <w:kern w:val="0"/>
                <w:sz w:val="4"/>
                <w:szCs w:val="8"/>
                <w14:ligatures w14:val="none"/>
              </w:rPr>
              <w:t>digjital</w:t>
            </w:r>
            <w:r w:rsidRPr="002128A6">
              <w:rPr>
                <w:rFonts w:ascii="Garamond" w:eastAsia="Times New Roman" w:hAnsi="Garamond" w:cs="Times New Roman"/>
                <w:kern w:val="0"/>
                <w:sz w:val="4"/>
                <w:szCs w:val="8"/>
                <w14:ligatures w14:val="none"/>
              </w:rPr>
              <w:t>e komplekse.</w:t>
            </w:r>
          </w:p>
        </w:tc>
        <w:tc>
          <w:tcPr>
            <w:tcW w:w="0" w:type="auto"/>
            <w:tcBorders>
              <w:top w:val="nil"/>
              <w:left w:val="nil"/>
              <w:bottom w:val="single" w:sz="4" w:space="0" w:color="auto"/>
              <w:right w:val="single" w:sz="4" w:space="0" w:color="auto"/>
            </w:tcBorders>
            <w:shd w:val="clear" w:color="000000" w:fill="FFFFFF"/>
            <w:vAlign w:val="center"/>
            <w:hideMark/>
          </w:tcPr>
          <w:p w14:paraId="20B539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91604AS</w:t>
            </w:r>
          </w:p>
        </w:tc>
        <w:tc>
          <w:tcPr>
            <w:tcW w:w="0" w:type="auto"/>
            <w:tcBorders>
              <w:top w:val="nil"/>
              <w:left w:val="nil"/>
              <w:bottom w:val="single" w:sz="4" w:space="0" w:color="auto"/>
              <w:right w:val="single" w:sz="4" w:space="0" w:color="auto"/>
            </w:tcBorders>
            <w:shd w:val="clear" w:color="auto" w:fill="auto"/>
            <w:vAlign w:val="center"/>
            <w:hideMark/>
          </w:tcPr>
          <w:p w14:paraId="6367F2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Policia e Shtetit/Instituti i Policisë Shkencore </w:t>
            </w:r>
          </w:p>
        </w:tc>
        <w:tc>
          <w:tcPr>
            <w:tcW w:w="0" w:type="auto"/>
            <w:tcBorders>
              <w:top w:val="nil"/>
              <w:left w:val="nil"/>
              <w:bottom w:val="single" w:sz="4" w:space="0" w:color="auto"/>
              <w:right w:val="single" w:sz="4" w:space="0" w:color="auto"/>
            </w:tcBorders>
            <w:shd w:val="clear" w:color="auto" w:fill="auto"/>
            <w:vAlign w:val="center"/>
            <w:hideMark/>
          </w:tcPr>
          <w:p w14:paraId="25D74F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FFA</w:t>
            </w:r>
          </w:p>
        </w:tc>
        <w:tc>
          <w:tcPr>
            <w:tcW w:w="0" w:type="auto"/>
            <w:tcBorders>
              <w:top w:val="nil"/>
              <w:left w:val="nil"/>
              <w:bottom w:val="single" w:sz="4" w:space="0" w:color="auto"/>
              <w:right w:val="single" w:sz="4" w:space="0" w:color="auto"/>
            </w:tcBorders>
            <w:shd w:val="clear" w:color="auto" w:fill="auto"/>
            <w:vAlign w:val="center"/>
            <w:hideMark/>
          </w:tcPr>
          <w:p w14:paraId="5014358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325683A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vAlign w:val="center"/>
            <w:hideMark/>
          </w:tcPr>
          <w:p w14:paraId="3C05E1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7,192,835</w:t>
            </w:r>
          </w:p>
        </w:tc>
        <w:tc>
          <w:tcPr>
            <w:tcW w:w="0" w:type="auto"/>
            <w:tcBorders>
              <w:top w:val="nil"/>
              <w:left w:val="nil"/>
              <w:bottom w:val="single" w:sz="4" w:space="0" w:color="auto"/>
              <w:right w:val="single" w:sz="4" w:space="0" w:color="auto"/>
            </w:tcBorders>
            <w:shd w:val="clear" w:color="auto" w:fill="auto"/>
            <w:vAlign w:val="center"/>
            <w:hideMark/>
          </w:tcPr>
          <w:p w14:paraId="48B290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55EE4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7,192,835</w:t>
            </w:r>
          </w:p>
        </w:tc>
        <w:tc>
          <w:tcPr>
            <w:tcW w:w="0" w:type="auto"/>
            <w:tcBorders>
              <w:top w:val="nil"/>
              <w:left w:val="nil"/>
              <w:bottom w:val="single" w:sz="4" w:space="0" w:color="auto"/>
              <w:right w:val="single" w:sz="4" w:space="0" w:color="auto"/>
            </w:tcBorders>
            <w:shd w:val="clear" w:color="000000" w:fill="FFFFFF"/>
            <w:vAlign w:val="center"/>
            <w:hideMark/>
          </w:tcPr>
          <w:p w14:paraId="248060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7,192,835</w:t>
            </w:r>
          </w:p>
        </w:tc>
        <w:tc>
          <w:tcPr>
            <w:tcW w:w="0" w:type="auto"/>
            <w:tcBorders>
              <w:top w:val="nil"/>
              <w:left w:val="nil"/>
              <w:bottom w:val="single" w:sz="4" w:space="0" w:color="auto"/>
              <w:right w:val="single" w:sz="4" w:space="0" w:color="auto"/>
            </w:tcBorders>
            <w:shd w:val="clear" w:color="000000" w:fill="FFFFFF"/>
            <w:vAlign w:val="center"/>
            <w:hideMark/>
          </w:tcPr>
          <w:p w14:paraId="6C091F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auto" w:fill="auto"/>
            <w:noWrap/>
            <w:vAlign w:val="center"/>
            <w:hideMark/>
          </w:tcPr>
          <w:p w14:paraId="34F9A9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1,357,192,835</w:t>
            </w:r>
          </w:p>
        </w:tc>
        <w:tc>
          <w:tcPr>
            <w:tcW w:w="0" w:type="auto"/>
            <w:tcBorders>
              <w:top w:val="nil"/>
              <w:left w:val="nil"/>
              <w:bottom w:val="single" w:sz="4" w:space="0" w:color="auto"/>
              <w:right w:val="single" w:sz="4" w:space="0" w:color="auto"/>
            </w:tcBorders>
            <w:shd w:val="clear" w:color="auto" w:fill="auto"/>
            <w:vAlign w:val="center"/>
            <w:hideMark/>
          </w:tcPr>
          <w:p w14:paraId="68EFAE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7,192,835</w:t>
            </w:r>
          </w:p>
        </w:tc>
        <w:tc>
          <w:tcPr>
            <w:tcW w:w="0" w:type="auto"/>
            <w:tcBorders>
              <w:top w:val="nil"/>
              <w:left w:val="nil"/>
              <w:bottom w:val="single" w:sz="4" w:space="0" w:color="auto"/>
              <w:right w:val="single" w:sz="4" w:space="0" w:color="auto"/>
            </w:tcBorders>
            <w:shd w:val="clear" w:color="000000" w:fill="FFFFFF"/>
            <w:vAlign w:val="center"/>
            <w:hideMark/>
          </w:tcPr>
          <w:p w14:paraId="4E17EE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1,350,000,000</w:t>
            </w:r>
          </w:p>
        </w:tc>
        <w:tc>
          <w:tcPr>
            <w:tcW w:w="0" w:type="auto"/>
            <w:tcBorders>
              <w:top w:val="nil"/>
              <w:left w:val="nil"/>
              <w:bottom w:val="single" w:sz="4" w:space="0" w:color="auto"/>
              <w:right w:val="single" w:sz="4" w:space="0" w:color="auto"/>
            </w:tcBorders>
            <w:shd w:val="clear" w:color="auto" w:fill="auto"/>
            <w:noWrap/>
            <w:vAlign w:val="center"/>
            <w:hideMark/>
          </w:tcPr>
          <w:p w14:paraId="07137A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1,357,192,835</w:t>
            </w:r>
          </w:p>
        </w:tc>
        <w:tc>
          <w:tcPr>
            <w:tcW w:w="0" w:type="auto"/>
            <w:tcBorders>
              <w:top w:val="nil"/>
              <w:left w:val="nil"/>
              <w:bottom w:val="single" w:sz="4" w:space="0" w:color="auto"/>
              <w:right w:val="single" w:sz="4" w:space="0" w:color="auto"/>
            </w:tcBorders>
            <w:shd w:val="clear" w:color="auto" w:fill="auto"/>
            <w:vAlign w:val="center"/>
            <w:hideMark/>
          </w:tcPr>
          <w:p w14:paraId="114F79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7,192,835</w:t>
            </w:r>
          </w:p>
        </w:tc>
        <w:tc>
          <w:tcPr>
            <w:tcW w:w="0" w:type="auto"/>
            <w:tcBorders>
              <w:top w:val="nil"/>
              <w:left w:val="nil"/>
              <w:bottom w:val="single" w:sz="4" w:space="0" w:color="auto"/>
              <w:right w:val="single" w:sz="4" w:space="0" w:color="auto"/>
            </w:tcBorders>
            <w:shd w:val="clear" w:color="auto" w:fill="auto"/>
            <w:vAlign w:val="center"/>
            <w:hideMark/>
          </w:tcPr>
          <w:p w14:paraId="30ECB7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4568B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7,192,835</w:t>
            </w:r>
          </w:p>
        </w:tc>
        <w:tc>
          <w:tcPr>
            <w:tcW w:w="0" w:type="auto"/>
            <w:tcBorders>
              <w:top w:val="nil"/>
              <w:left w:val="nil"/>
              <w:bottom w:val="single" w:sz="4" w:space="0" w:color="auto"/>
              <w:right w:val="single" w:sz="4" w:space="0" w:color="auto"/>
            </w:tcBorders>
            <w:shd w:val="clear" w:color="auto" w:fill="auto"/>
            <w:vAlign w:val="center"/>
            <w:hideMark/>
          </w:tcPr>
          <w:p w14:paraId="07205B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7,192,835</w:t>
            </w:r>
          </w:p>
        </w:tc>
        <w:tc>
          <w:tcPr>
            <w:tcW w:w="0" w:type="auto"/>
            <w:tcBorders>
              <w:top w:val="nil"/>
              <w:left w:val="nil"/>
              <w:bottom w:val="single" w:sz="4" w:space="0" w:color="auto"/>
              <w:right w:val="single" w:sz="4" w:space="0" w:color="auto"/>
            </w:tcBorders>
            <w:shd w:val="clear" w:color="auto" w:fill="auto"/>
            <w:vAlign w:val="center"/>
            <w:hideMark/>
          </w:tcPr>
          <w:p w14:paraId="7F5184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75466B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7,192,835</w:t>
            </w:r>
          </w:p>
        </w:tc>
        <w:tc>
          <w:tcPr>
            <w:tcW w:w="0" w:type="auto"/>
            <w:tcBorders>
              <w:top w:val="nil"/>
              <w:left w:val="nil"/>
              <w:bottom w:val="single" w:sz="4" w:space="0" w:color="auto"/>
              <w:right w:val="single" w:sz="4" w:space="0" w:color="auto"/>
            </w:tcBorders>
            <w:shd w:val="clear" w:color="000000" w:fill="FFFFFF"/>
            <w:vAlign w:val="center"/>
            <w:hideMark/>
          </w:tcPr>
          <w:p w14:paraId="29A68A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35,964,175</w:t>
            </w:r>
          </w:p>
        </w:tc>
        <w:tc>
          <w:tcPr>
            <w:tcW w:w="0" w:type="auto"/>
            <w:tcBorders>
              <w:top w:val="nil"/>
              <w:left w:val="nil"/>
              <w:bottom w:val="single" w:sz="4" w:space="0" w:color="auto"/>
              <w:right w:val="single" w:sz="4" w:space="0" w:color="auto"/>
            </w:tcBorders>
            <w:shd w:val="clear" w:color="000000" w:fill="FFFFFF"/>
            <w:vAlign w:val="center"/>
            <w:hideMark/>
          </w:tcPr>
          <w:p w14:paraId="752048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2,700,000,000</w:t>
            </w:r>
          </w:p>
        </w:tc>
        <w:tc>
          <w:tcPr>
            <w:tcW w:w="0" w:type="auto"/>
            <w:tcBorders>
              <w:top w:val="nil"/>
              <w:left w:val="nil"/>
              <w:bottom w:val="single" w:sz="4" w:space="0" w:color="auto"/>
              <w:right w:val="single" w:sz="4" w:space="0" w:color="auto"/>
            </w:tcBorders>
            <w:shd w:val="clear" w:color="000000" w:fill="FFFFFF"/>
            <w:vAlign w:val="center"/>
            <w:hideMark/>
          </w:tcPr>
          <w:p w14:paraId="729301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2,735,964,175</w:t>
            </w:r>
          </w:p>
        </w:tc>
        <w:tc>
          <w:tcPr>
            <w:tcW w:w="0" w:type="auto"/>
            <w:tcBorders>
              <w:top w:val="nil"/>
              <w:left w:val="nil"/>
              <w:bottom w:val="single" w:sz="4" w:space="0" w:color="auto"/>
              <w:right w:val="single" w:sz="4" w:space="0" w:color="auto"/>
            </w:tcBorders>
            <w:shd w:val="clear" w:color="000000" w:fill="FFFFFF"/>
            <w:noWrap/>
            <w:vAlign w:val="center"/>
            <w:hideMark/>
          </w:tcPr>
          <w:p w14:paraId="0CA9B3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21,578,505</w:t>
            </w:r>
          </w:p>
        </w:tc>
        <w:tc>
          <w:tcPr>
            <w:tcW w:w="0" w:type="auto"/>
            <w:tcBorders>
              <w:top w:val="nil"/>
              <w:left w:val="nil"/>
              <w:bottom w:val="single" w:sz="4" w:space="0" w:color="auto"/>
              <w:right w:val="single" w:sz="4" w:space="0" w:color="auto"/>
            </w:tcBorders>
            <w:shd w:val="clear" w:color="000000" w:fill="FFFFFF"/>
            <w:noWrap/>
            <w:vAlign w:val="center"/>
            <w:hideMark/>
          </w:tcPr>
          <w:p w14:paraId="65616C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8A24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21,578,505</w:t>
            </w:r>
          </w:p>
        </w:tc>
        <w:tc>
          <w:tcPr>
            <w:tcW w:w="0" w:type="auto"/>
            <w:tcBorders>
              <w:top w:val="nil"/>
              <w:left w:val="nil"/>
              <w:bottom w:val="single" w:sz="4" w:space="0" w:color="auto"/>
              <w:right w:val="single" w:sz="4" w:space="0" w:color="auto"/>
            </w:tcBorders>
            <w:shd w:val="clear" w:color="000000" w:fill="FFFFFF"/>
            <w:noWrap/>
            <w:vAlign w:val="center"/>
            <w:hideMark/>
          </w:tcPr>
          <w:p w14:paraId="7FB5D9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14,385,670</w:t>
            </w:r>
          </w:p>
        </w:tc>
        <w:tc>
          <w:tcPr>
            <w:tcW w:w="0" w:type="auto"/>
            <w:tcBorders>
              <w:top w:val="nil"/>
              <w:left w:val="nil"/>
              <w:bottom w:val="single" w:sz="4" w:space="0" w:color="auto"/>
              <w:right w:val="single" w:sz="4" w:space="0" w:color="auto"/>
            </w:tcBorders>
            <w:shd w:val="clear" w:color="000000" w:fill="FFFFFF"/>
            <w:noWrap/>
            <w:vAlign w:val="center"/>
            <w:hideMark/>
          </w:tcPr>
          <w:p w14:paraId="7E5D57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E73A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14,385,670</w:t>
            </w:r>
          </w:p>
        </w:tc>
        <w:tc>
          <w:tcPr>
            <w:tcW w:w="0" w:type="auto"/>
            <w:tcBorders>
              <w:top w:val="nil"/>
              <w:left w:val="nil"/>
              <w:bottom w:val="single" w:sz="4" w:space="0" w:color="auto"/>
              <w:right w:val="single" w:sz="4" w:space="0" w:color="auto"/>
            </w:tcBorders>
            <w:shd w:val="clear" w:color="000000" w:fill="FFFFFF"/>
            <w:vAlign w:val="center"/>
            <w:hideMark/>
          </w:tcPr>
          <w:p w14:paraId="0AC143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4665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E9DAE5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236AE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6D05A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2,700,000,000</w:t>
            </w:r>
          </w:p>
        </w:tc>
      </w:tr>
      <w:tr w:rsidR="00F54824" w:rsidRPr="002128A6" w14:paraId="73C6896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7EBADB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2.5.19</w:t>
            </w:r>
          </w:p>
        </w:tc>
        <w:tc>
          <w:tcPr>
            <w:tcW w:w="0" w:type="auto"/>
            <w:tcBorders>
              <w:top w:val="nil"/>
              <w:left w:val="nil"/>
              <w:bottom w:val="single" w:sz="4" w:space="0" w:color="auto"/>
              <w:right w:val="single" w:sz="4" w:space="0" w:color="auto"/>
            </w:tcBorders>
            <w:shd w:val="clear" w:color="000000" w:fill="FFFFFF"/>
            <w:hideMark/>
          </w:tcPr>
          <w:p w14:paraId="1775206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Hartimi dhe shpërndarja e një udhëzuesi që përditësohet çdo vit, mbi paketimin dhe ruajtjen e provave fizike, problematikat e afateve, si dhe rishikimi i strategjisë për çështjet kriminalistike dhe protokolleve të marrjes në dorëzim, me qëllim që të sigurohet trajtim konsistent i provave dhe forcim i pranueshmërisë dhe besueshmërisë së rezultateve kriminalistike.</w:t>
            </w:r>
          </w:p>
        </w:tc>
        <w:tc>
          <w:tcPr>
            <w:tcW w:w="0" w:type="auto"/>
            <w:tcBorders>
              <w:top w:val="nil"/>
              <w:left w:val="nil"/>
              <w:bottom w:val="single" w:sz="4" w:space="0" w:color="auto"/>
              <w:right w:val="single" w:sz="4" w:space="0" w:color="auto"/>
            </w:tcBorders>
            <w:shd w:val="clear" w:color="000000" w:fill="FFFFFF"/>
            <w:vAlign w:val="center"/>
            <w:hideMark/>
          </w:tcPr>
          <w:p w14:paraId="0368C2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nil"/>
            </w:tcBorders>
            <w:shd w:val="clear" w:color="000000" w:fill="FFFFFF"/>
            <w:vAlign w:val="center"/>
            <w:hideMark/>
          </w:tcPr>
          <w:p w14:paraId="6503DD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Shtetit/Instituti i Policisë Shkencore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46CF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Drejtësisë/IML; FFA</w:t>
            </w:r>
          </w:p>
        </w:tc>
        <w:tc>
          <w:tcPr>
            <w:tcW w:w="0" w:type="auto"/>
            <w:tcBorders>
              <w:top w:val="nil"/>
              <w:left w:val="nil"/>
              <w:bottom w:val="single" w:sz="4" w:space="0" w:color="auto"/>
              <w:right w:val="single" w:sz="4" w:space="0" w:color="auto"/>
            </w:tcBorders>
            <w:shd w:val="clear" w:color="000000" w:fill="FFFFFF"/>
            <w:vAlign w:val="center"/>
            <w:hideMark/>
          </w:tcPr>
          <w:p w14:paraId="17A251A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4923DFE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05209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vAlign w:val="center"/>
            <w:hideMark/>
          </w:tcPr>
          <w:p w14:paraId="6637A0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F0D7B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vAlign w:val="center"/>
            <w:hideMark/>
          </w:tcPr>
          <w:p w14:paraId="4341D1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vAlign w:val="center"/>
            <w:hideMark/>
          </w:tcPr>
          <w:p w14:paraId="4F04C4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FE32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auto" w:fill="auto"/>
            <w:vAlign w:val="center"/>
            <w:hideMark/>
          </w:tcPr>
          <w:p w14:paraId="26E91B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vAlign w:val="center"/>
            <w:hideMark/>
          </w:tcPr>
          <w:p w14:paraId="57D60B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9781B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auto" w:fill="auto"/>
            <w:vAlign w:val="center"/>
            <w:hideMark/>
          </w:tcPr>
          <w:p w14:paraId="1FC439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vAlign w:val="center"/>
            <w:hideMark/>
          </w:tcPr>
          <w:p w14:paraId="45E72C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0A1F5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auto" w:fill="auto"/>
            <w:vAlign w:val="center"/>
            <w:hideMark/>
          </w:tcPr>
          <w:p w14:paraId="7058C2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vAlign w:val="center"/>
            <w:hideMark/>
          </w:tcPr>
          <w:p w14:paraId="182BB9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06D5C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vAlign w:val="center"/>
            <w:hideMark/>
          </w:tcPr>
          <w:p w14:paraId="5E8A4A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w:t>
            </w:r>
          </w:p>
        </w:tc>
        <w:tc>
          <w:tcPr>
            <w:tcW w:w="0" w:type="auto"/>
            <w:tcBorders>
              <w:top w:val="nil"/>
              <w:left w:val="nil"/>
              <w:bottom w:val="single" w:sz="4" w:space="0" w:color="auto"/>
              <w:right w:val="single" w:sz="4" w:space="0" w:color="auto"/>
            </w:tcBorders>
            <w:shd w:val="clear" w:color="000000" w:fill="FFFFFF"/>
            <w:vAlign w:val="center"/>
            <w:hideMark/>
          </w:tcPr>
          <w:p w14:paraId="7A5A98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09C36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w:t>
            </w:r>
          </w:p>
        </w:tc>
        <w:tc>
          <w:tcPr>
            <w:tcW w:w="0" w:type="auto"/>
            <w:tcBorders>
              <w:top w:val="nil"/>
              <w:left w:val="nil"/>
              <w:bottom w:val="single" w:sz="4" w:space="0" w:color="auto"/>
              <w:right w:val="single" w:sz="4" w:space="0" w:color="auto"/>
            </w:tcBorders>
            <w:shd w:val="clear" w:color="000000" w:fill="FFFFFF"/>
            <w:noWrap/>
            <w:vAlign w:val="center"/>
            <w:hideMark/>
          </w:tcPr>
          <w:p w14:paraId="03EADE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w:t>
            </w:r>
          </w:p>
        </w:tc>
        <w:tc>
          <w:tcPr>
            <w:tcW w:w="0" w:type="auto"/>
            <w:tcBorders>
              <w:top w:val="nil"/>
              <w:left w:val="nil"/>
              <w:bottom w:val="single" w:sz="4" w:space="0" w:color="auto"/>
              <w:right w:val="single" w:sz="4" w:space="0" w:color="auto"/>
            </w:tcBorders>
            <w:shd w:val="clear" w:color="000000" w:fill="FFFFFF"/>
            <w:noWrap/>
            <w:vAlign w:val="center"/>
            <w:hideMark/>
          </w:tcPr>
          <w:p w14:paraId="6461B3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33355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w:t>
            </w:r>
          </w:p>
        </w:tc>
        <w:tc>
          <w:tcPr>
            <w:tcW w:w="0" w:type="auto"/>
            <w:tcBorders>
              <w:top w:val="nil"/>
              <w:left w:val="nil"/>
              <w:bottom w:val="single" w:sz="4" w:space="0" w:color="auto"/>
              <w:right w:val="single" w:sz="4" w:space="0" w:color="auto"/>
            </w:tcBorders>
            <w:shd w:val="clear" w:color="000000" w:fill="FFFFFF"/>
            <w:noWrap/>
            <w:vAlign w:val="center"/>
            <w:hideMark/>
          </w:tcPr>
          <w:p w14:paraId="33508A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noWrap/>
            <w:vAlign w:val="center"/>
            <w:hideMark/>
          </w:tcPr>
          <w:p w14:paraId="33DE8F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C282F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vAlign w:val="center"/>
            <w:hideMark/>
          </w:tcPr>
          <w:p w14:paraId="2CA7C7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8AB8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3CD1F4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F353D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8857A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5BF3F2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6177815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hideMark/>
          </w:tcPr>
          <w:p w14:paraId="40AAA474" w14:textId="17C8F09E"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 xml:space="preserve">ja </w:t>
            </w:r>
            <w:r w:rsidRPr="002128A6">
              <w:rPr>
                <w:rFonts w:ascii="Garamond" w:eastAsia="Times New Roman" w:hAnsi="Garamond" w:cs="Times New Roman"/>
                <w:b/>
                <w:bCs/>
                <w:kern w:val="0"/>
                <w:sz w:val="4"/>
                <w:szCs w:val="8"/>
                <w14:ligatures w14:val="none"/>
              </w:rPr>
              <w:t>Objektivi specifik 2.5</w:t>
            </w:r>
          </w:p>
        </w:tc>
        <w:tc>
          <w:tcPr>
            <w:tcW w:w="0" w:type="auto"/>
            <w:tcBorders>
              <w:top w:val="nil"/>
              <w:left w:val="nil"/>
              <w:bottom w:val="single" w:sz="4" w:space="0" w:color="auto"/>
              <w:right w:val="single" w:sz="4" w:space="0" w:color="auto"/>
            </w:tcBorders>
            <w:shd w:val="clear" w:color="000000" w:fill="5B9BD5"/>
            <w:vAlign w:val="center"/>
            <w:hideMark/>
          </w:tcPr>
          <w:p w14:paraId="6D73BD8B"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C3B81A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1EA66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878519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AE022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3A5897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38,517,153</w:t>
            </w:r>
          </w:p>
        </w:tc>
        <w:tc>
          <w:tcPr>
            <w:tcW w:w="0" w:type="auto"/>
            <w:tcBorders>
              <w:top w:val="nil"/>
              <w:left w:val="nil"/>
              <w:bottom w:val="single" w:sz="4" w:space="0" w:color="auto"/>
              <w:right w:val="single" w:sz="4" w:space="0" w:color="auto"/>
            </w:tcBorders>
            <w:shd w:val="clear" w:color="000000" w:fill="5B9BD5"/>
            <w:vAlign w:val="center"/>
            <w:hideMark/>
          </w:tcPr>
          <w:p w14:paraId="409781A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547,180,719</w:t>
            </w:r>
          </w:p>
        </w:tc>
        <w:tc>
          <w:tcPr>
            <w:tcW w:w="0" w:type="auto"/>
            <w:tcBorders>
              <w:top w:val="nil"/>
              <w:left w:val="nil"/>
              <w:bottom w:val="single" w:sz="4" w:space="0" w:color="auto"/>
              <w:right w:val="single" w:sz="4" w:space="0" w:color="auto"/>
            </w:tcBorders>
            <w:shd w:val="clear" w:color="000000" w:fill="5B9BD5"/>
            <w:vAlign w:val="center"/>
            <w:hideMark/>
          </w:tcPr>
          <w:p w14:paraId="0F54F0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585,697,872</w:t>
            </w:r>
          </w:p>
        </w:tc>
        <w:tc>
          <w:tcPr>
            <w:tcW w:w="0" w:type="auto"/>
            <w:tcBorders>
              <w:top w:val="nil"/>
              <w:left w:val="nil"/>
              <w:bottom w:val="single" w:sz="4" w:space="0" w:color="auto"/>
              <w:right w:val="single" w:sz="4" w:space="0" w:color="auto"/>
            </w:tcBorders>
            <w:shd w:val="clear" w:color="000000" w:fill="5B9BD5"/>
            <w:vAlign w:val="center"/>
            <w:hideMark/>
          </w:tcPr>
          <w:p w14:paraId="48A6D73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20,453,082</w:t>
            </w:r>
          </w:p>
        </w:tc>
        <w:tc>
          <w:tcPr>
            <w:tcW w:w="0" w:type="auto"/>
            <w:tcBorders>
              <w:top w:val="nil"/>
              <w:left w:val="nil"/>
              <w:bottom w:val="single" w:sz="4" w:space="0" w:color="auto"/>
              <w:right w:val="single" w:sz="4" w:space="0" w:color="auto"/>
            </w:tcBorders>
            <w:shd w:val="clear" w:color="000000" w:fill="5B9BD5"/>
            <w:vAlign w:val="center"/>
            <w:hideMark/>
          </w:tcPr>
          <w:p w14:paraId="439B44A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3,079,946,719</w:t>
            </w:r>
          </w:p>
        </w:tc>
        <w:tc>
          <w:tcPr>
            <w:tcW w:w="0" w:type="auto"/>
            <w:tcBorders>
              <w:top w:val="nil"/>
              <w:left w:val="nil"/>
              <w:bottom w:val="single" w:sz="4" w:space="0" w:color="auto"/>
              <w:right w:val="single" w:sz="4" w:space="0" w:color="auto"/>
            </w:tcBorders>
            <w:shd w:val="clear" w:color="000000" w:fill="5B9BD5"/>
            <w:vAlign w:val="center"/>
            <w:hideMark/>
          </w:tcPr>
          <w:p w14:paraId="36A5952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3,100,399,801</w:t>
            </w:r>
          </w:p>
        </w:tc>
        <w:tc>
          <w:tcPr>
            <w:tcW w:w="0" w:type="auto"/>
            <w:tcBorders>
              <w:top w:val="nil"/>
              <w:left w:val="nil"/>
              <w:bottom w:val="single" w:sz="4" w:space="0" w:color="auto"/>
              <w:right w:val="single" w:sz="4" w:space="0" w:color="auto"/>
            </w:tcBorders>
            <w:shd w:val="clear" w:color="000000" w:fill="5B9BD5"/>
            <w:vAlign w:val="center"/>
            <w:hideMark/>
          </w:tcPr>
          <w:p w14:paraId="0958EFB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20,453,082</w:t>
            </w:r>
          </w:p>
        </w:tc>
        <w:tc>
          <w:tcPr>
            <w:tcW w:w="0" w:type="auto"/>
            <w:tcBorders>
              <w:top w:val="nil"/>
              <w:left w:val="nil"/>
              <w:bottom w:val="single" w:sz="4" w:space="0" w:color="auto"/>
              <w:right w:val="single" w:sz="4" w:space="0" w:color="auto"/>
            </w:tcBorders>
            <w:shd w:val="clear" w:color="000000" w:fill="5B9BD5"/>
            <w:vAlign w:val="center"/>
            <w:hideMark/>
          </w:tcPr>
          <w:p w14:paraId="33F1D9F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2,787,120,000</w:t>
            </w:r>
          </w:p>
        </w:tc>
        <w:tc>
          <w:tcPr>
            <w:tcW w:w="0" w:type="auto"/>
            <w:tcBorders>
              <w:top w:val="nil"/>
              <w:left w:val="nil"/>
              <w:bottom w:val="single" w:sz="4" w:space="0" w:color="auto"/>
              <w:right w:val="single" w:sz="4" w:space="0" w:color="auto"/>
            </w:tcBorders>
            <w:shd w:val="clear" w:color="000000" w:fill="5B9BD5"/>
            <w:vAlign w:val="center"/>
            <w:hideMark/>
          </w:tcPr>
          <w:p w14:paraId="604383F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2,807,573,082</w:t>
            </w:r>
          </w:p>
        </w:tc>
        <w:tc>
          <w:tcPr>
            <w:tcW w:w="0" w:type="auto"/>
            <w:tcBorders>
              <w:top w:val="nil"/>
              <w:left w:val="nil"/>
              <w:bottom w:val="single" w:sz="4" w:space="0" w:color="auto"/>
              <w:right w:val="single" w:sz="4" w:space="0" w:color="auto"/>
            </w:tcBorders>
            <w:shd w:val="clear" w:color="000000" w:fill="5B9BD5"/>
            <w:vAlign w:val="center"/>
            <w:hideMark/>
          </w:tcPr>
          <w:p w14:paraId="192A6D2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20,453,082</w:t>
            </w:r>
          </w:p>
        </w:tc>
        <w:tc>
          <w:tcPr>
            <w:tcW w:w="0" w:type="auto"/>
            <w:tcBorders>
              <w:top w:val="nil"/>
              <w:left w:val="nil"/>
              <w:bottom w:val="single" w:sz="4" w:space="0" w:color="auto"/>
              <w:right w:val="single" w:sz="4" w:space="0" w:color="auto"/>
            </w:tcBorders>
            <w:shd w:val="clear" w:color="000000" w:fill="5B9BD5"/>
            <w:vAlign w:val="center"/>
            <w:hideMark/>
          </w:tcPr>
          <w:p w14:paraId="0BAA438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1,437,120,000</w:t>
            </w:r>
          </w:p>
        </w:tc>
        <w:tc>
          <w:tcPr>
            <w:tcW w:w="0" w:type="auto"/>
            <w:tcBorders>
              <w:top w:val="nil"/>
              <w:left w:val="nil"/>
              <w:bottom w:val="single" w:sz="4" w:space="0" w:color="auto"/>
              <w:right w:val="single" w:sz="4" w:space="0" w:color="auto"/>
            </w:tcBorders>
            <w:shd w:val="clear" w:color="000000" w:fill="5B9BD5"/>
            <w:vAlign w:val="center"/>
            <w:hideMark/>
          </w:tcPr>
          <w:p w14:paraId="1DECEA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1,457,573,082</w:t>
            </w:r>
          </w:p>
        </w:tc>
        <w:tc>
          <w:tcPr>
            <w:tcW w:w="0" w:type="auto"/>
            <w:tcBorders>
              <w:top w:val="nil"/>
              <w:left w:val="nil"/>
              <w:bottom w:val="single" w:sz="4" w:space="0" w:color="auto"/>
              <w:right w:val="single" w:sz="4" w:space="0" w:color="auto"/>
            </w:tcBorders>
            <w:shd w:val="clear" w:color="000000" w:fill="5B9BD5"/>
            <w:vAlign w:val="center"/>
            <w:hideMark/>
          </w:tcPr>
          <w:p w14:paraId="24E68E6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20,453,082</w:t>
            </w:r>
          </w:p>
        </w:tc>
        <w:tc>
          <w:tcPr>
            <w:tcW w:w="0" w:type="auto"/>
            <w:tcBorders>
              <w:top w:val="nil"/>
              <w:left w:val="nil"/>
              <w:bottom w:val="single" w:sz="4" w:space="0" w:color="auto"/>
              <w:right w:val="single" w:sz="4" w:space="0" w:color="auto"/>
            </w:tcBorders>
            <w:shd w:val="clear" w:color="000000" w:fill="5B9BD5"/>
            <w:vAlign w:val="center"/>
            <w:hideMark/>
          </w:tcPr>
          <w:p w14:paraId="3BF0EE5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1,437,120,000</w:t>
            </w:r>
          </w:p>
        </w:tc>
        <w:tc>
          <w:tcPr>
            <w:tcW w:w="0" w:type="auto"/>
            <w:tcBorders>
              <w:top w:val="nil"/>
              <w:left w:val="nil"/>
              <w:bottom w:val="single" w:sz="4" w:space="0" w:color="auto"/>
              <w:right w:val="single" w:sz="4" w:space="0" w:color="auto"/>
            </w:tcBorders>
            <w:shd w:val="clear" w:color="000000" w:fill="5B9BD5"/>
            <w:vAlign w:val="center"/>
            <w:hideMark/>
          </w:tcPr>
          <w:p w14:paraId="24F5386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1,457,573,082</w:t>
            </w:r>
          </w:p>
        </w:tc>
        <w:tc>
          <w:tcPr>
            <w:tcW w:w="0" w:type="auto"/>
            <w:tcBorders>
              <w:top w:val="nil"/>
              <w:left w:val="nil"/>
              <w:bottom w:val="single" w:sz="4" w:space="0" w:color="auto"/>
              <w:right w:val="single" w:sz="4" w:space="0" w:color="auto"/>
            </w:tcBorders>
            <w:shd w:val="clear" w:color="000000" w:fill="5B9BD5"/>
            <w:vAlign w:val="center"/>
            <w:hideMark/>
          </w:tcPr>
          <w:p w14:paraId="6E82BB3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120,329,481</w:t>
            </w:r>
          </w:p>
        </w:tc>
        <w:tc>
          <w:tcPr>
            <w:tcW w:w="0" w:type="auto"/>
            <w:tcBorders>
              <w:top w:val="nil"/>
              <w:left w:val="nil"/>
              <w:bottom w:val="single" w:sz="4" w:space="0" w:color="auto"/>
              <w:right w:val="single" w:sz="4" w:space="0" w:color="auto"/>
            </w:tcBorders>
            <w:shd w:val="clear" w:color="000000" w:fill="5B9BD5"/>
            <w:vAlign w:val="center"/>
            <w:hideMark/>
          </w:tcPr>
          <w:p w14:paraId="2854EBF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6,414,247,438</w:t>
            </w:r>
          </w:p>
        </w:tc>
        <w:tc>
          <w:tcPr>
            <w:tcW w:w="0" w:type="auto"/>
            <w:tcBorders>
              <w:top w:val="nil"/>
              <w:left w:val="nil"/>
              <w:bottom w:val="single" w:sz="4" w:space="0" w:color="auto"/>
              <w:right w:val="single" w:sz="4" w:space="0" w:color="auto"/>
            </w:tcBorders>
            <w:shd w:val="clear" w:color="000000" w:fill="5B9BD5"/>
            <w:vAlign w:val="center"/>
            <w:hideMark/>
          </w:tcPr>
          <w:p w14:paraId="5CEE66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6,534,576,919</w:t>
            </w:r>
          </w:p>
        </w:tc>
        <w:tc>
          <w:tcPr>
            <w:tcW w:w="0" w:type="auto"/>
            <w:tcBorders>
              <w:top w:val="nil"/>
              <w:left w:val="nil"/>
              <w:bottom w:val="single" w:sz="4" w:space="0" w:color="auto"/>
              <w:right w:val="single" w:sz="4" w:space="0" w:color="auto"/>
            </w:tcBorders>
            <w:shd w:val="clear" w:color="000000" w:fill="5B9BD5"/>
            <w:vAlign w:val="center"/>
            <w:hideMark/>
          </w:tcPr>
          <w:p w14:paraId="40D8BCC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79,423,317</w:t>
            </w:r>
          </w:p>
        </w:tc>
        <w:tc>
          <w:tcPr>
            <w:tcW w:w="0" w:type="auto"/>
            <w:tcBorders>
              <w:top w:val="nil"/>
              <w:left w:val="nil"/>
              <w:bottom w:val="single" w:sz="4" w:space="0" w:color="auto"/>
              <w:right w:val="single" w:sz="4" w:space="0" w:color="auto"/>
            </w:tcBorders>
            <w:shd w:val="clear" w:color="000000" w:fill="5B9BD5"/>
            <w:vAlign w:val="center"/>
            <w:hideMark/>
          </w:tcPr>
          <w:p w14:paraId="55CEAF0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652,493,438</w:t>
            </w:r>
          </w:p>
        </w:tc>
        <w:tc>
          <w:tcPr>
            <w:tcW w:w="0" w:type="auto"/>
            <w:tcBorders>
              <w:top w:val="nil"/>
              <w:left w:val="nil"/>
              <w:bottom w:val="single" w:sz="4" w:space="0" w:color="auto"/>
              <w:right w:val="single" w:sz="4" w:space="0" w:color="auto"/>
            </w:tcBorders>
            <w:shd w:val="clear" w:color="000000" w:fill="5B9BD5"/>
            <w:vAlign w:val="center"/>
            <w:hideMark/>
          </w:tcPr>
          <w:p w14:paraId="751C803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731,916,755</w:t>
            </w:r>
          </w:p>
        </w:tc>
        <w:tc>
          <w:tcPr>
            <w:tcW w:w="0" w:type="auto"/>
            <w:tcBorders>
              <w:top w:val="nil"/>
              <w:left w:val="nil"/>
              <w:bottom w:val="single" w:sz="4" w:space="0" w:color="auto"/>
              <w:right w:val="single" w:sz="4" w:space="0" w:color="auto"/>
            </w:tcBorders>
            <w:shd w:val="clear" w:color="000000" w:fill="5B9BD5"/>
            <w:vAlign w:val="center"/>
            <w:hideMark/>
          </w:tcPr>
          <w:p w14:paraId="6170C44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40,906,164</w:t>
            </w:r>
          </w:p>
        </w:tc>
        <w:tc>
          <w:tcPr>
            <w:tcW w:w="0" w:type="auto"/>
            <w:tcBorders>
              <w:top w:val="nil"/>
              <w:left w:val="nil"/>
              <w:bottom w:val="single" w:sz="4" w:space="0" w:color="auto"/>
              <w:right w:val="single" w:sz="4" w:space="0" w:color="auto"/>
            </w:tcBorders>
            <w:shd w:val="clear" w:color="000000" w:fill="5B9BD5"/>
            <w:vAlign w:val="center"/>
            <w:hideMark/>
          </w:tcPr>
          <w:p w14:paraId="3E26DE7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2,700,000,000</w:t>
            </w:r>
          </w:p>
        </w:tc>
        <w:tc>
          <w:tcPr>
            <w:tcW w:w="0" w:type="auto"/>
            <w:tcBorders>
              <w:top w:val="nil"/>
              <w:left w:val="nil"/>
              <w:bottom w:val="single" w:sz="4" w:space="0" w:color="auto"/>
              <w:right w:val="single" w:sz="4" w:space="0" w:color="auto"/>
            </w:tcBorders>
            <w:shd w:val="clear" w:color="000000" w:fill="5B9BD5"/>
            <w:vAlign w:val="center"/>
            <w:hideMark/>
          </w:tcPr>
          <w:p w14:paraId="7430582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2,740,906,164</w:t>
            </w:r>
          </w:p>
        </w:tc>
        <w:tc>
          <w:tcPr>
            <w:tcW w:w="0" w:type="auto"/>
            <w:tcBorders>
              <w:top w:val="nil"/>
              <w:left w:val="nil"/>
              <w:bottom w:val="single" w:sz="4" w:space="0" w:color="auto"/>
              <w:right w:val="single" w:sz="4" w:space="0" w:color="auto"/>
            </w:tcBorders>
            <w:shd w:val="clear" w:color="000000" w:fill="5B9BD5"/>
            <w:vAlign w:val="center"/>
            <w:hideMark/>
          </w:tcPr>
          <w:p w14:paraId="7DB3F9A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C7E9D1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69,200,000</w:t>
            </w:r>
          </w:p>
        </w:tc>
        <w:tc>
          <w:tcPr>
            <w:tcW w:w="0" w:type="auto"/>
            <w:tcBorders>
              <w:top w:val="nil"/>
              <w:left w:val="nil"/>
              <w:bottom w:val="single" w:sz="4" w:space="0" w:color="auto"/>
              <w:right w:val="single" w:sz="4" w:space="0" w:color="auto"/>
            </w:tcBorders>
            <w:shd w:val="clear" w:color="000000" w:fill="5B9BD5"/>
            <w:vAlign w:val="center"/>
            <w:hideMark/>
          </w:tcPr>
          <w:p w14:paraId="205D789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CE6F3D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69,200,000</w:t>
            </w:r>
          </w:p>
        </w:tc>
        <w:tc>
          <w:tcPr>
            <w:tcW w:w="0" w:type="auto"/>
            <w:tcBorders>
              <w:top w:val="nil"/>
              <w:left w:val="nil"/>
              <w:bottom w:val="single" w:sz="4" w:space="0" w:color="auto"/>
              <w:right w:val="single" w:sz="4" w:space="0" w:color="auto"/>
            </w:tcBorders>
            <w:shd w:val="clear" w:color="000000" w:fill="5B9BD5"/>
            <w:vAlign w:val="center"/>
            <w:hideMark/>
          </w:tcPr>
          <w:p w14:paraId="0326776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2,992,554,000</w:t>
            </w:r>
          </w:p>
        </w:tc>
      </w:tr>
      <w:tr w:rsidR="00F54824" w:rsidRPr="002128A6" w14:paraId="33C12D2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7B7CD69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w:t>
            </w:r>
          </w:p>
        </w:tc>
        <w:tc>
          <w:tcPr>
            <w:tcW w:w="0" w:type="auto"/>
            <w:tcBorders>
              <w:top w:val="nil"/>
              <w:left w:val="nil"/>
              <w:bottom w:val="single" w:sz="4" w:space="0" w:color="auto"/>
              <w:right w:val="single" w:sz="4" w:space="0" w:color="auto"/>
            </w:tcBorders>
            <w:shd w:val="clear" w:color="000000" w:fill="FCE4D6"/>
            <w:hideMark/>
          </w:tcPr>
          <w:p w14:paraId="7F40DE1A"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Rritja e efektivitetit në gjurmimin, ngrirjen, konfiskimin dhe ripërdorimin e aseteve, duke hequr sistematikisht të ardhurat kriminale dhe duke i riinvestuar për dobi publike</w:t>
            </w:r>
          </w:p>
        </w:tc>
        <w:tc>
          <w:tcPr>
            <w:tcW w:w="0" w:type="auto"/>
            <w:tcBorders>
              <w:top w:val="nil"/>
              <w:left w:val="nil"/>
              <w:bottom w:val="single" w:sz="4" w:space="0" w:color="auto"/>
              <w:right w:val="single" w:sz="4" w:space="0" w:color="auto"/>
            </w:tcBorders>
            <w:shd w:val="clear" w:color="000000" w:fill="FFFFFF"/>
            <w:vAlign w:val="center"/>
            <w:hideMark/>
          </w:tcPr>
          <w:p w14:paraId="769592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32F24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29D55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8EC031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13E98B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97664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DF1B4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CA8B7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F9C41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88955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79236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F4C98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87AE5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DBB07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B12D5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C9C58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4FAA8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F1BEC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D5B76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8CC32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CC0F6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1CFD6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D6E36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81B7F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2031D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C885C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64718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941F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D8D39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DD752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87993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B1A4E3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B383B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174100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54BE48D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A85943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2.6.1</w:t>
            </w:r>
          </w:p>
        </w:tc>
        <w:tc>
          <w:tcPr>
            <w:tcW w:w="0" w:type="auto"/>
            <w:tcBorders>
              <w:top w:val="nil"/>
              <w:left w:val="nil"/>
              <w:bottom w:val="single" w:sz="4" w:space="0" w:color="auto"/>
              <w:right w:val="single" w:sz="4" w:space="0" w:color="auto"/>
            </w:tcBorders>
            <w:shd w:val="clear" w:color="000000" w:fill="FFFFFF"/>
            <w:vAlign w:val="center"/>
            <w:hideMark/>
          </w:tcPr>
          <w:p w14:paraId="6192F41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Miratimi i akteve nënligjore për zbatimin e Ligjit nr. 44/2025 “Për Zyrën e Rikuperimit të Aseteve, duke përcaktuar organizimin e brendshëm, mandatet, flukset e punës dhe procedurat e bashkëpunimit të Zyrës së Rikuperimit të Aseteve, me qëllim përcaktimin e përgjegjësive të qarta operacionale dhe performancës efektive të funksioneve të gjurmimit dhe rikuperimit të aseteve.</w:t>
            </w:r>
          </w:p>
        </w:tc>
        <w:tc>
          <w:tcPr>
            <w:tcW w:w="0" w:type="auto"/>
            <w:tcBorders>
              <w:top w:val="nil"/>
              <w:left w:val="nil"/>
              <w:bottom w:val="single" w:sz="4" w:space="0" w:color="auto"/>
              <w:right w:val="single" w:sz="4" w:space="0" w:color="auto"/>
            </w:tcBorders>
            <w:shd w:val="clear" w:color="000000" w:fill="FFFFFF"/>
            <w:vAlign w:val="center"/>
            <w:hideMark/>
          </w:tcPr>
          <w:p w14:paraId="5DAA08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single" w:sz="4" w:space="0" w:color="auto"/>
            </w:tcBorders>
            <w:shd w:val="clear" w:color="000000" w:fill="FFFFFF"/>
            <w:vAlign w:val="center"/>
            <w:hideMark/>
          </w:tcPr>
          <w:p w14:paraId="5F26CE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Policia e Shtetit </w:t>
            </w:r>
          </w:p>
        </w:tc>
        <w:tc>
          <w:tcPr>
            <w:tcW w:w="0" w:type="auto"/>
            <w:tcBorders>
              <w:top w:val="nil"/>
              <w:left w:val="nil"/>
              <w:bottom w:val="single" w:sz="4" w:space="0" w:color="auto"/>
              <w:right w:val="nil"/>
            </w:tcBorders>
            <w:shd w:val="clear" w:color="000000" w:fill="FFFFFF"/>
            <w:vAlign w:val="center"/>
            <w:hideMark/>
          </w:tcPr>
          <w:p w14:paraId="6EDD93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5722AD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47E250F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04841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7F0F94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3B767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7DFF8E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500AEF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E9DD4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17FB79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2560AB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89FAF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711235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629E9C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E4C3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582998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4EDE25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4FB8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7C5DF7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43,837,500</w:t>
            </w:r>
          </w:p>
        </w:tc>
        <w:tc>
          <w:tcPr>
            <w:tcW w:w="0" w:type="auto"/>
            <w:tcBorders>
              <w:top w:val="nil"/>
              <w:left w:val="nil"/>
              <w:bottom w:val="single" w:sz="4" w:space="0" w:color="auto"/>
              <w:right w:val="single" w:sz="4" w:space="0" w:color="auto"/>
            </w:tcBorders>
            <w:shd w:val="clear" w:color="000000" w:fill="FFFFFF"/>
            <w:vAlign w:val="center"/>
            <w:hideMark/>
          </w:tcPr>
          <w:p w14:paraId="3BE622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6C403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43,837,500</w:t>
            </w:r>
          </w:p>
        </w:tc>
        <w:tc>
          <w:tcPr>
            <w:tcW w:w="0" w:type="auto"/>
            <w:tcBorders>
              <w:top w:val="nil"/>
              <w:left w:val="nil"/>
              <w:bottom w:val="single" w:sz="4" w:space="0" w:color="auto"/>
              <w:right w:val="single" w:sz="4" w:space="0" w:color="auto"/>
            </w:tcBorders>
            <w:shd w:val="clear" w:color="000000" w:fill="FFFFFF"/>
            <w:noWrap/>
            <w:vAlign w:val="center"/>
            <w:hideMark/>
          </w:tcPr>
          <w:p w14:paraId="28B88D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26,302,500</w:t>
            </w:r>
          </w:p>
        </w:tc>
        <w:tc>
          <w:tcPr>
            <w:tcW w:w="0" w:type="auto"/>
            <w:tcBorders>
              <w:top w:val="nil"/>
              <w:left w:val="nil"/>
              <w:bottom w:val="single" w:sz="4" w:space="0" w:color="auto"/>
              <w:right w:val="single" w:sz="4" w:space="0" w:color="auto"/>
            </w:tcBorders>
            <w:shd w:val="clear" w:color="000000" w:fill="FFFFFF"/>
            <w:noWrap/>
            <w:vAlign w:val="center"/>
            <w:hideMark/>
          </w:tcPr>
          <w:p w14:paraId="4B12E4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CB34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26,302,500</w:t>
            </w:r>
          </w:p>
        </w:tc>
        <w:tc>
          <w:tcPr>
            <w:tcW w:w="0" w:type="auto"/>
            <w:tcBorders>
              <w:top w:val="nil"/>
              <w:left w:val="nil"/>
              <w:bottom w:val="single" w:sz="4" w:space="0" w:color="auto"/>
              <w:right w:val="single" w:sz="4" w:space="0" w:color="auto"/>
            </w:tcBorders>
            <w:shd w:val="clear" w:color="000000" w:fill="FFFFFF"/>
            <w:noWrap/>
            <w:vAlign w:val="center"/>
            <w:hideMark/>
          </w:tcPr>
          <w:p w14:paraId="4499D2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17,535,000</w:t>
            </w:r>
          </w:p>
        </w:tc>
        <w:tc>
          <w:tcPr>
            <w:tcW w:w="0" w:type="auto"/>
            <w:tcBorders>
              <w:top w:val="nil"/>
              <w:left w:val="nil"/>
              <w:bottom w:val="single" w:sz="4" w:space="0" w:color="auto"/>
              <w:right w:val="single" w:sz="4" w:space="0" w:color="auto"/>
            </w:tcBorders>
            <w:shd w:val="clear" w:color="000000" w:fill="FFFFFF"/>
            <w:noWrap/>
            <w:vAlign w:val="center"/>
            <w:hideMark/>
          </w:tcPr>
          <w:p w14:paraId="5C28E1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7696F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17,535,000</w:t>
            </w:r>
          </w:p>
        </w:tc>
        <w:tc>
          <w:tcPr>
            <w:tcW w:w="0" w:type="auto"/>
            <w:tcBorders>
              <w:top w:val="nil"/>
              <w:left w:val="nil"/>
              <w:bottom w:val="single" w:sz="4" w:space="0" w:color="auto"/>
              <w:right w:val="single" w:sz="4" w:space="0" w:color="auto"/>
            </w:tcBorders>
            <w:shd w:val="clear" w:color="000000" w:fill="FFFFFF"/>
            <w:vAlign w:val="center"/>
            <w:hideMark/>
          </w:tcPr>
          <w:p w14:paraId="12D4FE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3C7B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B5C146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6889B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1CBDB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717ED2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37D89D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2.6.2</w:t>
            </w:r>
          </w:p>
        </w:tc>
        <w:tc>
          <w:tcPr>
            <w:tcW w:w="0" w:type="auto"/>
            <w:tcBorders>
              <w:top w:val="nil"/>
              <w:left w:val="nil"/>
              <w:bottom w:val="single" w:sz="4" w:space="0" w:color="auto"/>
              <w:right w:val="single" w:sz="4" w:space="0" w:color="auto"/>
            </w:tcBorders>
            <w:shd w:val="clear" w:color="000000" w:fill="FFFFFF"/>
            <w:vAlign w:val="center"/>
            <w:hideMark/>
          </w:tcPr>
          <w:p w14:paraId="021E86B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Pjesëmarrja aktive e Zyrës së Rikuperimit të Aseteve në shkëmbimin e informacionit brenda Rrjetit Evropian të Zyrave të Rikuperimit të Aseteve, rrjetit CARIN, si dhe në platformat rajonale/ndërkombëtare të rikuperimit të aseteve, përfshirë përmes përgjigjeve në kohë ndaj kërkesave, shpërndarjes proaktive të informacionit, pjesëmarrjes në takime dhe trajnime, dhe ndjekjes së koordinuar të veprimeve të gjurmimit të aseteve.</w:t>
            </w:r>
          </w:p>
        </w:tc>
        <w:tc>
          <w:tcPr>
            <w:tcW w:w="0" w:type="auto"/>
            <w:tcBorders>
              <w:top w:val="nil"/>
              <w:left w:val="nil"/>
              <w:bottom w:val="single" w:sz="4" w:space="0" w:color="auto"/>
              <w:right w:val="single" w:sz="4" w:space="0" w:color="auto"/>
            </w:tcBorders>
            <w:shd w:val="clear" w:color="000000" w:fill="FFFFFF"/>
            <w:vAlign w:val="center"/>
            <w:hideMark/>
          </w:tcPr>
          <w:p w14:paraId="682364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single" w:sz="4" w:space="0" w:color="auto"/>
            </w:tcBorders>
            <w:shd w:val="clear" w:color="000000" w:fill="FFFFFF"/>
            <w:vAlign w:val="center"/>
            <w:hideMark/>
          </w:tcPr>
          <w:p w14:paraId="30C75E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Policia e Shtetit </w:t>
            </w:r>
          </w:p>
        </w:tc>
        <w:tc>
          <w:tcPr>
            <w:tcW w:w="0" w:type="auto"/>
            <w:tcBorders>
              <w:top w:val="nil"/>
              <w:left w:val="nil"/>
              <w:bottom w:val="single" w:sz="4" w:space="0" w:color="auto"/>
              <w:right w:val="nil"/>
            </w:tcBorders>
            <w:shd w:val="clear" w:color="000000" w:fill="FFFFFF"/>
            <w:vAlign w:val="center"/>
            <w:hideMark/>
          </w:tcPr>
          <w:p w14:paraId="6B7C91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D4483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EE3C9F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3C8BE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474071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E4700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54E50F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728AD2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B2AF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2BFC53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0A24BA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21CE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320009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4669B0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9447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5689E2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02B335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00992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8,767,500</w:t>
            </w:r>
          </w:p>
        </w:tc>
        <w:tc>
          <w:tcPr>
            <w:tcW w:w="0" w:type="auto"/>
            <w:tcBorders>
              <w:top w:val="nil"/>
              <w:left w:val="nil"/>
              <w:bottom w:val="single" w:sz="4" w:space="0" w:color="auto"/>
              <w:right w:val="single" w:sz="4" w:space="0" w:color="auto"/>
            </w:tcBorders>
            <w:shd w:val="clear" w:color="000000" w:fill="FFFFFF"/>
            <w:vAlign w:val="center"/>
            <w:hideMark/>
          </w:tcPr>
          <w:p w14:paraId="7A47C5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43,837,500</w:t>
            </w:r>
          </w:p>
        </w:tc>
        <w:tc>
          <w:tcPr>
            <w:tcW w:w="0" w:type="auto"/>
            <w:tcBorders>
              <w:top w:val="nil"/>
              <w:left w:val="nil"/>
              <w:bottom w:val="single" w:sz="4" w:space="0" w:color="auto"/>
              <w:right w:val="single" w:sz="4" w:space="0" w:color="auto"/>
            </w:tcBorders>
            <w:shd w:val="clear" w:color="000000" w:fill="FFFFFF"/>
            <w:vAlign w:val="center"/>
            <w:hideMark/>
          </w:tcPr>
          <w:p w14:paraId="2E7A2C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01449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43,837,500</w:t>
            </w:r>
          </w:p>
        </w:tc>
        <w:tc>
          <w:tcPr>
            <w:tcW w:w="0" w:type="auto"/>
            <w:tcBorders>
              <w:top w:val="nil"/>
              <w:left w:val="nil"/>
              <w:bottom w:val="single" w:sz="4" w:space="0" w:color="auto"/>
              <w:right w:val="single" w:sz="4" w:space="0" w:color="auto"/>
            </w:tcBorders>
            <w:shd w:val="clear" w:color="000000" w:fill="FFFFFF"/>
            <w:noWrap/>
            <w:vAlign w:val="center"/>
            <w:hideMark/>
          </w:tcPr>
          <w:p w14:paraId="454616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26,302,500</w:t>
            </w:r>
          </w:p>
        </w:tc>
        <w:tc>
          <w:tcPr>
            <w:tcW w:w="0" w:type="auto"/>
            <w:tcBorders>
              <w:top w:val="nil"/>
              <w:left w:val="nil"/>
              <w:bottom w:val="single" w:sz="4" w:space="0" w:color="auto"/>
              <w:right w:val="single" w:sz="4" w:space="0" w:color="auto"/>
            </w:tcBorders>
            <w:shd w:val="clear" w:color="000000" w:fill="FFFFFF"/>
            <w:noWrap/>
            <w:vAlign w:val="center"/>
            <w:hideMark/>
          </w:tcPr>
          <w:p w14:paraId="2CC72C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FF7D3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26,302,500</w:t>
            </w:r>
          </w:p>
        </w:tc>
        <w:tc>
          <w:tcPr>
            <w:tcW w:w="0" w:type="auto"/>
            <w:tcBorders>
              <w:top w:val="nil"/>
              <w:left w:val="nil"/>
              <w:bottom w:val="single" w:sz="4" w:space="0" w:color="auto"/>
              <w:right w:val="single" w:sz="4" w:space="0" w:color="auto"/>
            </w:tcBorders>
            <w:shd w:val="clear" w:color="000000" w:fill="FFFFFF"/>
            <w:noWrap/>
            <w:vAlign w:val="center"/>
            <w:hideMark/>
          </w:tcPr>
          <w:p w14:paraId="116C80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17,535,000</w:t>
            </w:r>
          </w:p>
        </w:tc>
        <w:tc>
          <w:tcPr>
            <w:tcW w:w="0" w:type="auto"/>
            <w:tcBorders>
              <w:top w:val="nil"/>
              <w:left w:val="nil"/>
              <w:bottom w:val="single" w:sz="4" w:space="0" w:color="auto"/>
              <w:right w:val="single" w:sz="4" w:space="0" w:color="auto"/>
            </w:tcBorders>
            <w:shd w:val="clear" w:color="000000" w:fill="FFFFFF"/>
            <w:noWrap/>
            <w:vAlign w:val="center"/>
            <w:hideMark/>
          </w:tcPr>
          <w:p w14:paraId="0A8D2F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582F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17,535,000</w:t>
            </w:r>
          </w:p>
        </w:tc>
        <w:tc>
          <w:tcPr>
            <w:tcW w:w="0" w:type="auto"/>
            <w:tcBorders>
              <w:top w:val="nil"/>
              <w:left w:val="nil"/>
              <w:bottom w:val="single" w:sz="4" w:space="0" w:color="auto"/>
              <w:right w:val="single" w:sz="4" w:space="0" w:color="auto"/>
            </w:tcBorders>
            <w:shd w:val="clear" w:color="000000" w:fill="FFFFFF"/>
            <w:vAlign w:val="center"/>
            <w:hideMark/>
          </w:tcPr>
          <w:p w14:paraId="03265D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E14A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AEEA9D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F604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926F8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021545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5B2A8D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2.6.3</w:t>
            </w:r>
          </w:p>
        </w:tc>
        <w:tc>
          <w:tcPr>
            <w:tcW w:w="0" w:type="auto"/>
            <w:tcBorders>
              <w:top w:val="nil"/>
              <w:left w:val="nil"/>
              <w:bottom w:val="single" w:sz="4" w:space="0" w:color="auto"/>
              <w:right w:val="single" w:sz="4" w:space="0" w:color="auto"/>
            </w:tcBorders>
            <w:shd w:val="clear" w:color="000000" w:fill="FFFFFF"/>
            <w:vAlign w:val="center"/>
            <w:hideMark/>
          </w:tcPr>
          <w:p w14:paraId="0204DAF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Përmirësimi i administrimit dhe ripërdorimit të aseteve të konfiskuara, me qëllim ruajtjen dhe/ose rritjen së vlere për ripërdorim të mëvonshëm ripërdorimit, duke forcuar planifikimin e menaxhimit të aseteve, masat e mirëmbajtjes dhe mbrojtjes, praktikat e vlerësimit dhe vendimmarrjen transparente mbi asgjësimin ose ripërdorimin.</w:t>
            </w:r>
          </w:p>
        </w:tc>
        <w:tc>
          <w:tcPr>
            <w:tcW w:w="0" w:type="auto"/>
            <w:tcBorders>
              <w:top w:val="nil"/>
              <w:left w:val="nil"/>
              <w:bottom w:val="single" w:sz="4" w:space="0" w:color="auto"/>
              <w:right w:val="single" w:sz="4" w:space="0" w:color="auto"/>
            </w:tcBorders>
            <w:shd w:val="clear" w:color="000000" w:fill="FFFFFF"/>
            <w:vAlign w:val="center"/>
            <w:hideMark/>
          </w:tcPr>
          <w:p w14:paraId="0F50DD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91601AG</w:t>
            </w:r>
          </w:p>
        </w:tc>
        <w:tc>
          <w:tcPr>
            <w:tcW w:w="0" w:type="auto"/>
            <w:tcBorders>
              <w:top w:val="nil"/>
              <w:left w:val="nil"/>
              <w:bottom w:val="single" w:sz="4" w:space="0" w:color="auto"/>
              <w:right w:val="single" w:sz="4" w:space="0" w:color="auto"/>
            </w:tcBorders>
            <w:shd w:val="clear" w:color="000000" w:fill="FFFFFF"/>
            <w:vAlign w:val="center"/>
            <w:hideMark/>
          </w:tcPr>
          <w:p w14:paraId="2C4C1C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Agjencia e Administrimit të Pasurive të Sekuestruara dhe Konfiskuara </w:t>
            </w:r>
          </w:p>
        </w:tc>
        <w:tc>
          <w:tcPr>
            <w:tcW w:w="0" w:type="auto"/>
            <w:tcBorders>
              <w:top w:val="nil"/>
              <w:left w:val="nil"/>
              <w:bottom w:val="single" w:sz="4" w:space="0" w:color="auto"/>
              <w:right w:val="nil"/>
            </w:tcBorders>
            <w:shd w:val="clear" w:color="000000" w:fill="FFFFFF"/>
            <w:vAlign w:val="center"/>
            <w:hideMark/>
          </w:tcPr>
          <w:p w14:paraId="7EE3EE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477A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623ED9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B5FAC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07320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w:t>
            </w:r>
          </w:p>
        </w:tc>
        <w:tc>
          <w:tcPr>
            <w:tcW w:w="0" w:type="auto"/>
            <w:tcBorders>
              <w:top w:val="nil"/>
              <w:left w:val="nil"/>
              <w:bottom w:val="single" w:sz="4" w:space="0" w:color="auto"/>
              <w:right w:val="single" w:sz="4" w:space="0" w:color="auto"/>
            </w:tcBorders>
            <w:shd w:val="clear" w:color="000000" w:fill="FFFFFF"/>
            <w:vAlign w:val="center"/>
            <w:hideMark/>
          </w:tcPr>
          <w:p w14:paraId="7BA879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w:t>
            </w:r>
          </w:p>
        </w:tc>
        <w:tc>
          <w:tcPr>
            <w:tcW w:w="0" w:type="auto"/>
            <w:tcBorders>
              <w:top w:val="nil"/>
              <w:left w:val="nil"/>
              <w:bottom w:val="single" w:sz="4" w:space="0" w:color="auto"/>
              <w:right w:val="single" w:sz="4" w:space="0" w:color="auto"/>
            </w:tcBorders>
            <w:shd w:val="clear" w:color="000000" w:fill="FFFFFF"/>
            <w:noWrap/>
            <w:vAlign w:val="center"/>
            <w:hideMark/>
          </w:tcPr>
          <w:p w14:paraId="094D36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23194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w:t>
            </w:r>
          </w:p>
        </w:tc>
        <w:tc>
          <w:tcPr>
            <w:tcW w:w="0" w:type="auto"/>
            <w:tcBorders>
              <w:top w:val="nil"/>
              <w:left w:val="nil"/>
              <w:bottom w:val="single" w:sz="4" w:space="0" w:color="auto"/>
              <w:right w:val="single" w:sz="4" w:space="0" w:color="auto"/>
            </w:tcBorders>
            <w:shd w:val="clear" w:color="000000" w:fill="FFFFFF"/>
            <w:vAlign w:val="center"/>
            <w:hideMark/>
          </w:tcPr>
          <w:p w14:paraId="73080F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w:t>
            </w:r>
          </w:p>
        </w:tc>
        <w:tc>
          <w:tcPr>
            <w:tcW w:w="0" w:type="auto"/>
            <w:tcBorders>
              <w:top w:val="nil"/>
              <w:left w:val="nil"/>
              <w:bottom w:val="single" w:sz="4" w:space="0" w:color="auto"/>
              <w:right w:val="single" w:sz="4" w:space="0" w:color="auto"/>
            </w:tcBorders>
            <w:shd w:val="clear" w:color="000000" w:fill="FFFFFF"/>
            <w:noWrap/>
            <w:vAlign w:val="center"/>
            <w:hideMark/>
          </w:tcPr>
          <w:p w14:paraId="17366F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60F6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2,500,000</w:t>
            </w:r>
          </w:p>
        </w:tc>
        <w:tc>
          <w:tcPr>
            <w:tcW w:w="0" w:type="auto"/>
            <w:tcBorders>
              <w:top w:val="nil"/>
              <w:left w:val="nil"/>
              <w:bottom w:val="single" w:sz="4" w:space="0" w:color="auto"/>
              <w:right w:val="single" w:sz="4" w:space="0" w:color="auto"/>
            </w:tcBorders>
            <w:shd w:val="clear" w:color="000000" w:fill="FFFFFF"/>
            <w:vAlign w:val="center"/>
            <w:hideMark/>
          </w:tcPr>
          <w:p w14:paraId="08D55E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2,500,000</w:t>
            </w:r>
          </w:p>
        </w:tc>
        <w:tc>
          <w:tcPr>
            <w:tcW w:w="0" w:type="auto"/>
            <w:tcBorders>
              <w:top w:val="nil"/>
              <w:left w:val="nil"/>
              <w:bottom w:val="single" w:sz="4" w:space="0" w:color="auto"/>
              <w:right w:val="single" w:sz="4" w:space="0" w:color="auto"/>
            </w:tcBorders>
            <w:shd w:val="clear" w:color="000000" w:fill="FFFFFF"/>
            <w:noWrap/>
            <w:vAlign w:val="center"/>
            <w:hideMark/>
          </w:tcPr>
          <w:p w14:paraId="7CA3E5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697DF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2,500,000</w:t>
            </w:r>
          </w:p>
        </w:tc>
        <w:tc>
          <w:tcPr>
            <w:tcW w:w="0" w:type="auto"/>
            <w:tcBorders>
              <w:top w:val="nil"/>
              <w:left w:val="nil"/>
              <w:bottom w:val="single" w:sz="4" w:space="0" w:color="auto"/>
              <w:right w:val="single" w:sz="4" w:space="0" w:color="auto"/>
            </w:tcBorders>
            <w:shd w:val="clear" w:color="000000" w:fill="FFFFFF"/>
            <w:vAlign w:val="center"/>
            <w:hideMark/>
          </w:tcPr>
          <w:p w14:paraId="7B6AA8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2,500,000</w:t>
            </w:r>
          </w:p>
        </w:tc>
        <w:tc>
          <w:tcPr>
            <w:tcW w:w="0" w:type="auto"/>
            <w:tcBorders>
              <w:top w:val="nil"/>
              <w:left w:val="nil"/>
              <w:bottom w:val="single" w:sz="4" w:space="0" w:color="auto"/>
              <w:right w:val="single" w:sz="4" w:space="0" w:color="auto"/>
            </w:tcBorders>
            <w:shd w:val="clear" w:color="000000" w:fill="FFFFFF"/>
            <w:noWrap/>
            <w:vAlign w:val="center"/>
            <w:hideMark/>
          </w:tcPr>
          <w:p w14:paraId="45DAE3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45E3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2,500,000</w:t>
            </w:r>
          </w:p>
        </w:tc>
        <w:tc>
          <w:tcPr>
            <w:tcW w:w="0" w:type="auto"/>
            <w:tcBorders>
              <w:top w:val="nil"/>
              <w:left w:val="nil"/>
              <w:bottom w:val="single" w:sz="4" w:space="0" w:color="auto"/>
              <w:right w:val="single" w:sz="4" w:space="0" w:color="auto"/>
            </w:tcBorders>
            <w:shd w:val="clear" w:color="000000" w:fill="FFFFFF"/>
            <w:vAlign w:val="center"/>
            <w:hideMark/>
          </w:tcPr>
          <w:p w14:paraId="092E29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2,500,000</w:t>
            </w:r>
          </w:p>
        </w:tc>
        <w:tc>
          <w:tcPr>
            <w:tcW w:w="0" w:type="auto"/>
            <w:tcBorders>
              <w:top w:val="nil"/>
              <w:left w:val="nil"/>
              <w:bottom w:val="single" w:sz="4" w:space="0" w:color="auto"/>
              <w:right w:val="single" w:sz="4" w:space="0" w:color="auto"/>
            </w:tcBorders>
            <w:shd w:val="clear" w:color="000000" w:fill="FFFFFF"/>
            <w:vAlign w:val="center"/>
            <w:hideMark/>
          </w:tcPr>
          <w:p w14:paraId="4AF1C7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91BD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17,500,000</w:t>
            </w:r>
          </w:p>
        </w:tc>
        <w:tc>
          <w:tcPr>
            <w:tcW w:w="0" w:type="auto"/>
            <w:tcBorders>
              <w:top w:val="nil"/>
              <w:left w:val="nil"/>
              <w:bottom w:val="single" w:sz="4" w:space="0" w:color="auto"/>
              <w:right w:val="single" w:sz="4" w:space="0" w:color="auto"/>
            </w:tcBorders>
            <w:shd w:val="clear" w:color="000000" w:fill="FFFFFF"/>
            <w:vAlign w:val="center"/>
            <w:hideMark/>
          </w:tcPr>
          <w:p w14:paraId="4A1DD9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17,500,000</w:t>
            </w:r>
          </w:p>
        </w:tc>
        <w:tc>
          <w:tcPr>
            <w:tcW w:w="0" w:type="auto"/>
            <w:tcBorders>
              <w:top w:val="nil"/>
              <w:left w:val="nil"/>
              <w:bottom w:val="single" w:sz="4" w:space="0" w:color="auto"/>
              <w:right w:val="single" w:sz="4" w:space="0" w:color="auto"/>
            </w:tcBorders>
            <w:shd w:val="clear" w:color="000000" w:fill="FFFFFF"/>
            <w:noWrap/>
            <w:vAlign w:val="center"/>
            <w:hideMark/>
          </w:tcPr>
          <w:p w14:paraId="763716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A5D99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3D0CE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C81EB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267B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550D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401CF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8C95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17,500,000</w:t>
            </w:r>
          </w:p>
        </w:tc>
        <w:tc>
          <w:tcPr>
            <w:tcW w:w="0" w:type="auto"/>
            <w:tcBorders>
              <w:top w:val="nil"/>
              <w:left w:val="nil"/>
              <w:bottom w:val="single" w:sz="4" w:space="0" w:color="auto"/>
              <w:right w:val="single" w:sz="4" w:space="0" w:color="auto"/>
            </w:tcBorders>
            <w:shd w:val="clear" w:color="000000" w:fill="FFFFFF"/>
            <w:vAlign w:val="center"/>
            <w:hideMark/>
          </w:tcPr>
          <w:p w14:paraId="104C6C4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Agjencia e Administrimit të Pasurive të Sekuestruara dhe të Konfiskuara GIZ, Partner Albania </w:t>
            </w:r>
          </w:p>
        </w:tc>
        <w:tc>
          <w:tcPr>
            <w:tcW w:w="0" w:type="auto"/>
            <w:tcBorders>
              <w:top w:val="nil"/>
              <w:left w:val="nil"/>
              <w:bottom w:val="single" w:sz="4" w:space="0" w:color="auto"/>
              <w:right w:val="single" w:sz="4" w:space="0" w:color="auto"/>
            </w:tcBorders>
            <w:shd w:val="clear" w:color="000000" w:fill="FFFFFF"/>
            <w:vAlign w:val="center"/>
            <w:hideMark/>
          </w:tcPr>
          <w:p w14:paraId="5EE2D4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17,500,000</w:t>
            </w:r>
          </w:p>
        </w:tc>
        <w:tc>
          <w:tcPr>
            <w:tcW w:w="0" w:type="auto"/>
            <w:tcBorders>
              <w:top w:val="nil"/>
              <w:left w:val="nil"/>
              <w:bottom w:val="single" w:sz="4" w:space="0" w:color="auto"/>
              <w:right w:val="single" w:sz="8" w:space="0" w:color="auto"/>
            </w:tcBorders>
            <w:shd w:val="clear" w:color="000000" w:fill="FFFFFF"/>
            <w:vAlign w:val="center"/>
            <w:hideMark/>
          </w:tcPr>
          <w:p w14:paraId="3EF1DF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46C2C4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FC7DA9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2.6.4</w:t>
            </w:r>
          </w:p>
        </w:tc>
        <w:tc>
          <w:tcPr>
            <w:tcW w:w="0" w:type="auto"/>
            <w:tcBorders>
              <w:top w:val="nil"/>
              <w:left w:val="nil"/>
              <w:bottom w:val="single" w:sz="4" w:space="0" w:color="auto"/>
              <w:right w:val="single" w:sz="4" w:space="0" w:color="auto"/>
            </w:tcBorders>
            <w:shd w:val="clear" w:color="auto" w:fill="auto"/>
            <w:vAlign w:val="center"/>
            <w:hideMark/>
          </w:tcPr>
          <w:p w14:paraId="21194CF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Ripërdorimi i aseteve të konfiskuara, përfshirë ripërdorimin social, brenda 6 muajve nga konfiskimi, duke thjeshtuar procedurat administrative, duke standardizuar rrugët e vendimmarrjes dhe duke forcuar koordinimin midis Agjencisë për Administrimin e Pasurive të Sekuestruara dhe të Konfiskuara dhe institucioneve përfituese përkatëse.</w:t>
            </w:r>
          </w:p>
        </w:tc>
        <w:tc>
          <w:tcPr>
            <w:tcW w:w="0" w:type="auto"/>
            <w:tcBorders>
              <w:top w:val="nil"/>
              <w:left w:val="nil"/>
              <w:bottom w:val="single" w:sz="4" w:space="0" w:color="auto"/>
              <w:right w:val="single" w:sz="4" w:space="0" w:color="auto"/>
            </w:tcBorders>
            <w:shd w:val="clear" w:color="000000" w:fill="FFFFFF"/>
            <w:vAlign w:val="center"/>
            <w:hideMark/>
          </w:tcPr>
          <w:p w14:paraId="62A95F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91601AG</w:t>
            </w:r>
          </w:p>
        </w:tc>
        <w:tc>
          <w:tcPr>
            <w:tcW w:w="0" w:type="auto"/>
            <w:tcBorders>
              <w:top w:val="nil"/>
              <w:left w:val="nil"/>
              <w:bottom w:val="single" w:sz="4" w:space="0" w:color="auto"/>
              <w:right w:val="single" w:sz="4" w:space="0" w:color="auto"/>
            </w:tcBorders>
            <w:shd w:val="clear" w:color="000000" w:fill="FFFFFF"/>
            <w:vAlign w:val="center"/>
            <w:hideMark/>
          </w:tcPr>
          <w:p w14:paraId="16C5EE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Agjencia e Administrimit të Pasurive të Sekuestruara dhe Konfiskuara </w:t>
            </w:r>
          </w:p>
        </w:tc>
        <w:tc>
          <w:tcPr>
            <w:tcW w:w="0" w:type="auto"/>
            <w:tcBorders>
              <w:top w:val="nil"/>
              <w:left w:val="nil"/>
              <w:bottom w:val="single" w:sz="4" w:space="0" w:color="auto"/>
              <w:right w:val="single" w:sz="4" w:space="0" w:color="auto"/>
            </w:tcBorders>
            <w:shd w:val="clear" w:color="auto" w:fill="auto"/>
            <w:vAlign w:val="center"/>
            <w:hideMark/>
          </w:tcPr>
          <w:p w14:paraId="425647F1" w14:textId="44ED1AF3"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Brendshme/Policia e Shtetit</w:t>
            </w:r>
          </w:p>
        </w:tc>
        <w:tc>
          <w:tcPr>
            <w:tcW w:w="0" w:type="auto"/>
            <w:tcBorders>
              <w:top w:val="nil"/>
              <w:left w:val="nil"/>
              <w:bottom w:val="single" w:sz="4" w:space="0" w:color="auto"/>
              <w:right w:val="single" w:sz="4" w:space="0" w:color="auto"/>
            </w:tcBorders>
            <w:shd w:val="clear" w:color="auto" w:fill="auto"/>
            <w:vAlign w:val="center"/>
            <w:hideMark/>
          </w:tcPr>
          <w:p w14:paraId="0312C07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auto" w:fill="auto"/>
            <w:vAlign w:val="center"/>
            <w:hideMark/>
          </w:tcPr>
          <w:p w14:paraId="016D8B5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auto" w:fill="auto"/>
            <w:vAlign w:val="center"/>
            <w:hideMark/>
          </w:tcPr>
          <w:p w14:paraId="628840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1519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vAlign w:val="center"/>
            <w:hideMark/>
          </w:tcPr>
          <w:p w14:paraId="64779D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noWrap/>
            <w:vAlign w:val="center"/>
            <w:hideMark/>
          </w:tcPr>
          <w:p w14:paraId="5BE4CF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3FEAC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vAlign w:val="center"/>
            <w:hideMark/>
          </w:tcPr>
          <w:p w14:paraId="0C1D66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noWrap/>
            <w:vAlign w:val="center"/>
            <w:hideMark/>
          </w:tcPr>
          <w:p w14:paraId="5EED06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463195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vAlign w:val="center"/>
            <w:hideMark/>
          </w:tcPr>
          <w:p w14:paraId="773064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noWrap/>
            <w:vAlign w:val="center"/>
            <w:hideMark/>
          </w:tcPr>
          <w:p w14:paraId="168871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B8569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vAlign w:val="center"/>
            <w:hideMark/>
          </w:tcPr>
          <w:p w14:paraId="182E41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noWrap/>
            <w:vAlign w:val="center"/>
            <w:hideMark/>
          </w:tcPr>
          <w:p w14:paraId="418078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89B24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auto" w:fill="auto"/>
            <w:vAlign w:val="center"/>
            <w:hideMark/>
          </w:tcPr>
          <w:p w14:paraId="72E4B0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1,000,000,000</w:t>
            </w:r>
          </w:p>
        </w:tc>
        <w:tc>
          <w:tcPr>
            <w:tcW w:w="0" w:type="auto"/>
            <w:tcBorders>
              <w:top w:val="nil"/>
              <w:left w:val="nil"/>
              <w:bottom w:val="single" w:sz="4" w:space="0" w:color="auto"/>
              <w:right w:val="single" w:sz="4" w:space="0" w:color="auto"/>
            </w:tcBorders>
            <w:shd w:val="clear" w:color="000000" w:fill="FFFFFF"/>
            <w:vAlign w:val="center"/>
            <w:hideMark/>
          </w:tcPr>
          <w:p w14:paraId="4A4B6A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A3B37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3,000,000,000</w:t>
            </w:r>
          </w:p>
        </w:tc>
        <w:tc>
          <w:tcPr>
            <w:tcW w:w="0" w:type="auto"/>
            <w:tcBorders>
              <w:top w:val="nil"/>
              <w:left w:val="nil"/>
              <w:bottom w:val="single" w:sz="4" w:space="0" w:color="auto"/>
              <w:right w:val="single" w:sz="4" w:space="0" w:color="auto"/>
            </w:tcBorders>
            <w:shd w:val="clear" w:color="000000" w:fill="FFFFFF"/>
            <w:vAlign w:val="center"/>
            <w:hideMark/>
          </w:tcPr>
          <w:p w14:paraId="5CC4E7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3,000,000,000</w:t>
            </w:r>
          </w:p>
        </w:tc>
        <w:tc>
          <w:tcPr>
            <w:tcW w:w="0" w:type="auto"/>
            <w:tcBorders>
              <w:top w:val="nil"/>
              <w:left w:val="nil"/>
              <w:bottom w:val="single" w:sz="4" w:space="0" w:color="auto"/>
              <w:right w:val="single" w:sz="4" w:space="0" w:color="auto"/>
            </w:tcBorders>
            <w:shd w:val="clear" w:color="000000" w:fill="FFFFFF"/>
            <w:noWrap/>
            <w:vAlign w:val="center"/>
            <w:hideMark/>
          </w:tcPr>
          <w:p w14:paraId="08FB90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5EC49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DCC3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44399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05831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26595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E16CD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BDC88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3,000,000,000</w:t>
            </w:r>
          </w:p>
        </w:tc>
        <w:tc>
          <w:tcPr>
            <w:tcW w:w="0" w:type="auto"/>
            <w:tcBorders>
              <w:top w:val="nil"/>
              <w:left w:val="nil"/>
              <w:bottom w:val="single" w:sz="4" w:space="0" w:color="auto"/>
              <w:right w:val="single" w:sz="4" w:space="0" w:color="auto"/>
            </w:tcBorders>
            <w:shd w:val="clear" w:color="auto" w:fill="auto"/>
            <w:vAlign w:val="center"/>
            <w:hideMark/>
          </w:tcPr>
          <w:p w14:paraId="166CF0D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Administrimit të Pasurive të Sekuestruara dhe të Konfis</w:t>
            </w:r>
            <w:r w:rsidRPr="002128A6">
              <w:rPr>
                <w:rFonts w:ascii="Garamond" w:eastAsia="Times New Roman" w:hAnsi="Garamond" w:cs="Times New Roman"/>
                <w:kern w:val="0"/>
                <w:sz w:val="4"/>
                <w:szCs w:val="8"/>
                <w14:ligatures w14:val="none"/>
              </w:rPr>
              <w:lastRenderedPageBreak/>
              <w:t xml:space="preserve">kuara GIZ, Partner Albania </w:t>
            </w:r>
          </w:p>
        </w:tc>
        <w:tc>
          <w:tcPr>
            <w:tcW w:w="0" w:type="auto"/>
            <w:tcBorders>
              <w:top w:val="nil"/>
              <w:left w:val="nil"/>
              <w:bottom w:val="single" w:sz="4" w:space="0" w:color="auto"/>
              <w:right w:val="single" w:sz="4" w:space="0" w:color="auto"/>
            </w:tcBorders>
            <w:shd w:val="clear" w:color="auto" w:fill="auto"/>
            <w:vAlign w:val="center"/>
            <w:hideMark/>
          </w:tcPr>
          <w:p w14:paraId="6C5F27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lastRenderedPageBreak/>
              <w:t>3,000,000,000</w:t>
            </w:r>
          </w:p>
        </w:tc>
        <w:tc>
          <w:tcPr>
            <w:tcW w:w="0" w:type="auto"/>
            <w:tcBorders>
              <w:top w:val="nil"/>
              <w:left w:val="nil"/>
              <w:bottom w:val="single" w:sz="4" w:space="0" w:color="auto"/>
              <w:right w:val="single" w:sz="8" w:space="0" w:color="auto"/>
            </w:tcBorders>
            <w:shd w:val="clear" w:color="000000" w:fill="FFFFFF"/>
            <w:vAlign w:val="center"/>
            <w:hideMark/>
          </w:tcPr>
          <w:p w14:paraId="1976FA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3755C1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7B470A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2.6.5</w:t>
            </w:r>
          </w:p>
        </w:tc>
        <w:tc>
          <w:tcPr>
            <w:tcW w:w="0" w:type="auto"/>
            <w:tcBorders>
              <w:top w:val="nil"/>
              <w:left w:val="nil"/>
              <w:bottom w:val="single" w:sz="4" w:space="0" w:color="auto"/>
              <w:right w:val="single" w:sz="4" w:space="0" w:color="auto"/>
            </w:tcBorders>
            <w:shd w:val="clear" w:color="000000" w:fill="FFFFFF"/>
            <w:vAlign w:val="center"/>
            <w:hideMark/>
          </w:tcPr>
          <w:p w14:paraId="30537A0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Përmirësimi dhe harmonizimi i praktikave për revokimin e aseteve kriminale, përmes hartimit të metodologjive të përbashkëta, qasjeve konsistente provuese dhe procedurale dhe punës së koordinuar të çështjeve midis autoriteteve përgjegjëse, me qëllim rritjen e sigurisë juridike dhe efektivitetit të rezultateve të rikuperimit të aseteve.</w:t>
            </w:r>
          </w:p>
        </w:tc>
        <w:tc>
          <w:tcPr>
            <w:tcW w:w="0" w:type="auto"/>
            <w:tcBorders>
              <w:top w:val="nil"/>
              <w:left w:val="nil"/>
              <w:bottom w:val="single" w:sz="4" w:space="0" w:color="auto"/>
              <w:right w:val="single" w:sz="4" w:space="0" w:color="auto"/>
            </w:tcBorders>
            <w:shd w:val="clear" w:color="000000" w:fill="FFFFFF"/>
            <w:vAlign w:val="center"/>
            <w:hideMark/>
          </w:tcPr>
          <w:p w14:paraId="0D7E69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91601AG</w:t>
            </w:r>
          </w:p>
        </w:tc>
        <w:tc>
          <w:tcPr>
            <w:tcW w:w="0" w:type="auto"/>
            <w:tcBorders>
              <w:top w:val="nil"/>
              <w:left w:val="nil"/>
              <w:bottom w:val="single" w:sz="4" w:space="0" w:color="auto"/>
              <w:right w:val="single" w:sz="4" w:space="0" w:color="auto"/>
            </w:tcBorders>
            <w:shd w:val="clear" w:color="000000" w:fill="FFFFFF"/>
            <w:vAlign w:val="center"/>
            <w:hideMark/>
          </w:tcPr>
          <w:p w14:paraId="45AD4A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Agjencia e Administrimit të Pasurive të Sekuestruara dhe Konfiskuara </w:t>
            </w:r>
          </w:p>
        </w:tc>
        <w:tc>
          <w:tcPr>
            <w:tcW w:w="0" w:type="auto"/>
            <w:tcBorders>
              <w:top w:val="nil"/>
              <w:left w:val="nil"/>
              <w:bottom w:val="single" w:sz="4" w:space="0" w:color="auto"/>
              <w:right w:val="single" w:sz="4" w:space="0" w:color="auto"/>
            </w:tcBorders>
            <w:shd w:val="clear" w:color="000000" w:fill="FFFFFF"/>
            <w:vAlign w:val="center"/>
            <w:hideMark/>
          </w:tcPr>
          <w:p w14:paraId="240226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017EDFF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B63D8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07E66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350,000</w:t>
            </w:r>
          </w:p>
        </w:tc>
        <w:tc>
          <w:tcPr>
            <w:tcW w:w="0" w:type="auto"/>
            <w:tcBorders>
              <w:top w:val="nil"/>
              <w:left w:val="nil"/>
              <w:bottom w:val="single" w:sz="4" w:space="0" w:color="auto"/>
              <w:right w:val="single" w:sz="4" w:space="0" w:color="auto"/>
            </w:tcBorders>
            <w:shd w:val="clear" w:color="000000" w:fill="FFFFFF"/>
            <w:vAlign w:val="center"/>
            <w:hideMark/>
          </w:tcPr>
          <w:p w14:paraId="4C2AAA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BEBFA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350,000</w:t>
            </w:r>
          </w:p>
        </w:tc>
        <w:tc>
          <w:tcPr>
            <w:tcW w:w="0" w:type="auto"/>
            <w:tcBorders>
              <w:top w:val="nil"/>
              <w:left w:val="nil"/>
              <w:bottom w:val="single" w:sz="4" w:space="0" w:color="auto"/>
              <w:right w:val="single" w:sz="4" w:space="0" w:color="auto"/>
            </w:tcBorders>
            <w:shd w:val="clear" w:color="000000" w:fill="FFFFFF"/>
            <w:vAlign w:val="center"/>
            <w:hideMark/>
          </w:tcPr>
          <w:p w14:paraId="46E66D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350,000</w:t>
            </w:r>
          </w:p>
        </w:tc>
        <w:tc>
          <w:tcPr>
            <w:tcW w:w="0" w:type="auto"/>
            <w:tcBorders>
              <w:top w:val="nil"/>
              <w:left w:val="nil"/>
              <w:bottom w:val="single" w:sz="4" w:space="0" w:color="auto"/>
              <w:right w:val="single" w:sz="4" w:space="0" w:color="auto"/>
            </w:tcBorders>
            <w:shd w:val="clear" w:color="000000" w:fill="FFFFFF"/>
            <w:vAlign w:val="center"/>
            <w:hideMark/>
          </w:tcPr>
          <w:p w14:paraId="10F6ED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C0324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350,000</w:t>
            </w:r>
          </w:p>
        </w:tc>
        <w:tc>
          <w:tcPr>
            <w:tcW w:w="0" w:type="auto"/>
            <w:tcBorders>
              <w:top w:val="nil"/>
              <w:left w:val="nil"/>
              <w:bottom w:val="single" w:sz="4" w:space="0" w:color="auto"/>
              <w:right w:val="single" w:sz="4" w:space="0" w:color="auto"/>
            </w:tcBorders>
            <w:shd w:val="clear" w:color="000000" w:fill="FFFFFF"/>
            <w:vAlign w:val="center"/>
            <w:hideMark/>
          </w:tcPr>
          <w:p w14:paraId="4FAB18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71CFCA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B9BD8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34CA91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5A4A6A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3E893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3C67C6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7432C6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03F2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418035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1,600,000</w:t>
            </w:r>
          </w:p>
        </w:tc>
        <w:tc>
          <w:tcPr>
            <w:tcW w:w="0" w:type="auto"/>
            <w:tcBorders>
              <w:top w:val="nil"/>
              <w:left w:val="nil"/>
              <w:bottom w:val="single" w:sz="4" w:space="0" w:color="auto"/>
              <w:right w:val="single" w:sz="4" w:space="0" w:color="auto"/>
            </w:tcBorders>
            <w:shd w:val="clear" w:color="000000" w:fill="FFFFFF"/>
            <w:vAlign w:val="center"/>
            <w:hideMark/>
          </w:tcPr>
          <w:p w14:paraId="6E9EAF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8BEDF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1,600,000</w:t>
            </w:r>
          </w:p>
        </w:tc>
        <w:tc>
          <w:tcPr>
            <w:tcW w:w="0" w:type="auto"/>
            <w:tcBorders>
              <w:top w:val="nil"/>
              <w:left w:val="nil"/>
              <w:bottom w:val="single" w:sz="4" w:space="0" w:color="auto"/>
              <w:right w:val="single" w:sz="4" w:space="0" w:color="auto"/>
            </w:tcBorders>
            <w:shd w:val="clear" w:color="000000" w:fill="FFFFFF"/>
            <w:noWrap/>
            <w:vAlign w:val="center"/>
            <w:hideMark/>
          </w:tcPr>
          <w:p w14:paraId="2D9F2D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noWrap/>
            <w:vAlign w:val="center"/>
            <w:hideMark/>
          </w:tcPr>
          <w:p w14:paraId="4EB1B4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6ACA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noWrap/>
            <w:vAlign w:val="center"/>
            <w:hideMark/>
          </w:tcPr>
          <w:p w14:paraId="25F58C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noWrap/>
            <w:vAlign w:val="center"/>
            <w:hideMark/>
          </w:tcPr>
          <w:p w14:paraId="582398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8B24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vAlign w:val="center"/>
            <w:hideMark/>
          </w:tcPr>
          <w:p w14:paraId="3CF877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2FDA0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7124E7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Agjencia e Administrimit të Pasurive të Sekuestruara dhe të Konfiskuara</w:t>
            </w:r>
          </w:p>
        </w:tc>
        <w:tc>
          <w:tcPr>
            <w:tcW w:w="0" w:type="auto"/>
            <w:tcBorders>
              <w:top w:val="nil"/>
              <w:left w:val="nil"/>
              <w:bottom w:val="single" w:sz="4" w:space="0" w:color="auto"/>
              <w:right w:val="single" w:sz="4" w:space="0" w:color="auto"/>
            </w:tcBorders>
            <w:shd w:val="clear" w:color="000000" w:fill="FFFFFF"/>
            <w:vAlign w:val="center"/>
            <w:hideMark/>
          </w:tcPr>
          <w:p w14:paraId="14597D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83565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AF7A3F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235511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2.6.6</w:t>
            </w:r>
          </w:p>
        </w:tc>
        <w:tc>
          <w:tcPr>
            <w:tcW w:w="0" w:type="auto"/>
            <w:tcBorders>
              <w:top w:val="nil"/>
              <w:left w:val="nil"/>
              <w:bottom w:val="single" w:sz="4" w:space="0" w:color="auto"/>
              <w:right w:val="single" w:sz="4" w:space="0" w:color="auto"/>
            </w:tcBorders>
            <w:shd w:val="clear" w:color="000000" w:fill="FFFFFF"/>
            <w:vAlign w:val="center"/>
            <w:hideMark/>
          </w:tcPr>
          <w:p w14:paraId="2275632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Identifikimi i nevojave për rritjen e kapaciteteve logjistike për të mbështetur administrimin e aseteve të sekuestruara dhe të konfiskuara, duke vlerësuar strukturat e ruajtjes, modalitetet e sigurisë, pajisjet e transportit dhe trajtimit, nevojat TI dhe kërkesat për burime njerëzore, si dhe duke shndërruar boshllëqet e identifikuara në veprime përmirësimi të prioritizuara.</w:t>
            </w:r>
          </w:p>
        </w:tc>
        <w:tc>
          <w:tcPr>
            <w:tcW w:w="0" w:type="auto"/>
            <w:tcBorders>
              <w:top w:val="nil"/>
              <w:left w:val="nil"/>
              <w:bottom w:val="single" w:sz="4" w:space="0" w:color="auto"/>
              <w:right w:val="single" w:sz="4" w:space="0" w:color="auto"/>
            </w:tcBorders>
            <w:shd w:val="clear" w:color="000000" w:fill="FFFFFF"/>
            <w:vAlign w:val="center"/>
            <w:hideMark/>
          </w:tcPr>
          <w:p w14:paraId="0C68DF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91601AH</w:t>
            </w:r>
          </w:p>
        </w:tc>
        <w:tc>
          <w:tcPr>
            <w:tcW w:w="0" w:type="auto"/>
            <w:tcBorders>
              <w:top w:val="nil"/>
              <w:left w:val="nil"/>
              <w:bottom w:val="single" w:sz="4" w:space="0" w:color="auto"/>
              <w:right w:val="single" w:sz="4" w:space="0" w:color="auto"/>
            </w:tcBorders>
            <w:shd w:val="clear" w:color="000000" w:fill="FFFFFF"/>
            <w:vAlign w:val="center"/>
            <w:hideMark/>
          </w:tcPr>
          <w:p w14:paraId="2E53FF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Agjencia e Administrimit të Pasurive të Sekuestruara dhe Konfiskuara </w:t>
            </w:r>
          </w:p>
        </w:tc>
        <w:tc>
          <w:tcPr>
            <w:tcW w:w="0" w:type="auto"/>
            <w:tcBorders>
              <w:top w:val="nil"/>
              <w:left w:val="nil"/>
              <w:bottom w:val="single" w:sz="4" w:space="0" w:color="auto"/>
              <w:right w:val="single" w:sz="4" w:space="0" w:color="auto"/>
            </w:tcBorders>
            <w:shd w:val="clear" w:color="000000" w:fill="FFFFFF"/>
            <w:vAlign w:val="center"/>
            <w:hideMark/>
          </w:tcPr>
          <w:p w14:paraId="677075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56A76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760E01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A821C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4C89CA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D1E2A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694662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3290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4ADD70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2C3223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A855A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08EC99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77DA7F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44901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4FB8FA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067C55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AE768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4AA6D8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7DC262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vAlign w:val="center"/>
            <w:hideMark/>
          </w:tcPr>
          <w:p w14:paraId="254A51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1,050,000</w:t>
            </w:r>
          </w:p>
        </w:tc>
        <w:tc>
          <w:tcPr>
            <w:tcW w:w="0" w:type="auto"/>
            <w:tcBorders>
              <w:top w:val="nil"/>
              <w:left w:val="nil"/>
              <w:bottom w:val="single" w:sz="4" w:space="0" w:color="auto"/>
              <w:right w:val="single" w:sz="4" w:space="0" w:color="auto"/>
            </w:tcBorders>
            <w:shd w:val="clear" w:color="000000" w:fill="FFFFFF"/>
            <w:vAlign w:val="center"/>
            <w:hideMark/>
          </w:tcPr>
          <w:p w14:paraId="2F1DA7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1,575,000</w:t>
            </w:r>
          </w:p>
        </w:tc>
        <w:tc>
          <w:tcPr>
            <w:tcW w:w="0" w:type="auto"/>
            <w:tcBorders>
              <w:top w:val="nil"/>
              <w:left w:val="nil"/>
              <w:bottom w:val="single" w:sz="4" w:space="0" w:color="auto"/>
              <w:right w:val="single" w:sz="4" w:space="0" w:color="auto"/>
            </w:tcBorders>
            <w:shd w:val="clear" w:color="000000" w:fill="FFFFFF"/>
            <w:noWrap/>
            <w:vAlign w:val="center"/>
            <w:hideMark/>
          </w:tcPr>
          <w:p w14:paraId="1FADD4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noWrap/>
            <w:vAlign w:val="center"/>
            <w:hideMark/>
          </w:tcPr>
          <w:p w14:paraId="6AC2BC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BC7DF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525,000</w:t>
            </w:r>
          </w:p>
        </w:tc>
        <w:tc>
          <w:tcPr>
            <w:tcW w:w="0" w:type="auto"/>
            <w:tcBorders>
              <w:top w:val="nil"/>
              <w:left w:val="nil"/>
              <w:bottom w:val="single" w:sz="4" w:space="0" w:color="auto"/>
              <w:right w:val="single" w:sz="4" w:space="0" w:color="auto"/>
            </w:tcBorders>
            <w:shd w:val="clear" w:color="000000" w:fill="FFFFFF"/>
            <w:noWrap/>
            <w:vAlign w:val="center"/>
            <w:hideMark/>
          </w:tcPr>
          <w:p w14:paraId="4DDF14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22EC1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1,050,000</w:t>
            </w:r>
          </w:p>
        </w:tc>
        <w:tc>
          <w:tcPr>
            <w:tcW w:w="0" w:type="auto"/>
            <w:tcBorders>
              <w:top w:val="nil"/>
              <w:left w:val="nil"/>
              <w:bottom w:val="single" w:sz="4" w:space="0" w:color="auto"/>
              <w:right w:val="single" w:sz="4" w:space="0" w:color="auto"/>
            </w:tcBorders>
            <w:shd w:val="clear" w:color="000000" w:fill="FFFFFF"/>
            <w:noWrap/>
            <w:vAlign w:val="center"/>
            <w:hideMark/>
          </w:tcPr>
          <w:p w14:paraId="56B717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1,050,000</w:t>
            </w:r>
          </w:p>
        </w:tc>
        <w:tc>
          <w:tcPr>
            <w:tcW w:w="0" w:type="auto"/>
            <w:tcBorders>
              <w:top w:val="nil"/>
              <w:left w:val="nil"/>
              <w:bottom w:val="single" w:sz="4" w:space="0" w:color="auto"/>
              <w:right w:val="single" w:sz="4" w:space="0" w:color="auto"/>
            </w:tcBorders>
            <w:shd w:val="clear" w:color="000000" w:fill="FFFFFF"/>
            <w:vAlign w:val="center"/>
            <w:hideMark/>
          </w:tcPr>
          <w:p w14:paraId="4905A0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7FB2D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1A5C1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4C71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FA228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4D2CD79"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7BAC172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2.6.7</w:t>
            </w:r>
          </w:p>
        </w:tc>
        <w:tc>
          <w:tcPr>
            <w:tcW w:w="0" w:type="auto"/>
            <w:tcBorders>
              <w:top w:val="nil"/>
              <w:left w:val="nil"/>
              <w:bottom w:val="single" w:sz="4" w:space="0" w:color="auto"/>
              <w:right w:val="single" w:sz="4" w:space="0" w:color="auto"/>
            </w:tcBorders>
            <w:shd w:val="clear" w:color="000000" w:fill="FFFFFF"/>
            <w:vAlign w:val="center"/>
            <w:hideMark/>
          </w:tcPr>
          <w:p w14:paraId="1400959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Hartimi dhe miratimi i procedurave standarde operacionale të përbashkëta, ndërmjet Agjencisë për Administrimin e Pasurive të Sekuestruara dhe të Konfiskuara dhe Zyrës për Rikuperimin e Aseteve (ZRA), përfshirë procedurat për referimin, shkëmbimin e informacionit, kërkesat për gjurmimin e aseteve, përditësimet e regjistrit të aseteve, si dhe masat e koordinuara për ruajtjen, administrimin dhe ripërdorimin.</w:t>
            </w:r>
          </w:p>
        </w:tc>
        <w:tc>
          <w:tcPr>
            <w:tcW w:w="0" w:type="auto"/>
            <w:tcBorders>
              <w:top w:val="nil"/>
              <w:left w:val="nil"/>
              <w:bottom w:val="single" w:sz="4" w:space="0" w:color="auto"/>
              <w:right w:val="single" w:sz="4" w:space="0" w:color="auto"/>
            </w:tcBorders>
            <w:shd w:val="clear" w:color="000000" w:fill="FFFFFF"/>
            <w:vAlign w:val="center"/>
            <w:hideMark/>
          </w:tcPr>
          <w:p w14:paraId="7576E5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91601AG</w:t>
            </w:r>
          </w:p>
        </w:tc>
        <w:tc>
          <w:tcPr>
            <w:tcW w:w="0" w:type="auto"/>
            <w:tcBorders>
              <w:top w:val="nil"/>
              <w:left w:val="nil"/>
              <w:bottom w:val="single" w:sz="4" w:space="0" w:color="auto"/>
              <w:right w:val="single" w:sz="4" w:space="0" w:color="auto"/>
            </w:tcBorders>
            <w:shd w:val="clear" w:color="000000" w:fill="FFFFFF"/>
            <w:vAlign w:val="center"/>
            <w:hideMark/>
          </w:tcPr>
          <w:p w14:paraId="6D53C7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Agjencia e Administrimit të Pasurive të Sekuestruara dhe Konfiskuara </w:t>
            </w:r>
          </w:p>
        </w:tc>
        <w:tc>
          <w:tcPr>
            <w:tcW w:w="0" w:type="auto"/>
            <w:tcBorders>
              <w:top w:val="nil"/>
              <w:left w:val="nil"/>
              <w:bottom w:val="single" w:sz="4" w:space="0" w:color="auto"/>
              <w:right w:val="single" w:sz="4" w:space="0" w:color="auto"/>
            </w:tcBorders>
            <w:shd w:val="clear" w:color="000000" w:fill="FFFFFF"/>
            <w:vAlign w:val="center"/>
            <w:hideMark/>
          </w:tcPr>
          <w:p w14:paraId="421D13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707B096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B25963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C0124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42D5F5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52E21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75B579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4E148E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A172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1DBB4F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35D619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9A05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3CD49A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4345EE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CE017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6BF3D1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03B69A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50AC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622,680</w:t>
            </w:r>
          </w:p>
        </w:tc>
        <w:tc>
          <w:tcPr>
            <w:tcW w:w="0" w:type="auto"/>
            <w:tcBorders>
              <w:top w:val="nil"/>
              <w:left w:val="nil"/>
              <w:bottom w:val="single" w:sz="4" w:space="0" w:color="auto"/>
              <w:right w:val="single" w:sz="4" w:space="0" w:color="auto"/>
            </w:tcBorders>
            <w:shd w:val="clear" w:color="000000" w:fill="FFFFFF"/>
            <w:vAlign w:val="center"/>
            <w:hideMark/>
          </w:tcPr>
          <w:p w14:paraId="25062C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3,113,400</w:t>
            </w:r>
          </w:p>
        </w:tc>
        <w:tc>
          <w:tcPr>
            <w:tcW w:w="0" w:type="auto"/>
            <w:tcBorders>
              <w:top w:val="nil"/>
              <w:left w:val="nil"/>
              <w:bottom w:val="single" w:sz="4" w:space="0" w:color="auto"/>
              <w:right w:val="single" w:sz="4" w:space="0" w:color="auto"/>
            </w:tcBorders>
            <w:shd w:val="clear" w:color="000000" w:fill="FFFFFF"/>
            <w:vAlign w:val="center"/>
            <w:hideMark/>
          </w:tcPr>
          <w:p w14:paraId="78F0A8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385F0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3,113,400</w:t>
            </w:r>
          </w:p>
        </w:tc>
        <w:tc>
          <w:tcPr>
            <w:tcW w:w="0" w:type="auto"/>
            <w:tcBorders>
              <w:top w:val="nil"/>
              <w:left w:val="nil"/>
              <w:bottom w:val="single" w:sz="4" w:space="0" w:color="auto"/>
              <w:right w:val="single" w:sz="4" w:space="0" w:color="auto"/>
            </w:tcBorders>
            <w:shd w:val="clear" w:color="000000" w:fill="FFFFFF"/>
            <w:noWrap/>
            <w:vAlign w:val="center"/>
            <w:hideMark/>
          </w:tcPr>
          <w:p w14:paraId="047AF8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1,868,040</w:t>
            </w:r>
          </w:p>
        </w:tc>
        <w:tc>
          <w:tcPr>
            <w:tcW w:w="0" w:type="auto"/>
            <w:tcBorders>
              <w:top w:val="nil"/>
              <w:left w:val="nil"/>
              <w:bottom w:val="single" w:sz="4" w:space="0" w:color="auto"/>
              <w:right w:val="single" w:sz="4" w:space="0" w:color="auto"/>
            </w:tcBorders>
            <w:shd w:val="clear" w:color="000000" w:fill="FFFFFF"/>
            <w:noWrap/>
            <w:vAlign w:val="center"/>
            <w:hideMark/>
          </w:tcPr>
          <w:p w14:paraId="7CA955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46CF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1,868,040</w:t>
            </w:r>
          </w:p>
        </w:tc>
        <w:tc>
          <w:tcPr>
            <w:tcW w:w="0" w:type="auto"/>
            <w:tcBorders>
              <w:top w:val="nil"/>
              <w:left w:val="nil"/>
              <w:bottom w:val="single" w:sz="4" w:space="0" w:color="auto"/>
              <w:right w:val="single" w:sz="4" w:space="0" w:color="auto"/>
            </w:tcBorders>
            <w:shd w:val="clear" w:color="000000" w:fill="FFFFFF"/>
            <w:noWrap/>
            <w:vAlign w:val="center"/>
            <w:hideMark/>
          </w:tcPr>
          <w:p w14:paraId="42874C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1,245,360</w:t>
            </w:r>
          </w:p>
        </w:tc>
        <w:tc>
          <w:tcPr>
            <w:tcW w:w="0" w:type="auto"/>
            <w:tcBorders>
              <w:top w:val="nil"/>
              <w:left w:val="nil"/>
              <w:bottom w:val="single" w:sz="4" w:space="0" w:color="auto"/>
              <w:right w:val="single" w:sz="4" w:space="0" w:color="auto"/>
            </w:tcBorders>
            <w:shd w:val="clear" w:color="000000" w:fill="FFFFFF"/>
            <w:noWrap/>
            <w:vAlign w:val="center"/>
            <w:hideMark/>
          </w:tcPr>
          <w:p w14:paraId="5B83A3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420CD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1,245,360</w:t>
            </w:r>
          </w:p>
        </w:tc>
        <w:tc>
          <w:tcPr>
            <w:tcW w:w="0" w:type="auto"/>
            <w:tcBorders>
              <w:top w:val="nil"/>
              <w:left w:val="nil"/>
              <w:bottom w:val="single" w:sz="4" w:space="0" w:color="auto"/>
              <w:right w:val="single" w:sz="4" w:space="0" w:color="auto"/>
            </w:tcBorders>
            <w:shd w:val="clear" w:color="000000" w:fill="FFFFFF"/>
            <w:vAlign w:val="center"/>
            <w:hideMark/>
          </w:tcPr>
          <w:p w14:paraId="597030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00932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DB5D5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99869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723D5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259969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CAFE6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2.6.8</w:t>
            </w:r>
          </w:p>
        </w:tc>
        <w:tc>
          <w:tcPr>
            <w:tcW w:w="0" w:type="auto"/>
            <w:tcBorders>
              <w:top w:val="nil"/>
              <w:left w:val="nil"/>
              <w:bottom w:val="single" w:sz="4" w:space="0" w:color="auto"/>
              <w:right w:val="single" w:sz="4" w:space="0" w:color="auto"/>
            </w:tcBorders>
            <w:shd w:val="clear" w:color="000000" w:fill="FFFFFF"/>
            <w:hideMark/>
          </w:tcPr>
          <w:p w14:paraId="431B3DA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Përmirësimi i elementeve funksionale të regjistrit elektronik të aseteve të sekuestruara dhe të konfiskuara, me përmirësimin e kontrollit të cilësisë së të dhënave, sigurimin e përditësimeve në kohë, përmirësimin e menaxhimit të aksesit të përdoruesit dhe të auditueshmërisë, duke mundësuar funksionalitetet raportuese dhe analitike në mbështetje të vendimmarrjes për administrimin, asgjësimin dhe ripërdorimin.</w:t>
            </w:r>
          </w:p>
        </w:tc>
        <w:tc>
          <w:tcPr>
            <w:tcW w:w="0" w:type="auto"/>
            <w:tcBorders>
              <w:top w:val="nil"/>
              <w:left w:val="nil"/>
              <w:bottom w:val="single" w:sz="4" w:space="0" w:color="auto"/>
              <w:right w:val="single" w:sz="4" w:space="0" w:color="auto"/>
            </w:tcBorders>
            <w:shd w:val="clear" w:color="000000" w:fill="FFFFFF"/>
            <w:vAlign w:val="center"/>
            <w:hideMark/>
          </w:tcPr>
          <w:p w14:paraId="0717F6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91601AH</w:t>
            </w:r>
          </w:p>
        </w:tc>
        <w:tc>
          <w:tcPr>
            <w:tcW w:w="0" w:type="auto"/>
            <w:tcBorders>
              <w:top w:val="nil"/>
              <w:left w:val="nil"/>
              <w:bottom w:val="single" w:sz="4" w:space="0" w:color="auto"/>
              <w:right w:val="single" w:sz="4" w:space="0" w:color="auto"/>
            </w:tcBorders>
            <w:shd w:val="clear" w:color="000000" w:fill="FFFFFF"/>
            <w:vAlign w:val="center"/>
            <w:hideMark/>
          </w:tcPr>
          <w:p w14:paraId="3D4DAD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Agjencia e Administrimit të Pasurive të Sekuestruara dhe Konfiskuara </w:t>
            </w:r>
          </w:p>
        </w:tc>
        <w:tc>
          <w:tcPr>
            <w:tcW w:w="0" w:type="auto"/>
            <w:tcBorders>
              <w:top w:val="nil"/>
              <w:left w:val="nil"/>
              <w:bottom w:val="single" w:sz="4" w:space="0" w:color="auto"/>
              <w:right w:val="single" w:sz="4" w:space="0" w:color="auto"/>
            </w:tcBorders>
            <w:shd w:val="clear" w:color="000000" w:fill="FFFFFF"/>
            <w:vAlign w:val="center"/>
            <w:hideMark/>
          </w:tcPr>
          <w:p w14:paraId="67F44B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206F22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F857E2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F4504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5BADE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vAlign w:val="center"/>
            <w:hideMark/>
          </w:tcPr>
          <w:p w14:paraId="7CF55B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40,000,000</w:t>
            </w:r>
          </w:p>
        </w:tc>
        <w:tc>
          <w:tcPr>
            <w:tcW w:w="0" w:type="auto"/>
            <w:tcBorders>
              <w:top w:val="nil"/>
              <w:left w:val="nil"/>
              <w:bottom w:val="single" w:sz="4" w:space="0" w:color="auto"/>
              <w:right w:val="single" w:sz="4" w:space="0" w:color="auto"/>
            </w:tcBorders>
            <w:shd w:val="clear" w:color="000000" w:fill="FFFFFF"/>
            <w:vAlign w:val="center"/>
            <w:hideMark/>
          </w:tcPr>
          <w:p w14:paraId="6BC779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E9E9E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w:t>
            </w:r>
          </w:p>
        </w:tc>
        <w:tc>
          <w:tcPr>
            <w:tcW w:w="0" w:type="auto"/>
            <w:tcBorders>
              <w:top w:val="nil"/>
              <w:left w:val="nil"/>
              <w:bottom w:val="single" w:sz="4" w:space="0" w:color="auto"/>
              <w:right w:val="single" w:sz="4" w:space="0" w:color="auto"/>
            </w:tcBorders>
            <w:shd w:val="clear" w:color="000000" w:fill="FFFFFF"/>
            <w:vAlign w:val="center"/>
            <w:hideMark/>
          </w:tcPr>
          <w:p w14:paraId="063616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w:t>
            </w:r>
          </w:p>
        </w:tc>
        <w:tc>
          <w:tcPr>
            <w:tcW w:w="0" w:type="auto"/>
            <w:tcBorders>
              <w:top w:val="nil"/>
              <w:left w:val="nil"/>
              <w:bottom w:val="single" w:sz="4" w:space="0" w:color="auto"/>
              <w:right w:val="single" w:sz="4" w:space="0" w:color="auto"/>
            </w:tcBorders>
            <w:shd w:val="clear" w:color="000000" w:fill="FFFFFF"/>
            <w:vAlign w:val="center"/>
            <w:hideMark/>
          </w:tcPr>
          <w:p w14:paraId="640B7B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78465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w:t>
            </w:r>
          </w:p>
        </w:tc>
        <w:tc>
          <w:tcPr>
            <w:tcW w:w="0" w:type="auto"/>
            <w:tcBorders>
              <w:top w:val="nil"/>
              <w:left w:val="nil"/>
              <w:bottom w:val="single" w:sz="4" w:space="0" w:color="auto"/>
              <w:right w:val="single" w:sz="4" w:space="0" w:color="auto"/>
            </w:tcBorders>
            <w:shd w:val="clear" w:color="000000" w:fill="FFFFFF"/>
            <w:vAlign w:val="center"/>
            <w:hideMark/>
          </w:tcPr>
          <w:p w14:paraId="1D3B6C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w:t>
            </w:r>
          </w:p>
        </w:tc>
        <w:tc>
          <w:tcPr>
            <w:tcW w:w="0" w:type="auto"/>
            <w:tcBorders>
              <w:top w:val="nil"/>
              <w:left w:val="nil"/>
              <w:bottom w:val="single" w:sz="4" w:space="0" w:color="auto"/>
              <w:right w:val="single" w:sz="4" w:space="0" w:color="auto"/>
            </w:tcBorders>
            <w:shd w:val="clear" w:color="000000" w:fill="FFFFFF"/>
            <w:vAlign w:val="center"/>
            <w:hideMark/>
          </w:tcPr>
          <w:p w14:paraId="0BAB94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06B90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w:t>
            </w:r>
          </w:p>
        </w:tc>
        <w:tc>
          <w:tcPr>
            <w:tcW w:w="0" w:type="auto"/>
            <w:tcBorders>
              <w:top w:val="nil"/>
              <w:left w:val="nil"/>
              <w:bottom w:val="single" w:sz="4" w:space="0" w:color="auto"/>
              <w:right w:val="single" w:sz="4" w:space="0" w:color="auto"/>
            </w:tcBorders>
            <w:shd w:val="clear" w:color="000000" w:fill="FFFFFF"/>
            <w:vAlign w:val="center"/>
            <w:hideMark/>
          </w:tcPr>
          <w:p w14:paraId="498878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w:t>
            </w:r>
          </w:p>
        </w:tc>
        <w:tc>
          <w:tcPr>
            <w:tcW w:w="0" w:type="auto"/>
            <w:tcBorders>
              <w:top w:val="nil"/>
              <w:left w:val="nil"/>
              <w:bottom w:val="single" w:sz="4" w:space="0" w:color="auto"/>
              <w:right w:val="single" w:sz="4" w:space="0" w:color="auto"/>
            </w:tcBorders>
            <w:shd w:val="clear" w:color="000000" w:fill="FFFFFF"/>
            <w:vAlign w:val="center"/>
            <w:hideMark/>
          </w:tcPr>
          <w:p w14:paraId="139317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CF869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w:t>
            </w:r>
          </w:p>
        </w:tc>
        <w:tc>
          <w:tcPr>
            <w:tcW w:w="0" w:type="auto"/>
            <w:tcBorders>
              <w:top w:val="nil"/>
              <w:left w:val="nil"/>
              <w:bottom w:val="single" w:sz="4" w:space="0" w:color="auto"/>
              <w:right w:val="single" w:sz="4" w:space="0" w:color="auto"/>
            </w:tcBorders>
            <w:shd w:val="clear" w:color="000000" w:fill="FFFFFF"/>
            <w:vAlign w:val="center"/>
            <w:hideMark/>
          </w:tcPr>
          <w:p w14:paraId="3100C0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w:t>
            </w:r>
          </w:p>
        </w:tc>
        <w:tc>
          <w:tcPr>
            <w:tcW w:w="0" w:type="auto"/>
            <w:tcBorders>
              <w:top w:val="nil"/>
              <w:left w:val="nil"/>
              <w:bottom w:val="single" w:sz="4" w:space="0" w:color="auto"/>
              <w:right w:val="single" w:sz="4" w:space="0" w:color="auto"/>
            </w:tcBorders>
            <w:shd w:val="clear" w:color="000000" w:fill="FFFFFF"/>
            <w:vAlign w:val="center"/>
            <w:hideMark/>
          </w:tcPr>
          <w:p w14:paraId="04F65F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B1E1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vAlign w:val="center"/>
            <w:hideMark/>
          </w:tcPr>
          <w:p w14:paraId="1514EE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noWrap/>
            <w:vAlign w:val="center"/>
            <w:hideMark/>
          </w:tcPr>
          <w:p w14:paraId="5F2082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D2EC94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6EC3C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FD9CB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1666E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1A184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C7301C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1813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vAlign w:val="center"/>
            <w:hideMark/>
          </w:tcPr>
          <w:p w14:paraId="3DC11C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GIZ</w:t>
            </w:r>
          </w:p>
        </w:tc>
        <w:tc>
          <w:tcPr>
            <w:tcW w:w="0" w:type="auto"/>
            <w:tcBorders>
              <w:top w:val="nil"/>
              <w:left w:val="nil"/>
              <w:bottom w:val="single" w:sz="4" w:space="0" w:color="auto"/>
              <w:right w:val="single" w:sz="4" w:space="0" w:color="auto"/>
            </w:tcBorders>
            <w:shd w:val="clear" w:color="000000" w:fill="FFFFFF"/>
            <w:vAlign w:val="center"/>
            <w:hideMark/>
          </w:tcPr>
          <w:p w14:paraId="346B62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8" w:space="0" w:color="auto"/>
            </w:tcBorders>
            <w:shd w:val="clear" w:color="000000" w:fill="FFFFFF"/>
            <w:vAlign w:val="center"/>
            <w:hideMark/>
          </w:tcPr>
          <w:p w14:paraId="16BB16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EEC53C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42EDA2C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2.6.9</w:t>
            </w:r>
          </w:p>
        </w:tc>
        <w:tc>
          <w:tcPr>
            <w:tcW w:w="0" w:type="auto"/>
            <w:tcBorders>
              <w:top w:val="nil"/>
              <w:left w:val="nil"/>
              <w:bottom w:val="single" w:sz="4" w:space="0" w:color="auto"/>
              <w:right w:val="single" w:sz="4" w:space="0" w:color="auto"/>
            </w:tcBorders>
            <w:shd w:val="clear" w:color="000000" w:fill="FFFFFF"/>
            <w:vAlign w:val="center"/>
            <w:hideMark/>
          </w:tcPr>
          <w:p w14:paraId="318BB01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shkëmbimit ndërinstitucional dhe ndërkombëtar të informacionit në fushën e aseteve të sekuestruara, si dhe sigurimi/zgjerimi i aksesit në bazat e të dhënave përkatëse, përmes kanaleve të sigurta, autorizimeve të qarta dhe modaliteteve të ndërveprueshmërisë, me qëllim përmirësimin e gjurmimit, verifikimit, administrimit dhe ripërdorimit të aseteve në kohë.</w:t>
            </w:r>
          </w:p>
        </w:tc>
        <w:tc>
          <w:tcPr>
            <w:tcW w:w="0" w:type="auto"/>
            <w:tcBorders>
              <w:top w:val="nil"/>
              <w:left w:val="nil"/>
              <w:bottom w:val="single" w:sz="4" w:space="0" w:color="auto"/>
              <w:right w:val="single" w:sz="4" w:space="0" w:color="auto"/>
            </w:tcBorders>
            <w:shd w:val="clear" w:color="000000" w:fill="FFFFFF"/>
            <w:vAlign w:val="center"/>
            <w:hideMark/>
          </w:tcPr>
          <w:p w14:paraId="56F075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91601AG</w:t>
            </w:r>
          </w:p>
        </w:tc>
        <w:tc>
          <w:tcPr>
            <w:tcW w:w="0" w:type="auto"/>
            <w:tcBorders>
              <w:top w:val="nil"/>
              <w:left w:val="nil"/>
              <w:bottom w:val="single" w:sz="4" w:space="0" w:color="auto"/>
              <w:right w:val="single" w:sz="4" w:space="0" w:color="auto"/>
            </w:tcBorders>
            <w:shd w:val="clear" w:color="000000" w:fill="FFFFFF"/>
            <w:vAlign w:val="center"/>
            <w:hideMark/>
          </w:tcPr>
          <w:p w14:paraId="61DFFE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Agjencia e Administrimit të Pasurive të Sekuestruara dhe Konfiskuara </w:t>
            </w:r>
          </w:p>
        </w:tc>
        <w:tc>
          <w:tcPr>
            <w:tcW w:w="0" w:type="auto"/>
            <w:tcBorders>
              <w:top w:val="nil"/>
              <w:left w:val="nil"/>
              <w:bottom w:val="single" w:sz="4" w:space="0" w:color="auto"/>
              <w:right w:val="single" w:sz="4" w:space="0" w:color="auto"/>
            </w:tcBorders>
            <w:shd w:val="clear" w:color="000000" w:fill="FFFFFF"/>
            <w:vAlign w:val="center"/>
            <w:hideMark/>
          </w:tcPr>
          <w:p w14:paraId="693C60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C5548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EDC816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C5CE7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43370F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5B81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7B8745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0F8758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65B22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013661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1E372E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61230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42DD36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3B7801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E374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01F551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3B319F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BD1E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8,400,000</w:t>
            </w:r>
          </w:p>
        </w:tc>
        <w:tc>
          <w:tcPr>
            <w:tcW w:w="0" w:type="auto"/>
            <w:tcBorders>
              <w:top w:val="nil"/>
              <w:left w:val="nil"/>
              <w:bottom w:val="single" w:sz="4" w:space="0" w:color="auto"/>
              <w:right w:val="single" w:sz="4" w:space="0" w:color="auto"/>
            </w:tcBorders>
            <w:shd w:val="clear" w:color="000000" w:fill="FFFFFF"/>
            <w:vAlign w:val="center"/>
            <w:hideMark/>
          </w:tcPr>
          <w:p w14:paraId="6757E8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42,000,000</w:t>
            </w:r>
          </w:p>
        </w:tc>
        <w:tc>
          <w:tcPr>
            <w:tcW w:w="0" w:type="auto"/>
            <w:tcBorders>
              <w:top w:val="nil"/>
              <w:left w:val="nil"/>
              <w:bottom w:val="single" w:sz="4" w:space="0" w:color="auto"/>
              <w:right w:val="single" w:sz="4" w:space="0" w:color="auto"/>
            </w:tcBorders>
            <w:shd w:val="clear" w:color="000000" w:fill="FFFFFF"/>
            <w:vAlign w:val="center"/>
            <w:hideMark/>
          </w:tcPr>
          <w:p w14:paraId="327D5D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E88C7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42,000,000</w:t>
            </w:r>
          </w:p>
        </w:tc>
        <w:tc>
          <w:tcPr>
            <w:tcW w:w="0" w:type="auto"/>
            <w:tcBorders>
              <w:top w:val="nil"/>
              <w:left w:val="nil"/>
              <w:bottom w:val="single" w:sz="4" w:space="0" w:color="auto"/>
              <w:right w:val="single" w:sz="4" w:space="0" w:color="auto"/>
            </w:tcBorders>
            <w:shd w:val="clear" w:color="000000" w:fill="FFFFFF"/>
            <w:noWrap/>
            <w:vAlign w:val="center"/>
            <w:hideMark/>
          </w:tcPr>
          <w:p w14:paraId="305C5B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25,200,000</w:t>
            </w:r>
          </w:p>
        </w:tc>
        <w:tc>
          <w:tcPr>
            <w:tcW w:w="0" w:type="auto"/>
            <w:tcBorders>
              <w:top w:val="nil"/>
              <w:left w:val="nil"/>
              <w:bottom w:val="single" w:sz="4" w:space="0" w:color="auto"/>
              <w:right w:val="single" w:sz="4" w:space="0" w:color="auto"/>
            </w:tcBorders>
            <w:shd w:val="clear" w:color="000000" w:fill="FFFFFF"/>
            <w:noWrap/>
            <w:vAlign w:val="center"/>
            <w:hideMark/>
          </w:tcPr>
          <w:p w14:paraId="622EC0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69BAC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25,200,000</w:t>
            </w:r>
          </w:p>
        </w:tc>
        <w:tc>
          <w:tcPr>
            <w:tcW w:w="0" w:type="auto"/>
            <w:tcBorders>
              <w:top w:val="nil"/>
              <w:left w:val="nil"/>
              <w:bottom w:val="single" w:sz="4" w:space="0" w:color="auto"/>
              <w:right w:val="single" w:sz="4" w:space="0" w:color="auto"/>
            </w:tcBorders>
            <w:shd w:val="clear" w:color="000000" w:fill="FFFFFF"/>
            <w:noWrap/>
            <w:vAlign w:val="center"/>
            <w:hideMark/>
          </w:tcPr>
          <w:p w14:paraId="0D28B3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16,800,000</w:t>
            </w:r>
          </w:p>
        </w:tc>
        <w:tc>
          <w:tcPr>
            <w:tcW w:w="0" w:type="auto"/>
            <w:tcBorders>
              <w:top w:val="nil"/>
              <w:left w:val="nil"/>
              <w:bottom w:val="single" w:sz="4" w:space="0" w:color="auto"/>
              <w:right w:val="single" w:sz="4" w:space="0" w:color="auto"/>
            </w:tcBorders>
            <w:shd w:val="clear" w:color="000000" w:fill="FFFFFF"/>
            <w:noWrap/>
            <w:vAlign w:val="center"/>
            <w:hideMark/>
          </w:tcPr>
          <w:p w14:paraId="6D8A8D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5B51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16,800,000</w:t>
            </w:r>
          </w:p>
        </w:tc>
        <w:tc>
          <w:tcPr>
            <w:tcW w:w="0" w:type="auto"/>
            <w:tcBorders>
              <w:top w:val="nil"/>
              <w:left w:val="nil"/>
              <w:bottom w:val="single" w:sz="4" w:space="0" w:color="auto"/>
              <w:right w:val="single" w:sz="4" w:space="0" w:color="auto"/>
            </w:tcBorders>
            <w:shd w:val="clear" w:color="000000" w:fill="FFFFFF"/>
            <w:vAlign w:val="center"/>
            <w:hideMark/>
          </w:tcPr>
          <w:p w14:paraId="05418B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A40C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68BEE8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14AE4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126F7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3663271"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437D1DF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hideMark/>
          </w:tcPr>
          <w:p w14:paraId="31F24E57" w14:textId="7AD86114"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 xml:space="preserve">ja </w:t>
            </w:r>
            <w:r w:rsidRPr="002128A6">
              <w:rPr>
                <w:rFonts w:ascii="Garamond" w:eastAsia="Times New Roman" w:hAnsi="Garamond" w:cs="Times New Roman"/>
                <w:b/>
                <w:bCs/>
                <w:kern w:val="0"/>
                <w:sz w:val="4"/>
                <w:szCs w:val="8"/>
                <w14:ligatures w14:val="none"/>
              </w:rPr>
              <w:t>Objektivi specifik 2.6</w:t>
            </w:r>
          </w:p>
        </w:tc>
        <w:tc>
          <w:tcPr>
            <w:tcW w:w="0" w:type="auto"/>
            <w:tcBorders>
              <w:top w:val="nil"/>
              <w:left w:val="nil"/>
              <w:bottom w:val="single" w:sz="4" w:space="0" w:color="auto"/>
              <w:right w:val="single" w:sz="4" w:space="0" w:color="auto"/>
            </w:tcBorders>
            <w:shd w:val="clear" w:color="000000" w:fill="5B9BD5"/>
            <w:vAlign w:val="center"/>
            <w:hideMark/>
          </w:tcPr>
          <w:p w14:paraId="37B4246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4E4E06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2B82961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BC561D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E47AC1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EA16AD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27,432,680</w:t>
            </w:r>
          </w:p>
        </w:tc>
        <w:tc>
          <w:tcPr>
            <w:tcW w:w="0" w:type="auto"/>
            <w:tcBorders>
              <w:top w:val="nil"/>
              <w:left w:val="nil"/>
              <w:bottom w:val="single" w:sz="4" w:space="0" w:color="auto"/>
              <w:right w:val="single" w:sz="4" w:space="0" w:color="auto"/>
            </w:tcBorders>
            <w:shd w:val="clear" w:color="000000" w:fill="5B9BD5"/>
            <w:vAlign w:val="center"/>
            <w:hideMark/>
          </w:tcPr>
          <w:p w14:paraId="218C59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1,050,000,000</w:t>
            </w:r>
          </w:p>
        </w:tc>
        <w:tc>
          <w:tcPr>
            <w:tcW w:w="0" w:type="auto"/>
            <w:tcBorders>
              <w:top w:val="nil"/>
              <w:left w:val="nil"/>
              <w:bottom w:val="single" w:sz="4" w:space="0" w:color="auto"/>
              <w:right w:val="single" w:sz="4" w:space="0" w:color="auto"/>
            </w:tcBorders>
            <w:shd w:val="clear" w:color="000000" w:fill="5B9BD5"/>
            <w:vAlign w:val="center"/>
            <w:hideMark/>
          </w:tcPr>
          <w:p w14:paraId="2041223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1,077,432,680</w:t>
            </w:r>
          </w:p>
        </w:tc>
        <w:tc>
          <w:tcPr>
            <w:tcW w:w="0" w:type="auto"/>
            <w:tcBorders>
              <w:top w:val="nil"/>
              <w:left w:val="nil"/>
              <w:bottom w:val="single" w:sz="4" w:space="0" w:color="auto"/>
              <w:right w:val="single" w:sz="4" w:space="0" w:color="auto"/>
            </w:tcBorders>
            <w:shd w:val="clear" w:color="000000" w:fill="5B9BD5"/>
            <w:vAlign w:val="center"/>
            <w:hideMark/>
          </w:tcPr>
          <w:p w14:paraId="7DCB41D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26,907,680</w:t>
            </w:r>
          </w:p>
        </w:tc>
        <w:tc>
          <w:tcPr>
            <w:tcW w:w="0" w:type="auto"/>
            <w:tcBorders>
              <w:top w:val="nil"/>
              <w:left w:val="nil"/>
              <w:bottom w:val="single" w:sz="4" w:space="0" w:color="auto"/>
              <w:right w:val="single" w:sz="4" w:space="0" w:color="auto"/>
            </w:tcBorders>
            <w:shd w:val="clear" w:color="000000" w:fill="5B9BD5"/>
            <w:vAlign w:val="center"/>
            <w:hideMark/>
          </w:tcPr>
          <w:p w14:paraId="79A8EF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1,035,525,000</w:t>
            </w:r>
          </w:p>
        </w:tc>
        <w:tc>
          <w:tcPr>
            <w:tcW w:w="0" w:type="auto"/>
            <w:tcBorders>
              <w:top w:val="nil"/>
              <w:left w:val="nil"/>
              <w:bottom w:val="single" w:sz="4" w:space="0" w:color="auto"/>
              <w:right w:val="single" w:sz="4" w:space="0" w:color="auto"/>
            </w:tcBorders>
            <w:shd w:val="clear" w:color="000000" w:fill="5B9BD5"/>
            <w:vAlign w:val="center"/>
            <w:hideMark/>
          </w:tcPr>
          <w:p w14:paraId="610A356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1,062,432,680</w:t>
            </w:r>
          </w:p>
        </w:tc>
        <w:tc>
          <w:tcPr>
            <w:tcW w:w="0" w:type="auto"/>
            <w:tcBorders>
              <w:top w:val="nil"/>
              <w:left w:val="nil"/>
              <w:bottom w:val="single" w:sz="4" w:space="0" w:color="auto"/>
              <w:right w:val="single" w:sz="4" w:space="0" w:color="auto"/>
            </w:tcBorders>
            <w:shd w:val="clear" w:color="000000" w:fill="5B9BD5"/>
            <w:vAlign w:val="center"/>
            <w:hideMark/>
          </w:tcPr>
          <w:p w14:paraId="5FAEF76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26,857,680</w:t>
            </w:r>
          </w:p>
        </w:tc>
        <w:tc>
          <w:tcPr>
            <w:tcW w:w="0" w:type="auto"/>
            <w:tcBorders>
              <w:top w:val="nil"/>
              <w:left w:val="nil"/>
              <w:bottom w:val="single" w:sz="4" w:space="0" w:color="auto"/>
              <w:right w:val="single" w:sz="4" w:space="0" w:color="auto"/>
            </w:tcBorders>
            <w:shd w:val="clear" w:color="000000" w:fill="5B9BD5"/>
            <w:vAlign w:val="center"/>
            <w:hideMark/>
          </w:tcPr>
          <w:p w14:paraId="5655D5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1,033,025,000</w:t>
            </w:r>
          </w:p>
        </w:tc>
        <w:tc>
          <w:tcPr>
            <w:tcW w:w="0" w:type="auto"/>
            <w:tcBorders>
              <w:top w:val="nil"/>
              <w:left w:val="nil"/>
              <w:bottom w:val="single" w:sz="4" w:space="0" w:color="auto"/>
              <w:right w:val="single" w:sz="4" w:space="0" w:color="auto"/>
            </w:tcBorders>
            <w:shd w:val="clear" w:color="000000" w:fill="5B9BD5"/>
            <w:vAlign w:val="center"/>
            <w:hideMark/>
          </w:tcPr>
          <w:p w14:paraId="35DE1AF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1,059,882,680</w:t>
            </w:r>
          </w:p>
        </w:tc>
        <w:tc>
          <w:tcPr>
            <w:tcW w:w="0" w:type="auto"/>
            <w:tcBorders>
              <w:top w:val="nil"/>
              <w:left w:val="nil"/>
              <w:bottom w:val="single" w:sz="4" w:space="0" w:color="auto"/>
              <w:right w:val="single" w:sz="4" w:space="0" w:color="auto"/>
            </w:tcBorders>
            <w:shd w:val="clear" w:color="000000" w:fill="5B9BD5"/>
            <w:vAlign w:val="center"/>
            <w:hideMark/>
          </w:tcPr>
          <w:p w14:paraId="24BE71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26,857,680</w:t>
            </w:r>
          </w:p>
        </w:tc>
        <w:tc>
          <w:tcPr>
            <w:tcW w:w="0" w:type="auto"/>
            <w:tcBorders>
              <w:top w:val="nil"/>
              <w:left w:val="nil"/>
              <w:bottom w:val="single" w:sz="4" w:space="0" w:color="auto"/>
              <w:right w:val="single" w:sz="4" w:space="0" w:color="auto"/>
            </w:tcBorders>
            <w:shd w:val="clear" w:color="000000" w:fill="5B9BD5"/>
            <w:vAlign w:val="center"/>
            <w:hideMark/>
          </w:tcPr>
          <w:p w14:paraId="3913D15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1,033,025,000</w:t>
            </w:r>
          </w:p>
        </w:tc>
        <w:tc>
          <w:tcPr>
            <w:tcW w:w="0" w:type="auto"/>
            <w:tcBorders>
              <w:top w:val="nil"/>
              <w:left w:val="nil"/>
              <w:bottom w:val="single" w:sz="4" w:space="0" w:color="auto"/>
              <w:right w:val="single" w:sz="4" w:space="0" w:color="auto"/>
            </w:tcBorders>
            <w:shd w:val="clear" w:color="000000" w:fill="5B9BD5"/>
            <w:vAlign w:val="center"/>
            <w:hideMark/>
          </w:tcPr>
          <w:p w14:paraId="48532B7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1,059,882,680</w:t>
            </w:r>
          </w:p>
        </w:tc>
        <w:tc>
          <w:tcPr>
            <w:tcW w:w="0" w:type="auto"/>
            <w:tcBorders>
              <w:top w:val="nil"/>
              <w:left w:val="nil"/>
              <w:bottom w:val="single" w:sz="4" w:space="0" w:color="auto"/>
              <w:right w:val="single" w:sz="4" w:space="0" w:color="auto"/>
            </w:tcBorders>
            <w:shd w:val="clear" w:color="000000" w:fill="5B9BD5"/>
            <w:vAlign w:val="center"/>
            <w:hideMark/>
          </w:tcPr>
          <w:p w14:paraId="39B7F9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26,857,680</w:t>
            </w:r>
          </w:p>
        </w:tc>
        <w:tc>
          <w:tcPr>
            <w:tcW w:w="0" w:type="auto"/>
            <w:tcBorders>
              <w:top w:val="nil"/>
              <w:left w:val="nil"/>
              <w:bottom w:val="single" w:sz="4" w:space="0" w:color="auto"/>
              <w:right w:val="single" w:sz="4" w:space="0" w:color="auto"/>
            </w:tcBorders>
            <w:shd w:val="clear" w:color="000000" w:fill="5B9BD5"/>
            <w:vAlign w:val="center"/>
            <w:hideMark/>
          </w:tcPr>
          <w:p w14:paraId="61FCF18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1,033,025,000</w:t>
            </w:r>
          </w:p>
        </w:tc>
        <w:tc>
          <w:tcPr>
            <w:tcW w:w="0" w:type="auto"/>
            <w:tcBorders>
              <w:top w:val="nil"/>
              <w:left w:val="nil"/>
              <w:bottom w:val="single" w:sz="4" w:space="0" w:color="auto"/>
              <w:right w:val="single" w:sz="4" w:space="0" w:color="auto"/>
            </w:tcBorders>
            <w:shd w:val="clear" w:color="000000" w:fill="5B9BD5"/>
            <w:vAlign w:val="center"/>
            <w:hideMark/>
          </w:tcPr>
          <w:p w14:paraId="3FCB04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1,059,882,680</w:t>
            </w:r>
          </w:p>
        </w:tc>
        <w:tc>
          <w:tcPr>
            <w:tcW w:w="0" w:type="auto"/>
            <w:tcBorders>
              <w:top w:val="nil"/>
              <w:left w:val="nil"/>
              <w:bottom w:val="single" w:sz="4" w:space="0" w:color="auto"/>
              <w:right w:val="single" w:sz="4" w:space="0" w:color="auto"/>
            </w:tcBorders>
            <w:shd w:val="clear" w:color="000000" w:fill="5B9BD5"/>
            <w:vAlign w:val="center"/>
            <w:hideMark/>
          </w:tcPr>
          <w:p w14:paraId="6A6C831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134,913,400</w:t>
            </w:r>
          </w:p>
        </w:tc>
        <w:tc>
          <w:tcPr>
            <w:tcW w:w="0" w:type="auto"/>
            <w:tcBorders>
              <w:top w:val="nil"/>
              <w:left w:val="nil"/>
              <w:bottom w:val="single" w:sz="4" w:space="0" w:color="auto"/>
              <w:right w:val="single" w:sz="4" w:space="0" w:color="auto"/>
            </w:tcBorders>
            <w:shd w:val="clear" w:color="000000" w:fill="5B9BD5"/>
            <w:vAlign w:val="center"/>
            <w:hideMark/>
          </w:tcPr>
          <w:p w14:paraId="5FEE31D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3,118,550,000</w:t>
            </w:r>
          </w:p>
        </w:tc>
        <w:tc>
          <w:tcPr>
            <w:tcW w:w="0" w:type="auto"/>
            <w:tcBorders>
              <w:top w:val="nil"/>
              <w:left w:val="nil"/>
              <w:bottom w:val="single" w:sz="4" w:space="0" w:color="auto"/>
              <w:right w:val="single" w:sz="4" w:space="0" w:color="auto"/>
            </w:tcBorders>
            <w:shd w:val="clear" w:color="000000" w:fill="5B9BD5"/>
            <w:vAlign w:val="center"/>
            <w:hideMark/>
          </w:tcPr>
          <w:p w14:paraId="4FFBFF0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3,253,463,400</w:t>
            </w:r>
          </w:p>
        </w:tc>
        <w:tc>
          <w:tcPr>
            <w:tcW w:w="0" w:type="auto"/>
            <w:tcBorders>
              <w:top w:val="nil"/>
              <w:left w:val="nil"/>
              <w:bottom w:val="single" w:sz="4" w:space="0" w:color="auto"/>
              <w:right w:val="single" w:sz="4" w:space="0" w:color="auto"/>
            </w:tcBorders>
            <w:shd w:val="clear" w:color="000000" w:fill="5B9BD5"/>
            <w:vAlign w:val="center"/>
            <w:hideMark/>
          </w:tcPr>
          <w:p w14:paraId="11742A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81,198,040</w:t>
            </w:r>
          </w:p>
        </w:tc>
        <w:tc>
          <w:tcPr>
            <w:tcW w:w="0" w:type="auto"/>
            <w:tcBorders>
              <w:top w:val="nil"/>
              <w:left w:val="nil"/>
              <w:bottom w:val="single" w:sz="4" w:space="0" w:color="auto"/>
              <w:right w:val="single" w:sz="4" w:space="0" w:color="auto"/>
            </w:tcBorders>
            <w:shd w:val="clear" w:color="000000" w:fill="5B9BD5"/>
            <w:vAlign w:val="center"/>
            <w:hideMark/>
          </w:tcPr>
          <w:p w14:paraId="3088B07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6E741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81,198,040</w:t>
            </w:r>
          </w:p>
        </w:tc>
        <w:tc>
          <w:tcPr>
            <w:tcW w:w="0" w:type="auto"/>
            <w:tcBorders>
              <w:top w:val="nil"/>
              <w:left w:val="nil"/>
              <w:bottom w:val="single" w:sz="4" w:space="0" w:color="auto"/>
              <w:right w:val="single" w:sz="4" w:space="0" w:color="auto"/>
            </w:tcBorders>
            <w:shd w:val="clear" w:color="000000" w:fill="5B9BD5"/>
            <w:vAlign w:val="center"/>
            <w:hideMark/>
          </w:tcPr>
          <w:p w14:paraId="70DA6E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53,715,360</w:t>
            </w:r>
          </w:p>
        </w:tc>
        <w:tc>
          <w:tcPr>
            <w:tcW w:w="0" w:type="auto"/>
            <w:tcBorders>
              <w:top w:val="nil"/>
              <w:left w:val="nil"/>
              <w:bottom w:val="single" w:sz="4" w:space="0" w:color="auto"/>
              <w:right w:val="single" w:sz="4" w:space="0" w:color="auto"/>
            </w:tcBorders>
            <w:shd w:val="clear" w:color="000000" w:fill="5B9BD5"/>
            <w:vAlign w:val="center"/>
            <w:hideMark/>
          </w:tcPr>
          <w:p w14:paraId="06BCFA5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1,050,000</w:t>
            </w:r>
          </w:p>
        </w:tc>
        <w:tc>
          <w:tcPr>
            <w:tcW w:w="0" w:type="auto"/>
            <w:tcBorders>
              <w:top w:val="nil"/>
              <w:left w:val="nil"/>
              <w:bottom w:val="single" w:sz="4" w:space="0" w:color="auto"/>
              <w:right w:val="single" w:sz="4" w:space="0" w:color="auto"/>
            </w:tcBorders>
            <w:shd w:val="clear" w:color="000000" w:fill="5B9BD5"/>
            <w:vAlign w:val="center"/>
            <w:hideMark/>
          </w:tcPr>
          <w:p w14:paraId="1ADB7F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54,765,360</w:t>
            </w:r>
          </w:p>
        </w:tc>
        <w:tc>
          <w:tcPr>
            <w:tcW w:w="0" w:type="auto"/>
            <w:tcBorders>
              <w:top w:val="nil"/>
              <w:left w:val="nil"/>
              <w:bottom w:val="single" w:sz="4" w:space="0" w:color="auto"/>
              <w:right w:val="single" w:sz="4" w:space="0" w:color="auto"/>
            </w:tcBorders>
            <w:shd w:val="clear" w:color="000000" w:fill="5B9BD5"/>
            <w:vAlign w:val="center"/>
            <w:hideMark/>
          </w:tcPr>
          <w:p w14:paraId="71C43E7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09D092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3,117,500,000</w:t>
            </w:r>
          </w:p>
        </w:tc>
        <w:tc>
          <w:tcPr>
            <w:tcW w:w="0" w:type="auto"/>
            <w:tcBorders>
              <w:top w:val="nil"/>
              <w:left w:val="nil"/>
              <w:bottom w:val="single" w:sz="4" w:space="0" w:color="auto"/>
              <w:right w:val="single" w:sz="4" w:space="0" w:color="auto"/>
            </w:tcBorders>
            <w:shd w:val="clear" w:color="000000" w:fill="5B9BD5"/>
            <w:vAlign w:val="center"/>
            <w:hideMark/>
          </w:tcPr>
          <w:p w14:paraId="7375511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6B3FDF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3,117,500,000</w:t>
            </w:r>
          </w:p>
        </w:tc>
        <w:tc>
          <w:tcPr>
            <w:tcW w:w="0" w:type="auto"/>
            <w:tcBorders>
              <w:top w:val="nil"/>
              <w:left w:val="nil"/>
              <w:bottom w:val="single" w:sz="4" w:space="0" w:color="auto"/>
              <w:right w:val="single" w:sz="4" w:space="0" w:color="auto"/>
            </w:tcBorders>
            <w:shd w:val="clear" w:color="000000" w:fill="5B9BD5"/>
            <w:vAlign w:val="center"/>
            <w:hideMark/>
          </w:tcPr>
          <w:p w14:paraId="7222280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20E78F5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69D589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w:t>
            </w:r>
          </w:p>
        </w:tc>
        <w:tc>
          <w:tcPr>
            <w:tcW w:w="0" w:type="auto"/>
            <w:tcBorders>
              <w:top w:val="nil"/>
              <w:left w:val="nil"/>
              <w:bottom w:val="single" w:sz="4" w:space="0" w:color="auto"/>
              <w:right w:val="nil"/>
            </w:tcBorders>
            <w:shd w:val="clear" w:color="000000" w:fill="FCE4D6"/>
            <w:vAlign w:val="center"/>
            <w:hideMark/>
          </w:tcPr>
          <w:p w14:paraId="3FFBBB31"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Përmirësimi i matshëm në hetimet dhe ndjekjet penale të udhëheqësve dhe anëtarëve të strukturave të krimit të organizuar, e demonstruar me rritjen e dënimeve të rënda dhe ekzekutimit të vendimeve gjyqësore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74923B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BEBDF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2FB37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A7FD71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56C6EC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BE333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649A8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2D178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91850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4DAA7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34B5B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D0269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0A8C7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5FF58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FF637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3CD4D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62BBA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698EA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359FE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E8DF5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70262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18AF0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A3434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FD83A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55307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D494B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FF000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54497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36B02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B5A7E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9AF26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F6E99F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14BE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23EEF2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73E9A20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5C7A6D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2.7.1</w:t>
            </w:r>
          </w:p>
        </w:tc>
        <w:tc>
          <w:tcPr>
            <w:tcW w:w="0" w:type="auto"/>
            <w:tcBorders>
              <w:top w:val="nil"/>
              <w:left w:val="nil"/>
              <w:bottom w:val="single" w:sz="4" w:space="0" w:color="auto"/>
              <w:right w:val="single" w:sz="4" w:space="0" w:color="auto"/>
            </w:tcBorders>
            <w:shd w:val="clear" w:color="000000" w:fill="FFFFFF"/>
            <w:vAlign w:val="center"/>
            <w:hideMark/>
          </w:tcPr>
          <w:p w14:paraId="4757762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Konsolidimi të dhënave statistikore mbi veprat penale të krimit të organizuar, përmes përdorimit të vazhdueshëm të platformës elektronike, duke siguruar hyrje të rregullt të të dhënave, validim, kontroll cilësie dhe raportim analitik për të mbështetur planifikimin operacional dhe vendimmarrjen strategjike.</w:t>
            </w:r>
            <w:r w:rsidRPr="002128A6">
              <w:rPr>
                <w:rFonts w:ascii="Garamond" w:eastAsia="Times New Roman" w:hAnsi="Garamond" w:cs="Times New Roman"/>
                <w:kern w:val="0"/>
                <w:sz w:val="4"/>
                <w:szCs w:val="8"/>
                <w14:ligatures w14:val="none"/>
              </w:rPr>
              <w:b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5D2C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91401AA</w:t>
            </w:r>
          </w:p>
        </w:tc>
        <w:tc>
          <w:tcPr>
            <w:tcW w:w="0" w:type="auto"/>
            <w:tcBorders>
              <w:top w:val="nil"/>
              <w:left w:val="nil"/>
              <w:bottom w:val="single" w:sz="4" w:space="0" w:color="auto"/>
              <w:right w:val="single" w:sz="4" w:space="0" w:color="auto"/>
            </w:tcBorders>
            <w:shd w:val="clear" w:color="000000" w:fill="FFFFFF"/>
            <w:vAlign w:val="center"/>
            <w:hideMark/>
          </w:tcPr>
          <w:p w14:paraId="6E7101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Drejtësisë</w:t>
            </w:r>
          </w:p>
        </w:tc>
        <w:tc>
          <w:tcPr>
            <w:tcW w:w="0" w:type="auto"/>
            <w:tcBorders>
              <w:top w:val="nil"/>
              <w:left w:val="nil"/>
              <w:bottom w:val="single" w:sz="4" w:space="0" w:color="auto"/>
              <w:right w:val="single" w:sz="4" w:space="0" w:color="auto"/>
            </w:tcBorders>
            <w:shd w:val="clear" w:color="000000" w:fill="FFFFFF"/>
            <w:vAlign w:val="center"/>
            <w:hideMark/>
          </w:tcPr>
          <w:p w14:paraId="0040B2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Byroja Kombëtare e Hetimit;Prokuroria e Posaçme; Gjykatat</w:t>
            </w:r>
          </w:p>
        </w:tc>
        <w:tc>
          <w:tcPr>
            <w:tcW w:w="0" w:type="auto"/>
            <w:tcBorders>
              <w:top w:val="nil"/>
              <w:left w:val="nil"/>
              <w:bottom w:val="single" w:sz="4" w:space="0" w:color="auto"/>
              <w:right w:val="single" w:sz="4" w:space="0" w:color="auto"/>
            </w:tcBorders>
            <w:shd w:val="clear" w:color="000000" w:fill="FFFFFF"/>
            <w:vAlign w:val="center"/>
            <w:hideMark/>
          </w:tcPr>
          <w:p w14:paraId="4D143D8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C89C00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B98E6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FFFFFF"/>
            <w:vAlign w:val="center"/>
            <w:hideMark/>
          </w:tcPr>
          <w:p w14:paraId="63D060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159C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FFFFFF"/>
            <w:vAlign w:val="center"/>
            <w:hideMark/>
          </w:tcPr>
          <w:p w14:paraId="741CF8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FFFFFF"/>
            <w:vAlign w:val="center"/>
            <w:hideMark/>
          </w:tcPr>
          <w:p w14:paraId="16828A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9024E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FFFFFF"/>
            <w:vAlign w:val="center"/>
            <w:hideMark/>
          </w:tcPr>
          <w:p w14:paraId="587BFA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FFFFFF"/>
            <w:vAlign w:val="center"/>
            <w:hideMark/>
          </w:tcPr>
          <w:p w14:paraId="274B37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B964B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480,000</w:t>
            </w:r>
          </w:p>
        </w:tc>
        <w:tc>
          <w:tcPr>
            <w:tcW w:w="0" w:type="auto"/>
            <w:tcBorders>
              <w:top w:val="nil"/>
              <w:left w:val="nil"/>
              <w:bottom w:val="single" w:sz="4" w:space="0" w:color="auto"/>
              <w:right w:val="single" w:sz="4" w:space="0" w:color="auto"/>
            </w:tcBorders>
            <w:shd w:val="clear" w:color="000000" w:fill="FFFFFF"/>
            <w:vAlign w:val="center"/>
            <w:hideMark/>
          </w:tcPr>
          <w:p w14:paraId="1FDBAA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9303A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4C46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2E05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8919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9172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E1FC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1,440,000</w:t>
            </w:r>
          </w:p>
        </w:tc>
        <w:tc>
          <w:tcPr>
            <w:tcW w:w="0" w:type="auto"/>
            <w:tcBorders>
              <w:top w:val="nil"/>
              <w:left w:val="nil"/>
              <w:bottom w:val="single" w:sz="4" w:space="0" w:color="auto"/>
              <w:right w:val="single" w:sz="4" w:space="0" w:color="auto"/>
            </w:tcBorders>
            <w:shd w:val="clear" w:color="000000" w:fill="FFFFFF"/>
            <w:vAlign w:val="center"/>
            <w:hideMark/>
          </w:tcPr>
          <w:p w14:paraId="07A290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29431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1,440,000</w:t>
            </w:r>
          </w:p>
        </w:tc>
        <w:tc>
          <w:tcPr>
            <w:tcW w:w="0" w:type="auto"/>
            <w:tcBorders>
              <w:top w:val="nil"/>
              <w:left w:val="nil"/>
              <w:bottom w:val="single" w:sz="4" w:space="0" w:color="auto"/>
              <w:right w:val="single" w:sz="4" w:space="0" w:color="auto"/>
            </w:tcBorders>
            <w:shd w:val="clear" w:color="000000" w:fill="FFFFFF"/>
            <w:noWrap/>
            <w:vAlign w:val="center"/>
            <w:hideMark/>
          </w:tcPr>
          <w:p w14:paraId="0A4C5A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1,440,000</w:t>
            </w:r>
          </w:p>
        </w:tc>
        <w:tc>
          <w:tcPr>
            <w:tcW w:w="0" w:type="auto"/>
            <w:tcBorders>
              <w:top w:val="nil"/>
              <w:left w:val="nil"/>
              <w:bottom w:val="single" w:sz="4" w:space="0" w:color="auto"/>
              <w:right w:val="single" w:sz="4" w:space="0" w:color="auto"/>
            </w:tcBorders>
            <w:shd w:val="clear" w:color="000000" w:fill="FFFFFF"/>
            <w:noWrap/>
            <w:vAlign w:val="center"/>
            <w:hideMark/>
          </w:tcPr>
          <w:p w14:paraId="2E3678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AC7C8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1,440,000</w:t>
            </w:r>
          </w:p>
        </w:tc>
        <w:tc>
          <w:tcPr>
            <w:tcW w:w="0" w:type="auto"/>
            <w:tcBorders>
              <w:top w:val="nil"/>
              <w:left w:val="nil"/>
              <w:bottom w:val="single" w:sz="4" w:space="0" w:color="auto"/>
              <w:right w:val="single" w:sz="4" w:space="0" w:color="auto"/>
            </w:tcBorders>
            <w:shd w:val="clear" w:color="000000" w:fill="FFFFFF"/>
            <w:noWrap/>
            <w:vAlign w:val="center"/>
            <w:hideMark/>
          </w:tcPr>
          <w:p w14:paraId="5D764F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C7D7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3AE89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9D505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51BB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68D4C8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5BCBE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4E1C2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7F92FC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9C68F6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2.7.2</w:t>
            </w:r>
          </w:p>
        </w:tc>
        <w:tc>
          <w:tcPr>
            <w:tcW w:w="0" w:type="auto"/>
            <w:tcBorders>
              <w:top w:val="nil"/>
              <w:left w:val="nil"/>
              <w:bottom w:val="single" w:sz="4" w:space="0" w:color="auto"/>
              <w:right w:val="single" w:sz="4" w:space="0" w:color="auto"/>
            </w:tcBorders>
            <w:shd w:val="clear" w:color="000000" w:fill="FFFFFF"/>
            <w:vAlign w:val="center"/>
            <w:hideMark/>
          </w:tcPr>
          <w:p w14:paraId="1178A83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Bërja efektive e Seksionit të Përgjimit Parandalues në Byronë Kombëtare të Hetimit.</w:t>
            </w:r>
          </w:p>
        </w:tc>
        <w:tc>
          <w:tcPr>
            <w:tcW w:w="0" w:type="auto"/>
            <w:tcBorders>
              <w:top w:val="nil"/>
              <w:left w:val="nil"/>
              <w:bottom w:val="single" w:sz="4" w:space="0" w:color="auto"/>
              <w:right w:val="single" w:sz="4" w:space="0" w:color="auto"/>
            </w:tcBorders>
            <w:shd w:val="clear" w:color="000000" w:fill="FFFFFF"/>
            <w:vAlign w:val="center"/>
            <w:hideMark/>
          </w:tcPr>
          <w:p w14:paraId="5CDAA7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94101AB</w:t>
            </w:r>
          </w:p>
        </w:tc>
        <w:tc>
          <w:tcPr>
            <w:tcW w:w="0" w:type="auto"/>
            <w:tcBorders>
              <w:top w:val="nil"/>
              <w:left w:val="nil"/>
              <w:bottom w:val="single" w:sz="4" w:space="0" w:color="auto"/>
              <w:right w:val="single" w:sz="4" w:space="0" w:color="auto"/>
            </w:tcBorders>
            <w:shd w:val="clear" w:color="000000" w:fill="FFFFFF"/>
            <w:vAlign w:val="center"/>
            <w:hideMark/>
          </w:tcPr>
          <w:p w14:paraId="4B50A3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6F8F6D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Shtetit;SPAK</w:t>
            </w:r>
          </w:p>
        </w:tc>
        <w:tc>
          <w:tcPr>
            <w:tcW w:w="0" w:type="auto"/>
            <w:tcBorders>
              <w:top w:val="nil"/>
              <w:left w:val="nil"/>
              <w:bottom w:val="single" w:sz="4" w:space="0" w:color="auto"/>
              <w:right w:val="single" w:sz="4" w:space="0" w:color="auto"/>
            </w:tcBorders>
            <w:shd w:val="clear" w:color="000000" w:fill="FFFFFF"/>
            <w:vAlign w:val="center"/>
            <w:hideMark/>
          </w:tcPr>
          <w:p w14:paraId="6C58594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466D24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79E29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23,000,000</w:t>
            </w:r>
          </w:p>
        </w:tc>
        <w:tc>
          <w:tcPr>
            <w:tcW w:w="0" w:type="auto"/>
            <w:tcBorders>
              <w:top w:val="nil"/>
              <w:left w:val="nil"/>
              <w:bottom w:val="single" w:sz="4" w:space="0" w:color="auto"/>
              <w:right w:val="single" w:sz="4" w:space="0" w:color="auto"/>
            </w:tcBorders>
            <w:shd w:val="clear" w:color="000000" w:fill="FFFFFF"/>
            <w:vAlign w:val="center"/>
            <w:hideMark/>
          </w:tcPr>
          <w:p w14:paraId="19A4BA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A246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23,000,000</w:t>
            </w:r>
          </w:p>
        </w:tc>
        <w:tc>
          <w:tcPr>
            <w:tcW w:w="0" w:type="auto"/>
            <w:tcBorders>
              <w:top w:val="nil"/>
              <w:left w:val="nil"/>
              <w:bottom w:val="single" w:sz="4" w:space="0" w:color="auto"/>
              <w:right w:val="single" w:sz="4" w:space="0" w:color="auto"/>
            </w:tcBorders>
            <w:shd w:val="clear" w:color="000000" w:fill="FFFFFF"/>
            <w:vAlign w:val="center"/>
            <w:hideMark/>
          </w:tcPr>
          <w:p w14:paraId="6F773A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23,000,000</w:t>
            </w:r>
          </w:p>
        </w:tc>
        <w:tc>
          <w:tcPr>
            <w:tcW w:w="0" w:type="auto"/>
            <w:tcBorders>
              <w:top w:val="nil"/>
              <w:left w:val="nil"/>
              <w:bottom w:val="single" w:sz="4" w:space="0" w:color="auto"/>
              <w:right w:val="single" w:sz="4" w:space="0" w:color="auto"/>
            </w:tcBorders>
            <w:shd w:val="clear" w:color="000000" w:fill="FFFFFF"/>
            <w:vAlign w:val="center"/>
            <w:hideMark/>
          </w:tcPr>
          <w:p w14:paraId="4BFF81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098C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23,000,000</w:t>
            </w:r>
          </w:p>
        </w:tc>
        <w:tc>
          <w:tcPr>
            <w:tcW w:w="0" w:type="auto"/>
            <w:tcBorders>
              <w:top w:val="nil"/>
              <w:left w:val="nil"/>
              <w:bottom w:val="single" w:sz="4" w:space="0" w:color="auto"/>
              <w:right w:val="single" w:sz="4" w:space="0" w:color="auto"/>
            </w:tcBorders>
            <w:shd w:val="clear" w:color="000000" w:fill="FFFFFF"/>
            <w:vAlign w:val="center"/>
            <w:hideMark/>
          </w:tcPr>
          <w:p w14:paraId="1D4ED0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23,000,000</w:t>
            </w:r>
          </w:p>
        </w:tc>
        <w:tc>
          <w:tcPr>
            <w:tcW w:w="0" w:type="auto"/>
            <w:tcBorders>
              <w:top w:val="nil"/>
              <w:left w:val="nil"/>
              <w:bottom w:val="single" w:sz="4" w:space="0" w:color="auto"/>
              <w:right w:val="single" w:sz="4" w:space="0" w:color="auto"/>
            </w:tcBorders>
            <w:shd w:val="clear" w:color="000000" w:fill="FFFFFF"/>
            <w:vAlign w:val="center"/>
            <w:hideMark/>
          </w:tcPr>
          <w:p w14:paraId="739BC9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A86D9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23,000,000</w:t>
            </w:r>
          </w:p>
        </w:tc>
        <w:tc>
          <w:tcPr>
            <w:tcW w:w="0" w:type="auto"/>
            <w:tcBorders>
              <w:top w:val="nil"/>
              <w:left w:val="nil"/>
              <w:bottom w:val="single" w:sz="4" w:space="0" w:color="auto"/>
              <w:right w:val="single" w:sz="4" w:space="0" w:color="auto"/>
            </w:tcBorders>
            <w:shd w:val="clear" w:color="000000" w:fill="FFFFFF"/>
            <w:vAlign w:val="center"/>
            <w:hideMark/>
          </w:tcPr>
          <w:p w14:paraId="626162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FC95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F489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5110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EC1F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D7CED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B543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69,000,000</w:t>
            </w:r>
          </w:p>
        </w:tc>
        <w:tc>
          <w:tcPr>
            <w:tcW w:w="0" w:type="auto"/>
            <w:tcBorders>
              <w:top w:val="nil"/>
              <w:left w:val="nil"/>
              <w:bottom w:val="single" w:sz="4" w:space="0" w:color="auto"/>
              <w:right w:val="single" w:sz="4" w:space="0" w:color="auto"/>
            </w:tcBorders>
            <w:shd w:val="clear" w:color="000000" w:fill="FFFFFF"/>
            <w:vAlign w:val="center"/>
            <w:hideMark/>
          </w:tcPr>
          <w:p w14:paraId="60E8BC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874B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69,000,000</w:t>
            </w:r>
          </w:p>
        </w:tc>
        <w:tc>
          <w:tcPr>
            <w:tcW w:w="0" w:type="auto"/>
            <w:tcBorders>
              <w:top w:val="nil"/>
              <w:left w:val="nil"/>
              <w:bottom w:val="single" w:sz="4" w:space="0" w:color="auto"/>
              <w:right w:val="single" w:sz="4" w:space="0" w:color="auto"/>
            </w:tcBorders>
            <w:shd w:val="clear" w:color="000000" w:fill="FFFFFF"/>
            <w:noWrap/>
            <w:vAlign w:val="center"/>
            <w:hideMark/>
          </w:tcPr>
          <w:p w14:paraId="706D5E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69,000,000</w:t>
            </w:r>
          </w:p>
        </w:tc>
        <w:tc>
          <w:tcPr>
            <w:tcW w:w="0" w:type="auto"/>
            <w:tcBorders>
              <w:top w:val="nil"/>
              <w:left w:val="nil"/>
              <w:bottom w:val="single" w:sz="4" w:space="0" w:color="auto"/>
              <w:right w:val="single" w:sz="4" w:space="0" w:color="auto"/>
            </w:tcBorders>
            <w:shd w:val="clear" w:color="000000" w:fill="FFFFFF"/>
            <w:noWrap/>
            <w:vAlign w:val="center"/>
            <w:hideMark/>
          </w:tcPr>
          <w:p w14:paraId="2ECBFD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2BC53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69,000,000</w:t>
            </w:r>
          </w:p>
        </w:tc>
        <w:tc>
          <w:tcPr>
            <w:tcW w:w="0" w:type="auto"/>
            <w:tcBorders>
              <w:top w:val="nil"/>
              <w:left w:val="nil"/>
              <w:bottom w:val="single" w:sz="4" w:space="0" w:color="auto"/>
              <w:right w:val="single" w:sz="4" w:space="0" w:color="auto"/>
            </w:tcBorders>
            <w:shd w:val="clear" w:color="000000" w:fill="FFFFFF"/>
            <w:noWrap/>
            <w:vAlign w:val="center"/>
            <w:hideMark/>
          </w:tcPr>
          <w:p w14:paraId="6DE6EE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F57C1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4B366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17925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F92D7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55D84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B56EA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05F6D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75B348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AF1C75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2.7.3</w:t>
            </w:r>
          </w:p>
        </w:tc>
        <w:tc>
          <w:tcPr>
            <w:tcW w:w="0" w:type="auto"/>
            <w:tcBorders>
              <w:top w:val="nil"/>
              <w:left w:val="nil"/>
              <w:bottom w:val="single" w:sz="4" w:space="0" w:color="auto"/>
              <w:right w:val="single" w:sz="4" w:space="0" w:color="auto"/>
            </w:tcBorders>
            <w:shd w:val="clear" w:color="000000" w:fill="FFFFFF"/>
            <w:vAlign w:val="center"/>
            <w:hideMark/>
          </w:tcPr>
          <w:p w14:paraId="1878EBC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Ngritja e një sistemi analize në Byroja Kombëtare e Hetimit për vlerësimin e kërcënimeve në lidhje me krimin e organizuar dhe korrupsionin.</w:t>
            </w:r>
          </w:p>
        </w:tc>
        <w:tc>
          <w:tcPr>
            <w:tcW w:w="0" w:type="auto"/>
            <w:tcBorders>
              <w:top w:val="nil"/>
              <w:left w:val="nil"/>
              <w:bottom w:val="single" w:sz="4" w:space="0" w:color="auto"/>
              <w:right w:val="single" w:sz="4" w:space="0" w:color="auto"/>
            </w:tcBorders>
            <w:shd w:val="clear" w:color="000000" w:fill="FFFFFF"/>
            <w:vAlign w:val="center"/>
            <w:hideMark/>
          </w:tcPr>
          <w:p w14:paraId="71F950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94101AB</w:t>
            </w:r>
          </w:p>
        </w:tc>
        <w:tc>
          <w:tcPr>
            <w:tcW w:w="0" w:type="auto"/>
            <w:tcBorders>
              <w:top w:val="nil"/>
              <w:left w:val="nil"/>
              <w:bottom w:val="single" w:sz="4" w:space="0" w:color="auto"/>
              <w:right w:val="single" w:sz="4" w:space="0" w:color="auto"/>
            </w:tcBorders>
            <w:shd w:val="clear" w:color="000000" w:fill="FFFFFF"/>
            <w:vAlign w:val="center"/>
            <w:hideMark/>
          </w:tcPr>
          <w:p w14:paraId="04860B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257B5F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SPAK</w:t>
            </w:r>
          </w:p>
        </w:tc>
        <w:tc>
          <w:tcPr>
            <w:tcW w:w="0" w:type="auto"/>
            <w:tcBorders>
              <w:top w:val="nil"/>
              <w:left w:val="nil"/>
              <w:bottom w:val="single" w:sz="4" w:space="0" w:color="auto"/>
              <w:right w:val="single" w:sz="4" w:space="0" w:color="auto"/>
            </w:tcBorders>
            <w:shd w:val="clear" w:color="000000" w:fill="FFFFFF"/>
            <w:vAlign w:val="center"/>
            <w:hideMark/>
          </w:tcPr>
          <w:p w14:paraId="0909393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41E57BB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BC778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000000" w:fill="FFFFFF"/>
            <w:vAlign w:val="center"/>
            <w:hideMark/>
          </w:tcPr>
          <w:p w14:paraId="4E57D4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A8284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000000" w:fill="FFFFFF"/>
            <w:vAlign w:val="center"/>
            <w:hideMark/>
          </w:tcPr>
          <w:p w14:paraId="1C3393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000000" w:fill="FFFFFF"/>
            <w:vAlign w:val="center"/>
            <w:hideMark/>
          </w:tcPr>
          <w:p w14:paraId="01A9CB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9DF91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000000" w:fill="FFFFFF"/>
            <w:vAlign w:val="center"/>
            <w:hideMark/>
          </w:tcPr>
          <w:p w14:paraId="40D45B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000000" w:fill="FFFFFF"/>
            <w:vAlign w:val="center"/>
            <w:hideMark/>
          </w:tcPr>
          <w:p w14:paraId="2DB9EC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0A311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15,000,000</w:t>
            </w:r>
          </w:p>
        </w:tc>
        <w:tc>
          <w:tcPr>
            <w:tcW w:w="0" w:type="auto"/>
            <w:tcBorders>
              <w:top w:val="nil"/>
              <w:left w:val="nil"/>
              <w:bottom w:val="single" w:sz="4" w:space="0" w:color="auto"/>
              <w:right w:val="single" w:sz="4" w:space="0" w:color="auto"/>
            </w:tcBorders>
            <w:shd w:val="clear" w:color="000000" w:fill="FFFFFF"/>
            <w:vAlign w:val="center"/>
            <w:hideMark/>
          </w:tcPr>
          <w:p w14:paraId="1AD168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EA5B5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6266C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1D63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73D9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7EDB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1AF5C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45,000,000</w:t>
            </w:r>
          </w:p>
        </w:tc>
        <w:tc>
          <w:tcPr>
            <w:tcW w:w="0" w:type="auto"/>
            <w:tcBorders>
              <w:top w:val="nil"/>
              <w:left w:val="nil"/>
              <w:bottom w:val="single" w:sz="4" w:space="0" w:color="auto"/>
              <w:right w:val="single" w:sz="4" w:space="0" w:color="auto"/>
            </w:tcBorders>
            <w:shd w:val="clear" w:color="000000" w:fill="FFFFFF"/>
            <w:vAlign w:val="center"/>
            <w:hideMark/>
          </w:tcPr>
          <w:p w14:paraId="3F7F8A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AF26B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45,000,000</w:t>
            </w:r>
          </w:p>
        </w:tc>
        <w:tc>
          <w:tcPr>
            <w:tcW w:w="0" w:type="auto"/>
            <w:tcBorders>
              <w:top w:val="nil"/>
              <w:left w:val="nil"/>
              <w:bottom w:val="single" w:sz="4" w:space="0" w:color="auto"/>
              <w:right w:val="single" w:sz="4" w:space="0" w:color="auto"/>
            </w:tcBorders>
            <w:shd w:val="clear" w:color="000000" w:fill="FFFFFF"/>
            <w:noWrap/>
            <w:vAlign w:val="center"/>
            <w:hideMark/>
          </w:tcPr>
          <w:p w14:paraId="610F6A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45,000,000</w:t>
            </w:r>
          </w:p>
        </w:tc>
        <w:tc>
          <w:tcPr>
            <w:tcW w:w="0" w:type="auto"/>
            <w:tcBorders>
              <w:top w:val="nil"/>
              <w:left w:val="nil"/>
              <w:bottom w:val="single" w:sz="4" w:space="0" w:color="auto"/>
              <w:right w:val="single" w:sz="4" w:space="0" w:color="auto"/>
            </w:tcBorders>
            <w:shd w:val="clear" w:color="000000" w:fill="FFFFFF"/>
            <w:noWrap/>
            <w:vAlign w:val="center"/>
            <w:hideMark/>
          </w:tcPr>
          <w:p w14:paraId="2766EB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27778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45,000,000</w:t>
            </w:r>
          </w:p>
        </w:tc>
        <w:tc>
          <w:tcPr>
            <w:tcW w:w="0" w:type="auto"/>
            <w:tcBorders>
              <w:top w:val="nil"/>
              <w:left w:val="nil"/>
              <w:bottom w:val="single" w:sz="4" w:space="0" w:color="auto"/>
              <w:right w:val="single" w:sz="4" w:space="0" w:color="auto"/>
            </w:tcBorders>
            <w:shd w:val="clear" w:color="000000" w:fill="FFFFFF"/>
            <w:noWrap/>
            <w:vAlign w:val="center"/>
            <w:hideMark/>
          </w:tcPr>
          <w:p w14:paraId="2C59F7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6A37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FF06C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58D5E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6D98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675CE3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07542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D95D0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360C797"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875A85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2.7.4</w:t>
            </w:r>
          </w:p>
        </w:tc>
        <w:tc>
          <w:tcPr>
            <w:tcW w:w="0" w:type="auto"/>
            <w:tcBorders>
              <w:top w:val="nil"/>
              <w:left w:val="nil"/>
              <w:bottom w:val="single" w:sz="4" w:space="0" w:color="auto"/>
              <w:right w:val="single" w:sz="4" w:space="0" w:color="auto"/>
            </w:tcBorders>
            <w:shd w:val="clear" w:color="000000" w:fill="FFFFFF"/>
            <w:vAlign w:val="center"/>
            <w:hideMark/>
          </w:tcPr>
          <w:p w14:paraId="74C73E2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Zbatimi regjimit të posaçëm në burgun e sigurisë së lartë, për subjektet me rrezik të theksuar kriminal, përfshirë kategorizimin e jashtëm dhe të brendshëm dhe vlerësimin progresiv të rrezikut të këtyre subjekteve, me qëllim reduktimin e ndikimit të krimit të organizuar brenda strukturave të burgimit dhe forcimin e sigurisë institucionale.</w:t>
            </w:r>
          </w:p>
        </w:tc>
        <w:tc>
          <w:tcPr>
            <w:tcW w:w="0" w:type="auto"/>
            <w:tcBorders>
              <w:top w:val="nil"/>
              <w:left w:val="nil"/>
              <w:bottom w:val="single" w:sz="4" w:space="0" w:color="auto"/>
              <w:right w:val="single" w:sz="4" w:space="0" w:color="auto"/>
            </w:tcBorders>
            <w:shd w:val="clear" w:color="000000" w:fill="FFFFFF"/>
            <w:vAlign w:val="center"/>
            <w:hideMark/>
          </w:tcPr>
          <w:p w14:paraId="1AA791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91408AB</w:t>
            </w:r>
          </w:p>
        </w:tc>
        <w:tc>
          <w:tcPr>
            <w:tcW w:w="0" w:type="auto"/>
            <w:tcBorders>
              <w:top w:val="nil"/>
              <w:left w:val="nil"/>
              <w:bottom w:val="single" w:sz="4" w:space="0" w:color="auto"/>
              <w:right w:val="single" w:sz="4" w:space="0" w:color="auto"/>
            </w:tcBorders>
            <w:shd w:val="clear" w:color="000000" w:fill="FFFFFF"/>
            <w:vAlign w:val="center"/>
            <w:hideMark/>
          </w:tcPr>
          <w:p w14:paraId="297AD6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Drejtoria e Përgjithshme e Burgjeve/Institucionet e Ekzekutimit të Vendimeve Penale</w:t>
            </w:r>
          </w:p>
        </w:tc>
        <w:tc>
          <w:tcPr>
            <w:tcW w:w="0" w:type="auto"/>
            <w:tcBorders>
              <w:top w:val="nil"/>
              <w:left w:val="nil"/>
              <w:bottom w:val="single" w:sz="4" w:space="0" w:color="auto"/>
              <w:right w:val="single" w:sz="4" w:space="0" w:color="auto"/>
            </w:tcBorders>
            <w:shd w:val="clear" w:color="000000" w:fill="FFFFFF"/>
            <w:vAlign w:val="center"/>
            <w:hideMark/>
          </w:tcPr>
          <w:p w14:paraId="687E1F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992EA2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42E732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50458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3,080,880</w:t>
            </w:r>
          </w:p>
        </w:tc>
        <w:tc>
          <w:tcPr>
            <w:tcW w:w="0" w:type="auto"/>
            <w:tcBorders>
              <w:top w:val="nil"/>
              <w:left w:val="nil"/>
              <w:bottom w:val="single" w:sz="4" w:space="0" w:color="auto"/>
              <w:right w:val="single" w:sz="4" w:space="0" w:color="auto"/>
            </w:tcBorders>
            <w:shd w:val="clear" w:color="000000" w:fill="FFFFFF"/>
            <w:vAlign w:val="center"/>
            <w:hideMark/>
          </w:tcPr>
          <w:p w14:paraId="32C38B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CC84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3,080,880</w:t>
            </w:r>
          </w:p>
        </w:tc>
        <w:tc>
          <w:tcPr>
            <w:tcW w:w="0" w:type="auto"/>
            <w:tcBorders>
              <w:top w:val="nil"/>
              <w:left w:val="nil"/>
              <w:bottom w:val="single" w:sz="4" w:space="0" w:color="auto"/>
              <w:right w:val="single" w:sz="4" w:space="0" w:color="auto"/>
            </w:tcBorders>
            <w:shd w:val="clear" w:color="000000" w:fill="FFFFFF"/>
            <w:vAlign w:val="center"/>
            <w:hideMark/>
          </w:tcPr>
          <w:p w14:paraId="4B1330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3,080,880</w:t>
            </w:r>
          </w:p>
        </w:tc>
        <w:tc>
          <w:tcPr>
            <w:tcW w:w="0" w:type="auto"/>
            <w:tcBorders>
              <w:top w:val="nil"/>
              <w:left w:val="nil"/>
              <w:bottom w:val="single" w:sz="4" w:space="0" w:color="auto"/>
              <w:right w:val="single" w:sz="4" w:space="0" w:color="auto"/>
            </w:tcBorders>
            <w:shd w:val="clear" w:color="000000" w:fill="FFFFFF"/>
            <w:vAlign w:val="center"/>
            <w:hideMark/>
          </w:tcPr>
          <w:p w14:paraId="3A3DC9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5C06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3,080,880</w:t>
            </w:r>
          </w:p>
        </w:tc>
        <w:tc>
          <w:tcPr>
            <w:tcW w:w="0" w:type="auto"/>
            <w:tcBorders>
              <w:top w:val="nil"/>
              <w:left w:val="nil"/>
              <w:bottom w:val="single" w:sz="4" w:space="0" w:color="auto"/>
              <w:right w:val="single" w:sz="4" w:space="0" w:color="auto"/>
            </w:tcBorders>
            <w:shd w:val="clear" w:color="000000" w:fill="FFFFFF"/>
            <w:vAlign w:val="center"/>
            <w:hideMark/>
          </w:tcPr>
          <w:p w14:paraId="3870B6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3,080,880</w:t>
            </w:r>
          </w:p>
        </w:tc>
        <w:tc>
          <w:tcPr>
            <w:tcW w:w="0" w:type="auto"/>
            <w:tcBorders>
              <w:top w:val="nil"/>
              <w:left w:val="nil"/>
              <w:bottom w:val="single" w:sz="4" w:space="0" w:color="auto"/>
              <w:right w:val="single" w:sz="4" w:space="0" w:color="auto"/>
            </w:tcBorders>
            <w:shd w:val="clear" w:color="000000" w:fill="FFFFFF"/>
            <w:vAlign w:val="center"/>
            <w:hideMark/>
          </w:tcPr>
          <w:p w14:paraId="571290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E2BDA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3,080,880</w:t>
            </w:r>
          </w:p>
        </w:tc>
        <w:tc>
          <w:tcPr>
            <w:tcW w:w="0" w:type="auto"/>
            <w:tcBorders>
              <w:top w:val="nil"/>
              <w:left w:val="nil"/>
              <w:bottom w:val="single" w:sz="4" w:space="0" w:color="auto"/>
              <w:right w:val="single" w:sz="4" w:space="0" w:color="auto"/>
            </w:tcBorders>
            <w:shd w:val="clear" w:color="000000" w:fill="FFFFFF"/>
            <w:vAlign w:val="center"/>
            <w:hideMark/>
          </w:tcPr>
          <w:p w14:paraId="73625E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FC53E4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CF2B2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AD7B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79CB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A8CA1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01ED1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9,242,640</w:t>
            </w:r>
          </w:p>
        </w:tc>
        <w:tc>
          <w:tcPr>
            <w:tcW w:w="0" w:type="auto"/>
            <w:tcBorders>
              <w:top w:val="nil"/>
              <w:left w:val="nil"/>
              <w:bottom w:val="single" w:sz="4" w:space="0" w:color="auto"/>
              <w:right w:val="single" w:sz="4" w:space="0" w:color="auto"/>
            </w:tcBorders>
            <w:shd w:val="clear" w:color="000000" w:fill="FFFFFF"/>
            <w:vAlign w:val="center"/>
            <w:hideMark/>
          </w:tcPr>
          <w:p w14:paraId="294D75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BA4DB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9,242,640</w:t>
            </w:r>
          </w:p>
        </w:tc>
        <w:tc>
          <w:tcPr>
            <w:tcW w:w="0" w:type="auto"/>
            <w:tcBorders>
              <w:top w:val="nil"/>
              <w:left w:val="nil"/>
              <w:bottom w:val="single" w:sz="4" w:space="0" w:color="auto"/>
              <w:right w:val="single" w:sz="4" w:space="0" w:color="auto"/>
            </w:tcBorders>
            <w:shd w:val="clear" w:color="000000" w:fill="FFFFFF"/>
            <w:noWrap/>
            <w:vAlign w:val="center"/>
            <w:hideMark/>
          </w:tcPr>
          <w:p w14:paraId="1E7EE5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9,242,640</w:t>
            </w:r>
          </w:p>
        </w:tc>
        <w:tc>
          <w:tcPr>
            <w:tcW w:w="0" w:type="auto"/>
            <w:tcBorders>
              <w:top w:val="nil"/>
              <w:left w:val="nil"/>
              <w:bottom w:val="single" w:sz="4" w:space="0" w:color="auto"/>
              <w:right w:val="single" w:sz="4" w:space="0" w:color="auto"/>
            </w:tcBorders>
            <w:shd w:val="clear" w:color="000000" w:fill="FFFFFF"/>
            <w:noWrap/>
            <w:vAlign w:val="center"/>
            <w:hideMark/>
          </w:tcPr>
          <w:p w14:paraId="052BE4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FF7DE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9,242,640</w:t>
            </w:r>
          </w:p>
        </w:tc>
        <w:tc>
          <w:tcPr>
            <w:tcW w:w="0" w:type="auto"/>
            <w:tcBorders>
              <w:top w:val="nil"/>
              <w:left w:val="nil"/>
              <w:bottom w:val="single" w:sz="4" w:space="0" w:color="auto"/>
              <w:right w:val="single" w:sz="4" w:space="0" w:color="auto"/>
            </w:tcBorders>
            <w:shd w:val="clear" w:color="000000" w:fill="FFFFFF"/>
            <w:noWrap/>
            <w:vAlign w:val="center"/>
            <w:hideMark/>
          </w:tcPr>
          <w:p w14:paraId="631EF9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65AC9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3E8D9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6F75C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95C6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EFCB49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FA88D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03CB1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F9E79F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E786A8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2.7.5</w:t>
            </w:r>
          </w:p>
        </w:tc>
        <w:tc>
          <w:tcPr>
            <w:tcW w:w="0" w:type="auto"/>
            <w:tcBorders>
              <w:top w:val="nil"/>
              <w:left w:val="nil"/>
              <w:bottom w:val="single" w:sz="4" w:space="0" w:color="auto"/>
              <w:right w:val="single" w:sz="4" w:space="0" w:color="auto"/>
            </w:tcBorders>
            <w:shd w:val="clear" w:color="000000" w:fill="FFFFFF"/>
            <w:vAlign w:val="center"/>
            <w:hideMark/>
          </w:tcPr>
          <w:p w14:paraId="0C9C7D9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numrit të hetimeve proaktive dhe ndjekjes së vazhdueshme, duke vlerësuar dhe mbledhur informacion mbi rastet e korrupsionit, abuzimit dhe veprave penale brenda sistemit të vuajtjes së dënimit, përfshirë përmes mbledhjes së inteligjencës, shënjestrimit të bazuar në rrezik dhe referimeve në kohë tek organet përgjegjëse hetimore dhe të prokurorisë</w:t>
            </w:r>
          </w:p>
        </w:tc>
        <w:tc>
          <w:tcPr>
            <w:tcW w:w="0" w:type="auto"/>
            <w:tcBorders>
              <w:top w:val="nil"/>
              <w:left w:val="nil"/>
              <w:bottom w:val="single" w:sz="4" w:space="0" w:color="auto"/>
              <w:right w:val="single" w:sz="4" w:space="0" w:color="auto"/>
            </w:tcBorders>
            <w:shd w:val="clear" w:color="000000" w:fill="FFFFFF"/>
            <w:vAlign w:val="center"/>
            <w:hideMark/>
          </w:tcPr>
          <w:p w14:paraId="6A8ABF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91408AB</w:t>
            </w:r>
          </w:p>
        </w:tc>
        <w:tc>
          <w:tcPr>
            <w:tcW w:w="0" w:type="auto"/>
            <w:tcBorders>
              <w:top w:val="nil"/>
              <w:left w:val="nil"/>
              <w:bottom w:val="single" w:sz="4" w:space="0" w:color="auto"/>
              <w:right w:val="single" w:sz="4" w:space="0" w:color="auto"/>
            </w:tcBorders>
            <w:shd w:val="clear" w:color="000000" w:fill="FFFFFF"/>
            <w:vAlign w:val="center"/>
            <w:hideMark/>
          </w:tcPr>
          <w:p w14:paraId="67E473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Drejtësisë; Agjensia e Mbikëqyrjes në Sistemin e Ekzekutimit të Vendimeve Penale </w:t>
            </w:r>
          </w:p>
        </w:tc>
        <w:tc>
          <w:tcPr>
            <w:tcW w:w="0" w:type="auto"/>
            <w:tcBorders>
              <w:top w:val="nil"/>
              <w:left w:val="nil"/>
              <w:bottom w:val="single" w:sz="4" w:space="0" w:color="auto"/>
              <w:right w:val="single" w:sz="4" w:space="0" w:color="auto"/>
            </w:tcBorders>
            <w:shd w:val="clear" w:color="000000" w:fill="FFFFFF"/>
            <w:vAlign w:val="center"/>
            <w:hideMark/>
          </w:tcPr>
          <w:p w14:paraId="42365E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Posaçme; Policia e Shtetit;Prokuroria e Përgjithshme; 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3ACDBC5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1BF512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23997F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67,487,900</w:t>
            </w:r>
          </w:p>
        </w:tc>
        <w:tc>
          <w:tcPr>
            <w:tcW w:w="0" w:type="auto"/>
            <w:tcBorders>
              <w:top w:val="nil"/>
              <w:left w:val="nil"/>
              <w:bottom w:val="single" w:sz="4" w:space="0" w:color="auto"/>
              <w:right w:val="single" w:sz="4" w:space="0" w:color="auto"/>
            </w:tcBorders>
            <w:shd w:val="clear" w:color="000000" w:fill="FFFFFF"/>
            <w:vAlign w:val="center"/>
            <w:hideMark/>
          </w:tcPr>
          <w:p w14:paraId="52CC1A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vAlign w:val="center"/>
            <w:hideMark/>
          </w:tcPr>
          <w:p w14:paraId="7B154B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69,487,900</w:t>
            </w:r>
          </w:p>
        </w:tc>
        <w:tc>
          <w:tcPr>
            <w:tcW w:w="0" w:type="auto"/>
            <w:tcBorders>
              <w:top w:val="nil"/>
              <w:left w:val="nil"/>
              <w:bottom w:val="single" w:sz="4" w:space="0" w:color="auto"/>
              <w:right w:val="single" w:sz="4" w:space="0" w:color="auto"/>
            </w:tcBorders>
            <w:shd w:val="clear" w:color="000000" w:fill="FFFFFF"/>
            <w:vAlign w:val="center"/>
            <w:hideMark/>
          </w:tcPr>
          <w:p w14:paraId="7AEDF5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5E131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B433E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DB65D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2662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9C1C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0375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ACEEC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60F0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FF52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20FD7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4BDAF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FF2A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67,487,900</w:t>
            </w:r>
          </w:p>
        </w:tc>
        <w:tc>
          <w:tcPr>
            <w:tcW w:w="0" w:type="auto"/>
            <w:tcBorders>
              <w:top w:val="nil"/>
              <w:left w:val="nil"/>
              <w:bottom w:val="single" w:sz="4" w:space="0" w:color="auto"/>
              <w:right w:val="single" w:sz="4" w:space="0" w:color="auto"/>
            </w:tcBorders>
            <w:shd w:val="clear" w:color="000000" w:fill="FFFFFF"/>
            <w:vAlign w:val="center"/>
            <w:hideMark/>
          </w:tcPr>
          <w:p w14:paraId="670D9A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vAlign w:val="center"/>
            <w:hideMark/>
          </w:tcPr>
          <w:p w14:paraId="0FF20C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69,487,900</w:t>
            </w:r>
          </w:p>
        </w:tc>
        <w:tc>
          <w:tcPr>
            <w:tcW w:w="0" w:type="auto"/>
            <w:tcBorders>
              <w:top w:val="nil"/>
              <w:left w:val="nil"/>
              <w:bottom w:val="single" w:sz="4" w:space="0" w:color="auto"/>
              <w:right w:val="single" w:sz="4" w:space="0" w:color="auto"/>
            </w:tcBorders>
            <w:shd w:val="clear" w:color="000000" w:fill="FFFFFF"/>
            <w:noWrap/>
            <w:vAlign w:val="center"/>
            <w:hideMark/>
          </w:tcPr>
          <w:p w14:paraId="53D82C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67,487,900</w:t>
            </w:r>
          </w:p>
        </w:tc>
        <w:tc>
          <w:tcPr>
            <w:tcW w:w="0" w:type="auto"/>
            <w:tcBorders>
              <w:top w:val="nil"/>
              <w:left w:val="nil"/>
              <w:bottom w:val="single" w:sz="4" w:space="0" w:color="auto"/>
              <w:right w:val="single" w:sz="4" w:space="0" w:color="auto"/>
            </w:tcBorders>
            <w:shd w:val="clear" w:color="000000" w:fill="FFFFFF"/>
            <w:noWrap/>
            <w:vAlign w:val="center"/>
            <w:hideMark/>
          </w:tcPr>
          <w:p w14:paraId="2732FB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noWrap/>
            <w:vAlign w:val="center"/>
            <w:hideMark/>
          </w:tcPr>
          <w:p w14:paraId="69F330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69,487,900</w:t>
            </w:r>
          </w:p>
        </w:tc>
        <w:tc>
          <w:tcPr>
            <w:tcW w:w="0" w:type="auto"/>
            <w:tcBorders>
              <w:top w:val="nil"/>
              <w:left w:val="nil"/>
              <w:bottom w:val="single" w:sz="4" w:space="0" w:color="auto"/>
              <w:right w:val="single" w:sz="4" w:space="0" w:color="auto"/>
            </w:tcBorders>
            <w:shd w:val="clear" w:color="000000" w:fill="FFFFFF"/>
            <w:noWrap/>
            <w:vAlign w:val="center"/>
            <w:hideMark/>
          </w:tcPr>
          <w:p w14:paraId="3195CB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ABDD0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EF61E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0AF1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5D542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5E0E1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0508C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D3B86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E61F9B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27E2BD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2.7.6</w:t>
            </w:r>
          </w:p>
        </w:tc>
        <w:tc>
          <w:tcPr>
            <w:tcW w:w="0" w:type="auto"/>
            <w:tcBorders>
              <w:top w:val="nil"/>
              <w:left w:val="nil"/>
              <w:bottom w:val="single" w:sz="4" w:space="0" w:color="auto"/>
              <w:right w:val="single" w:sz="4" w:space="0" w:color="auto"/>
            </w:tcBorders>
            <w:shd w:val="clear" w:color="000000" w:fill="FFFFFF"/>
            <w:vAlign w:val="center"/>
            <w:hideMark/>
          </w:tcPr>
          <w:p w14:paraId="1D651BC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Parandalimi dhe goditja e krimeve në burgjet e vendit, në bashkëpunim me SPAK-un, prokuroritë e rretheve gjyqësore, si dhe agjencitë ligjzbatuese, përfshirë përmes veprimeve të koordinuara operacionale, shkëmbimit të strukturuar të informacionit dhe planifikimit të përbashkët për hetime dhe ndërhyrje.</w:t>
            </w:r>
          </w:p>
        </w:tc>
        <w:tc>
          <w:tcPr>
            <w:tcW w:w="0" w:type="auto"/>
            <w:tcBorders>
              <w:top w:val="nil"/>
              <w:left w:val="nil"/>
              <w:bottom w:val="single" w:sz="4" w:space="0" w:color="auto"/>
              <w:right w:val="single" w:sz="4" w:space="0" w:color="auto"/>
            </w:tcBorders>
            <w:shd w:val="clear" w:color="000000" w:fill="FFFFFF"/>
            <w:vAlign w:val="center"/>
            <w:hideMark/>
          </w:tcPr>
          <w:p w14:paraId="4AE80D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91408AB</w:t>
            </w:r>
          </w:p>
        </w:tc>
        <w:tc>
          <w:tcPr>
            <w:tcW w:w="0" w:type="auto"/>
            <w:tcBorders>
              <w:top w:val="nil"/>
              <w:left w:val="nil"/>
              <w:bottom w:val="single" w:sz="4" w:space="0" w:color="auto"/>
              <w:right w:val="single" w:sz="4" w:space="0" w:color="auto"/>
            </w:tcBorders>
            <w:shd w:val="clear" w:color="000000" w:fill="FFFFFF"/>
            <w:vAlign w:val="center"/>
            <w:hideMark/>
          </w:tcPr>
          <w:p w14:paraId="434DFC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Drejtësisë/Agjensia e Mbikëqyrjes në Sistemin e Ekzekutimit të Vendimeve Penale </w:t>
            </w:r>
          </w:p>
        </w:tc>
        <w:tc>
          <w:tcPr>
            <w:tcW w:w="0" w:type="auto"/>
            <w:tcBorders>
              <w:top w:val="nil"/>
              <w:left w:val="nil"/>
              <w:bottom w:val="single" w:sz="4" w:space="0" w:color="auto"/>
              <w:right w:val="single" w:sz="4" w:space="0" w:color="auto"/>
            </w:tcBorders>
            <w:shd w:val="clear" w:color="000000" w:fill="FFFFFF"/>
            <w:vAlign w:val="center"/>
            <w:hideMark/>
          </w:tcPr>
          <w:p w14:paraId="21EE81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Posaçme; Policia e Shtetit;Prokuroria e Përgjithshme; 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55E9CE7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5A22DA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9BD4C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67,487,900</w:t>
            </w:r>
          </w:p>
        </w:tc>
        <w:tc>
          <w:tcPr>
            <w:tcW w:w="0" w:type="auto"/>
            <w:tcBorders>
              <w:top w:val="nil"/>
              <w:left w:val="nil"/>
              <w:bottom w:val="single" w:sz="4" w:space="0" w:color="auto"/>
              <w:right w:val="single" w:sz="4" w:space="0" w:color="auto"/>
            </w:tcBorders>
            <w:shd w:val="clear" w:color="000000" w:fill="FFFFFF"/>
            <w:vAlign w:val="center"/>
            <w:hideMark/>
          </w:tcPr>
          <w:p w14:paraId="2E1E9B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vAlign w:val="center"/>
            <w:hideMark/>
          </w:tcPr>
          <w:p w14:paraId="674448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69,487,900</w:t>
            </w:r>
          </w:p>
        </w:tc>
        <w:tc>
          <w:tcPr>
            <w:tcW w:w="0" w:type="auto"/>
            <w:tcBorders>
              <w:top w:val="nil"/>
              <w:left w:val="nil"/>
              <w:bottom w:val="single" w:sz="4" w:space="0" w:color="auto"/>
              <w:right w:val="single" w:sz="4" w:space="0" w:color="auto"/>
            </w:tcBorders>
            <w:shd w:val="clear" w:color="000000" w:fill="FFFFFF"/>
            <w:vAlign w:val="center"/>
            <w:hideMark/>
          </w:tcPr>
          <w:p w14:paraId="419768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89B5E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B92B2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E05C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B4E16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C8DF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3937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404B3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36CA5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A2149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0689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7E28F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A0CF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67,487,900</w:t>
            </w:r>
          </w:p>
        </w:tc>
        <w:tc>
          <w:tcPr>
            <w:tcW w:w="0" w:type="auto"/>
            <w:tcBorders>
              <w:top w:val="nil"/>
              <w:left w:val="nil"/>
              <w:bottom w:val="single" w:sz="4" w:space="0" w:color="auto"/>
              <w:right w:val="single" w:sz="4" w:space="0" w:color="auto"/>
            </w:tcBorders>
            <w:shd w:val="clear" w:color="000000" w:fill="FFFFFF"/>
            <w:vAlign w:val="center"/>
            <w:hideMark/>
          </w:tcPr>
          <w:p w14:paraId="293D6B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vAlign w:val="center"/>
            <w:hideMark/>
          </w:tcPr>
          <w:p w14:paraId="344966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69,487,900</w:t>
            </w:r>
          </w:p>
        </w:tc>
        <w:tc>
          <w:tcPr>
            <w:tcW w:w="0" w:type="auto"/>
            <w:tcBorders>
              <w:top w:val="nil"/>
              <w:left w:val="nil"/>
              <w:bottom w:val="single" w:sz="4" w:space="0" w:color="auto"/>
              <w:right w:val="single" w:sz="4" w:space="0" w:color="auto"/>
            </w:tcBorders>
            <w:shd w:val="clear" w:color="000000" w:fill="FFFFFF"/>
            <w:noWrap/>
            <w:vAlign w:val="center"/>
            <w:hideMark/>
          </w:tcPr>
          <w:p w14:paraId="7EEEF3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67,487,900</w:t>
            </w:r>
          </w:p>
        </w:tc>
        <w:tc>
          <w:tcPr>
            <w:tcW w:w="0" w:type="auto"/>
            <w:tcBorders>
              <w:top w:val="nil"/>
              <w:left w:val="nil"/>
              <w:bottom w:val="single" w:sz="4" w:space="0" w:color="auto"/>
              <w:right w:val="single" w:sz="4" w:space="0" w:color="auto"/>
            </w:tcBorders>
            <w:shd w:val="clear" w:color="000000" w:fill="FFFFFF"/>
            <w:noWrap/>
            <w:vAlign w:val="center"/>
            <w:hideMark/>
          </w:tcPr>
          <w:p w14:paraId="2FFE7B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2,000,000</w:t>
            </w:r>
          </w:p>
        </w:tc>
        <w:tc>
          <w:tcPr>
            <w:tcW w:w="0" w:type="auto"/>
            <w:tcBorders>
              <w:top w:val="nil"/>
              <w:left w:val="nil"/>
              <w:bottom w:val="single" w:sz="4" w:space="0" w:color="auto"/>
              <w:right w:val="single" w:sz="4" w:space="0" w:color="auto"/>
            </w:tcBorders>
            <w:shd w:val="clear" w:color="000000" w:fill="FFFFFF"/>
            <w:noWrap/>
            <w:vAlign w:val="center"/>
            <w:hideMark/>
          </w:tcPr>
          <w:p w14:paraId="50D9F5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69,487,900</w:t>
            </w:r>
          </w:p>
        </w:tc>
        <w:tc>
          <w:tcPr>
            <w:tcW w:w="0" w:type="auto"/>
            <w:tcBorders>
              <w:top w:val="nil"/>
              <w:left w:val="nil"/>
              <w:bottom w:val="single" w:sz="4" w:space="0" w:color="auto"/>
              <w:right w:val="single" w:sz="4" w:space="0" w:color="auto"/>
            </w:tcBorders>
            <w:shd w:val="clear" w:color="000000" w:fill="FFFFFF"/>
            <w:noWrap/>
            <w:vAlign w:val="center"/>
            <w:hideMark/>
          </w:tcPr>
          <w:p w14:paraId="54B009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06A98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46A18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540C5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0F582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58A2AC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98AF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C89D2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3CF828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2263BB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2.7.7</w:t>
            </w:r>
          </w:p>
        </w:tc>
        <w:tc>
          <w:tcPr>
            <w:tcW w:w="0" w:type="auto"/>
            <w:tcBorders>
              <w:top w:val="nil"/>
              <w:left w:val="nil"/>
              <w:bottom w:val="single" w:sz="4" w:space="0" w:color="auto"/>
              <w:right w:val="single" w:sz="4" w:space="0" w:color="auto"/>
            </w:tcBorders>
            <w:shd w:val="clear" w:color="000000" w:fill="FFFFFF"/>
            <w:vAlign w:val="center"/>
            <w:hideMark/>
          </w:tcPr>
          <w:p w14:paraId="6FCE275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përdorimit të metodave të posaçme të hetimit, me qëllim zbulimin dhe dokumentimin e aktiviteteve kriminale, përfshirë përgjimin, infiltrimin, mbikëqyrjen fizike, dhe rritjen e performancës profesionale të oficerëve që zbatojnë këto metoda përmes trajnimit të specializuar, mbikëqyrjes dhe sigurimit të cilësisë.</w:t>
            </w:r>
          </w:p>
        </w:tc>
        <w:tc>
          <w:tcPr>
            <w:tcW w:w="0" w:type="auto"/>
            <w:tcBorders>
              <w:top w:val="nil"/>
              <w:left w:val="nil"/>
              <w:bottom w:val="single" w:sz="4" w:space="0" w:color="auto"/>
              <w:right w:val="single" w:sz="4" w:space="0" w:color="auto"/>
            </w:tcBorders>
            <w:shd w:val="clear" w:color="000000" w:fill="FFFFFF"/>
            <w:vAlign w:val="center"/>
            <w:hideMark/>
          </w:tcPr>
          <w:p w14:paraId="52C8D7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r w:rsidRPr="002128A6">
              <w:rPr>
                <w:rFonts w:ascii="Garamond" w:eastAsia="Times New Roman" w:hAnsi="Garamond" w:cs="Times New Roman"/>
                <w:kern w:val="0"/>
                <w:sz w:val="4"/>
                <w:szCs w:val="8"/>
                <w14:ligatures w14:val="none"/>
              </w:rPr>
              <w:br/>
              <w:t>91604AB</w:t>
            </w:r>
          </w:p>
        </w:tc>
        <w:tc>
          <w:tcPr>
            <w:tcW w:w="0" w:type="auto"/>
            <w:tcBorders>
              <w:top w:val="nil"/>
              <w:left w:val="nil"/>
              <w:bottom w:val="single" w:sz="4" w:space="0" w:color="auto"/>
              <w:right w:val="single" w:sz="4" w:space="0" w:color="auto"/>
            </w:tcBorders>
            <w:shd w:val="clear" w:color="000000" w:fill="FFFFFF"/>
            <w:vAlign w:val="center"/>
            <w:hideMark/>
          </w:tcPr>
          <w:p w14:paraId="7E0501D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124AA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16B9C4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FB0914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3C19C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158F10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C7BC3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231728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4A8C7B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A6424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3ED16F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03A3A7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4E9D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3B070B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184B10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B492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345E69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250D83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27363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51,061,615</w:t>
            </w:r>
          </w:p>
        </w:tc>
        <w:tc>
          <w:tcPr>
            <w:tcW w:w="0" w:type="auto"/>
            <w:tcBorders>
              <w:top w:val="nil"/>
              <w:left w:val="nil"/>
              <w:bottom w:val="single" w:sz="4" w:space="0" w:color="auto"/>
              <w:right w:val="single" w:sz="4" w:space="0" w:color="auto"/>
            </w:tcBorders>
            <w:shd w:val="clear" w:color="000000" w:fill="FFFFFF"/>
            <w:vAlign w:val="center"/>
            <w:hideMark/>
          </w:tcPr>
          <w:p w14:paraId="6FBC7A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255,308,075</w:t>
            </w:r>
          </w:p>
        </w:tc>
        <w:tc>
          <w:tcPr>
            <w:tcW w:w="0" w:type="auto"/>
            <w:tcBorders>
              <w:top w:val="nil"/>
              <w:left w:val="nil"/>
              <w:bottom w:val="single" w:sz="4" w:space="0" w:color="auto"/>
              <w:right w:val="single" w:sz="4" w:space="0" w:color="auto"/>
            </w:tcBorders>
            <w:shd w:val="clear" w:color="000000" w:fill="FFFFFF"/>
            <w:vAlign w:val="center"/>
            <w:hideMark/>
          </w:tcPr>
          <w:p w14:paraId="2CB6E3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404D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255,308,075</w:t>
            </w:r>
          </w:p>
        </w:tc>
        <w:tc>
          <w:tcPr>
            <w:tcW w:w="0" w:type="auto"/>
            <w:tcBorders>
              <w:top w:val="nil"/>
              <w:left w:val="nil"/>
              <w:bottom w:val="single" w:sz="4" w:space="0" w:color="auto"/>
              <w:right w:val="single" w:sz="4" w:space="0" w:color="auto"/>
            </w:tcBorders>
            <w:shd w:val="clear" w:color="000000" w:fill="FFFFFF"/>
            <w:noWrap/>
            <w:vAlign w:val="center"/>
            <w:hideMark/>
          </w:tcPr>
          <w:p w14:paraId="60D9C8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153,184,845</w:t>
            </w:r>
          </w:p>
        </w:tc>
        <w:tc>
          <w:tcPr>
            <w:tcW w:w="0" w:type="auto"/>
            <w:tcBorders>
              <w:top w:val="nil"/>
              <w:left w:val="nil"/>
              <w:bottom w:val="single" w:sz="4" w:space="0" w:color="auto"/>
              <w:right w:val="single" w:sz="4" w:space="0" w:color="auto"/>
            </w:tcBorders>
            <w:shd w:val="clear" w:color="000000" w:fill="FFFFFF"/>
            <w:noWrap/>
            <w:vAlign w:val="center"/>
            <w:hideMark/>
          </w:tcPr>
          <w:p w14:paraId="1DF6D7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1C17E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153,184,845</w:t>
            </w:r>
          </w:p>
        </w:tc>
        <w:tc>
          <w:tcPr>
            <w:tcW w:w="0" w:type="auto"/>
            <w:tcBorders>
              <w:top w:val="nil"/>
              <w:left w:val="nil"/>
              <w:bottom w:val="single" w:sz="4" w:space="0" w:color="auto"/>
              <w:right w:val="single" w:sz="4" w:space="0" w:color="auto"/>
            </w:tcBorders>
            <w:shd w:val="clear" w:color="000000" w:fill="FFFFFF"/>
            <w:noWrap/>
            <w:vAlign w:val="center"/>
            <w:hideMark/>
          </w:tcPr>
          <w:p w14:paraId="171E18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102,123,230</w:t>
            </w:r>
          </w:p>
        </w:tc>
        <w:tc>
          <w:tcPr>
            <w:tcW w:w="0" w:type="auto"/>
            <w:tcBorders>
              <w:top w:val="nil"/>
              <w:left w:val="nil"/>
              <w:bottom w:val="single" w:sz="4" w:space="0" w:color="auto"/>
              <w:right w:val="single" w:sz="4" w:space="0" w:color="auto"/>
            </w:tcBorders>
            <w:shd w:val="clear" w:color="000000" w:fill="FFFFFF"/>
            <w:noWrap/>
            <w:vAlign w:val="center"/>
            <w:hideMark/>
          </w:tcPr>
          <w:p w14:paraId="78A12B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FC4F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102,123,230</w:t>
            </w:r>
          </w:p>
        </w:tc>
        <w:tc>
          <w:tcPr>
            <w:tcW w:w="0" w:type="auto"/>
            <w:tcBorders>
              <w:top w:val="nil"/>
              <w:left w:val="nil"/>
              <w:bottom w:val="single" w:sz="4" w:space="0" w:color="auto"/>
              <w:right w:val="single" w:sz="4" w:space="0" w:color="auto"/>
            </w:tcBorders>
            <w:shd w:val="clear" w:color="000000" w:fill="FFFFFF"/>
            <w:vAlign w:val="center"/>
            <w:hideMark/>
          </w:tcPr>
          <w:p w14:paraId="3F802F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A9AF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BB3E6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D5638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FB813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F87539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940B58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2.7.8</w:t>
            </w:r>
          </w:p>
        </w:tc>
        <w:tc>
          <w:tcPr>
            <w:tcW w:w="0" w:type="auto"/>
            <w:tcBorders>
              <w:top w:val="nil"/>
              <w:left w:val="nil"/>
              <w:bottom w:val="single" w:sz="4" w:space="0" w:color="auto"/>
              <w:right w:val="single" w:sz="4" w:space="0" w:color="auto"/>
            </w:tcBorders>
            <w:shd w:val="clear" w:color="000000" w:fill="FFFFFF"/>
            <w:vAlign w:val="center"/>
            <w:hideMark/>
          </w:tcPr>
          <w:p w14:paraId="6281750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efektivitetit të hetimeve kundër krimit të organizuar, me fokus tek udhëheqësit dhe financuesit, duke kryer hetime të avancuara financiare me qëllimin e identifikimit dhe sekuestrimit të aseteve që rrjedhin nga krimi, përfshirë përmes hetimeve paralele financiare dhe mbështetjes së zgjeruar analitike.</w:t>
            </w:r>
          </w:p>
        </w:tc>
        <w:tc>
          <w:tcPr>
            <w:tcW w:w="0" w:type="auto"/>
            <w:tcBorders>
              <w:top w:val="nil"/>
              <w:left w:val="nil"/>
              <w:bottom w:val="single" w:sz="4" w:space="0" w:color="auto"/>
              <w:right w:val="single" w:sz="4" w:space="0" w:color="auto"/>
            </w:tcBorders>
            <w:shd w:val="clear" w:color="000000" w:fill="FFFFFF"/>
            <w:vAlign w:val="center"/>
            <w:hideMark/>
          </w:tcPr>
          <w:p w14:paraId="1B737E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91604AB;</w:t>
            </w:r>
            <w:r w:rsidRPr="002128A6">
              <w:rPr>
                <w:rFonts w:ascii="Garamond" w:eastAsia="Times New Roman" w:hAnsi="Garamond" w:cs="Times New Roman"/>
                <w:kern w:val="0"/>
                <w:sz w:val="4"/>
                <w:szCs w:val="8"/>
                <w14:ligatures w14:val="none"/>
              </w:rPr>
              <w:br/>
              <w:t>91604AC</w:t>
            </w:r>
          </w:p>
        </w:tc>
        <w:tc>
          <w:tcPr>
            <w:tcW w:w="0" w:type="auto"/>
            <w:tcBorders>
              <w:top w:val="nil"/>
              <w:left w:val="nil"/>
              <w:bottom w:val="single" w:sz="4" w:space="0" w:color="auto"/>
              <w:right w:val="single" w:sz="4" w:space="0" w:color="auto"/>
            </w:tcBorders>
            <w:shd w:val="clear" w:color="000000" w:fill="FFFFFF"/>
            <w:vAlign w:val="center"/>
            <w:hideMark/>
          </w:tcPr>
          <w:p w14:paraId="38B8E5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83967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Posaçme; Byroja Kombëtare e Hetimit;Shërbimi Informativ i Shtetit</w:t>
            </w:r>
          </w:p>
        </w:tc>
        <w:tc>
          <w:tcPr>
            <w:tcW w:w="0" w:type="auto"/>
            <w:tcBorders>
              <w:top w:val="nil"/>
              <w:left w:val="nil"/>
              <w:bottom w:val="single" w:sz="4" w:space="0" w:color="auto"/>
              <w:right w:val="single" w:sz="4" w:space="0" w:color="auto"/>
            </w:tcBorders>
            <w:shd w:val="clear" w:color="000000" w:fill="FFFFFF"/>
            <w:vAlign w:val="center"/>
            <w:hideMark/>
          </w:tcPr>
          <w:p w14:paraId="3D4BBDF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DC30C8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EC3D3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19912F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DC92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35DF75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58B703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016D0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064EBD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15C5F1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E153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105D19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5EB9AD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44153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293E6C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5ACE2D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B46B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105,440,358</w:t>
            </w:r>
          </w:p>
        </w:tc>
        <w:tc>
          <w:tcPr>
            <w:tcW w:w="0" w:type="auto"/>
            <w:tcBorders>
              <w:top w:val="nil"/>
              <w:left w:val="nil"/>
              <w:bottom w:val="single" w:sz="4" w:space="0" w:color="auto"/>
              <w:right w:val="single" w:sz="4" w:space="0" w:color="auto"/>
            </w:tcBorders>
            <w:shd w:val="clear" w:color="000000" w:fill="FFFFFF"/>
            <w:vAlign w:val="center"/>
            <w:hideMark/>
          </w:tcPr>
          <w:p w14:paraId="4E93C6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527,201,790</w:t>
            </w:r>
          </w:p>
        </w:tc>
        <w:tc>
          <w:tcPr>
            <w:tcW w:w="0" w:type="auto"/>
            <w:tcBorders>
              <w:top w:val="nil"/>
              <w:left w:val="nil"/>
              <w:bottom w:val="single" w:sz="4" w:space="0" w:color="auto"/>
              <w:right w:val="single" w:sz="4" w:space="0" w:color="auto"/>
            </w:tcBorders>
            <w:shd w:val="clear" w:color="000000" w:fill="FFFFFF"/>
            <w:vAlign w:val="center"/>
            <w:hideMark/>
          </w:tcPr>
          <w:p w14:paraId="16304A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59756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527,201,790</w:t>
            </w:r>
          </w:p>
        </w:tc>
        <w:tc>
          <w:tcPr>
            <w:tcW w:w="0" w:type="auto"/>
            <w:tcBorders>
              <w:top w:val="nil"/>
              <w:left w:val="nil"/>
              <w:bottom w:val="single" w:sz="4" w:space="0" w:color="auto"/>
              <w:right w:val="single" w:sz="4" w:space="0" w:color="auto"/>
            </w:tcBorders>
            <w:shd w:val="clear" w:color="000000" w:fill="FFFFFF"/>
            <w:noWrap/>
            <w:vAlign w:val="center"/>
            <w:hideMark/>
          </w:tcPr>
          <w:p w14:paraId="29D5E0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316,321,074</w:t>
            </w:r>
          </w:p>
        </w:tc>
        <w:tc>
          <w:tcPr>
            <w:tcW w:w="0" w:type="auto"/>
            <w:tcBorders>
              <w:top w:val="nil"/>
              <w:left w:val="nil"/>
              <w:bottom w:val="single" w:sz="4" w:space="0" w:color="auto"/>
              <w:right w:val="single" w:sz="4" w:space="0" w:color="auto"/>
            </w:tcBorders>
            <w:shd w:val="clear" w:color="000000" w:fill="FFFFFF"/>
            <w:noWrap/>
            <w:vAlign w:val="center"/>
            <w:hideMark/>
          </w:tcPr>
          <w:p w14:paraId="0D1807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E9CF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316,321,074</w:t>
            </w:r>
          </w:p>
        </w:tc>
        <w:tc>
          <w:tcPr>
            <w:tcW w:w="0" w:type="auto"/>
            <w:tcBorders>
              <w:top w:val="nil"/>
              <w:left w:val="nil"/>
              <w:bottom w:val="single" w:sz="4" w:space="0" w:color="auto"/>
              <w:right w:val="single" w:sz="4" w:space="0" w:color="auto"/>
            </w:tcBorders>
            <w:shd w:val="clear" w:color="000000" w:fill="FFFFFF"/>
            <w:noWrap/>
            <w:vAlign w:val="center"/>
            <w:hideMark/>
          </w:tcPr>
          <w:p w14:paraId="3DB939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210,880,716</w:t>
            </w:r>
          </w:p>
        </w:tc>
        <w:tc>
          <w:tcPr>
            <w:tcW w:w="0" w:type="auto"/>
            <w:tcBorders>
              <w:top w:val="nil"/>
              <w:left w:val="nil"/>
              <w:bottom w:val="single" w:sz="4" w:space="0" w:color="auto"/>
              <w:right w:val="single" w:sz="4" w:space="0" w:color="auto"/>
            </w:tcBorders>
            <w:shd w:val="clear" w:color="000000" w:fill="FFFFFF"/>
            <w:noWrap/>
            <w:vAlign w:val="center"/>
            <w:hideMark/>
          </w:tcPr>
          <w:p w14:paraId="05F044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7C7D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210,880,716</w:t>
            </w:r>
          </w:p>
        </w:tc>
        <w:tc>
          <w:tcPr>
            <w:tcW w:w="0" w:type="auto"/>
            <w:tcBorders>
              <w:top w:val="nil"/>
              <w:left w:val="nil"/>
              <w:bottom w:val="single" w:sz="4" w:space="0" w:color="auto"/>
              <w:right w:val="single" w:sz="4" w:space="0" w:color="auto"/>
            </w:tcBorders>
            <w:shd w:val="clear" w:color="000000" w:fill="FFFFFF"/>
            <w:vAlign w:val="center"/>
            <w:hideMark/>
          </w:tcPr>
          <w:p w14:paraId="5BE79B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37E0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A0740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F90A5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B2397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6020ED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4F24DF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2.7.9</w:t>
            </w:r>
          </w:p>
        </w:tc>
        <w:tc>
          <w:tcPr>
            <w:tcW w:w="0" w:type="auto"/>
            <w:tcBorders>
              <w:top w:val="nil"/>
              <w:left w:val="nil"/>
              <w:bottom w:val="single" w:sz="4" w:space="0" w:color="auto"/>
              <w:right w:val="single" w:sz="4" w:space="0" w:color="auto"/>
            </w:tcBorders>
            <w:shd w:val="clear" w:color="000000" w:fill="FFFFFF"/>
            <w:vAlign w:val="center"/>
            <w:hideMark/>
          </w:tcPr>
          <w:p w14:paraId="5EA6DB9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efektivitetit të bashkëpunimit me partnerët për të zbuluar krimin e organizuar, përmes takimeve periodike, analizave dhe trajnimeve të përbashkëta, shkëmbimit të strukturuar të informacionit, dhe lidhjes e zbatimit të marrëveshjeve të bashkëpunimit.</w:t>
            </w:r>
          </w:p>
        </w:tc>
        <w:tc>
          <w:tcPr>
            <w:tcW w:w="0" w:type="auto"/>
            <w:tcBorders>
              <w:top w:val="nil"/>
              <w:left w:val="nil"/>
              <w:bottom w:val="single" w:sz="4" w:space="0" w:color="auto"/>
              <w:right w:val="single" w:sz="4" w:space="0" w:color="auto"/>
            </w:tcBorders>
            <w:shd w:val="clear" w:color="000000" w:fill="FFFFFF"/>
            <w:vAlign w:val="center"/>
            <w:hideMark/>
          </w:tcPr>
          <w:p w14:paraId="42442E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 91604AB</w:t>
            </w:r>
          </w:p>
        </w:tc>
        <w:tc>
          <w:tcPr>
            <w:tcW w:w="0" w:type="auto"/>
            <w:tcBorders>
              <w:top w:val="nil"/>
              <w:left w:val="nil"/>
              <w:bottom w:val="single" w:sz="4" w:space="0" w:color="auto"/>
              <w:right w:val="single" w:sz="4" w:space="0" w:color="auto"/>
            </w:tcBorders>
            <w:shd w:val="clear" w:color="000000" w:fill="FFFFFF"/>
            <w:vAlign w:val="center"/>
            <w:hideMark/>
          </w:tcPr>
          <w:p w14:paraId="4CAAEA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53F5FE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br/>
              <w:t>Byroja Kombëtare e Hetimit; Prokuroria e Posaçme;</w:t>
            </w:r>
          </w:p>
        </w:tc>
        <w:tc>
          <w:tcPr>
            <w:tcW w:w="0" w:type="auto"/>
            <w:tcBorders>
              <w:top w:val="nil"/>
              <w:left w:val="nil"/>
              <w:bottom w:val="single" w:sz="4" w:space="0" w:color="auto"/>
              <w:right w:val="single" w:sz="4" w:space="0" w:color="auto"/>
            </w:tcBorders>
            <w:shd w:val="clear" w:color="000000" w:fill="FFFFFF"/>
            <w:vAlign w:val="center"/>
            <w:hideMark/>
          </w:tcPr>
          <w:p w14:paraId="1F40437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F69603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89CB6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7F1735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6E2D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75DDFC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602084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8111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2482D8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4AA638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D128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2413B5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23191C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57719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152D0F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7CA811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6BA5E5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222,063,156</w:t>
            </w:r>
          </w:p>
        </w:tc>
        <w:tc>
          <w:tcPr>
            <w:tcW w:w="0" w:type="auto"/>
            <w:tcBorders>
              <w:top w:val="nil"/>
              <w:left w:val="nil"/>
              <w:bottom w:val="single" w:sz="4" w:space="0" w:color="auto"/>
              <w:right w:val="single" w:sz="4" w:space="0" w:color="auto"/>
            </w:tcBorders>
            <w:shd w:val="clear" w:color="000000" w:fill="FFFFFF"/>
            <w:vAlign w:val="center"/>
            <w:hideMark/>
          </w:tcPr>
          <w:p w14:paraId="46C29A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1,110,315,780</w:t>
            </w:r>
          </w:p>
        </w:tc>
        <w:tc>
          <w:tcPr>
            <w:tcW w:w="0" w:type="auto"/>
            <w:tcBorders>
              <w:top w:val="nil"/>
              <w:left w:val="nil"/>
              <w:bottom w:val="single" w:sz="4" w:space="0" w:color="auto"/>
              <w:right w:val="single" w:sz="4" w:space="0" w:color="auto"/>
            </w:tcBorders>
            <w:shd w:val="clear" w:color="000000" w:fill="FFFFFF"/>
            <w:vAlign w:val="center"/>
            <w:hideMark/>
          </w:tcPr>
          <w:p w14:paraId="32AE31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B5ED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1,110,315,780</w:t>
            </w:r>
          </w:p>
        </w:tc>
        <w:tc>
          <w:tcPr>
            <w:tcW w:w="0" w:type="auto"/>
            <w:tcBorders>
              <w:top w:val="nil"/>
              <w:left w:val="nil"/>
              <w:bottom w:val="single" w:sz="4" w:space="0" w:color="auto"/>
              <w:right w:val="single" w:sz="4" w:space="0" w:color="auto"/>
            </w:tcBorders>
            <w:shd w:val="clear" w:color="000000" w:fill="FFFFFF"/>
            <w:noWrap/>
            <w:vAlign w:val="center"/>
            <w:hideMark/>
          </w:tcPr>
          <w:p w14:paraId="616D03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666,189,468</w:t>
            </w:r>
          </w:p>
        </w:tc>
        <w:tc>
          <w:tcPr>
            <w:tcW w:w="0" w:type="auto"/>
            <w:tcBorders>
              <w:top w:val="nil"/>
              <w:left w:val="nil"/>
              <w:bottom w:val="single" w:sz="4" w:space="0" w:color="auto"/>
              <w:right w:val="single" w:sz="4" w:space="0" w:color="auto"/>
            </w:tcBorders>
            <w:shd w:val="clear" w:color="000000" w:fill="FFFFFF"/>
            <w:noWrap/>
            <w:vAlign w:val="center"/>
            <w:hideMark/>
          </w:tcPr>
          <w:p w14:paraId="2E279D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0C466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666,189,468</w:t>
            </w:r>
          </w:p>
        </w:tc>
        <w:tc>
          <w:tcPr>
            <w:tcW w:w="0" w:type="auto"/>
            <w:tcBorders>
              <w:top w:val="nil"/>
              <w:left w:val="nil"/>
              <w:bottom w:val="single" w:sz="4" w:space="0" w:color="auto"/>
              <w:right w:val="single" w:sz="4" w:space="0" w:color="auto"/>
            </w:tcBorders>
            <w:shd w:val="clear" w:color="000000" w:fill="FFFFFF"/>
            <w:noWrap/>
            <w:vAlign w:val="center"/>
            <w:hideMark/>
          </w:tcPr>
          <w:p w14:paraId="4999BF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444,126,312</w:t>
            </w:r>
          </w:p>
        </w:tc>
        <w:tc>
          <w:tcPr>
            <w:tcW w:w="0" w:type="auto"/>
            <w:tcBorders>
              <w:top w:val="nil"/>
              <w:left w:val="nil"/>
              <w:bottom w:val="single" w:sz="4" w:space="0" w:color="auto"/>
              <w:right w:val="single" w:sz="4" w:space="0" w:color="auto"/>
            </w:tcBorders>
            <w:shd w:val="clear" w:color="000000" w:fill="FFFFFF"/>
            <w:noWrap/>
            <w:vAlign w:val="center"/>
            <w:hideMark/>
          </w:tcPr>
          <w:p w14:paraId="2A50DC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B36BDB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444,126,312</w:t>
            </w:r>
          </w:p>
        </w:tc>
        <w:tc>
          <w:tcPr>
            <w:tcW w:w="0" w:type="auto"/>
            <w:tcBorders>
              <w:top w:val="nil"/>
              <w:left w:val="nil"/>
              <w:bottom w:val="single" w:sz="4" w:space="0" w:color="auto"/>
              <w:right w:val="single" w:sz="4" w:space="0" w:color="auto"/>
            </w:tcBorders>
            <w:shd w:val="clear" w:color="000000" w:fill="FFFFFF"/>
            <w:vAlign w:val="center"/>
            <w:hideMark/>
          </w:tcPr>
          <w:p w14:paraId="7E18F9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F317CA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873CE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73738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C6DA9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1F9DBA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EE8C4A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2.7.10</w:t>
            </w:r>
          </w:p>
        </w:tc>
        <w:tc>
          <w:tcPr>
            <w:tcW w:w="0" w:type="auto"/>
            <w:tcBorders>
              <w:top w:val="nil"/>
              <w:left w:val="nil"/>
              <w:bottom w:val="single" w:sz="4" w:space="0" w:color="auto"/>
              <w:right w:val="single" w:sz="4" w:space="0" w:color="auto"/>
            </w:tcBorders>
            <w:shd w:val="clear" w:color="000000" w:fill="FFFFFF"/>
            <w:vAlign w:val="center"/>
            <w:hideMark/>
          </w:tcPr>
          <w:p w14:paraId="32CD56E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Hartimi i raportit “Vlerësimi i kërcënimeve të krimit të organizuar dhe krimit të rëndë”, përmes të cilit kërcënimet që paraqet krimi i organizuar dhe krimi i rëndë do të identifikohen, analizohen dhe vlerësohen, me qëllim përcaktimin e prioriteteve për një luftë më efektive kundër rimit, edhe përmes planifikimit strategjik dhe operacional të bazuar në të dhëna.</w:t>
            </w:r>
          </w:p>
        </w:tc>
        <w:tc>
          <w:tcPr>
            <w:tcW w:w="0" w:type="auto"/>
            <w:tcBorders>
              <w:top w:val="nil"/>
              <w:left w:val="nil"/>
              <w:bottom w:val="single" w:sz="4" w:space="0" w:color="auto"/>
              <w:right w:val="single" w:sz="4" w:space="0" w:color="auto"/>
            </w:tcBorders>
            <w:shd w:val="clear" w:color="000000" w:fill="FFFFFF"/>
            <w:vAlign w:val="center"/>
            <w:hideMark/>
          </w:tcPr>
          <w:p w14:paraId="0A8B5E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 91604AB</w:t>
            </w:r>
          </w:p>
        </w:tc>
        <w:tc>
          <w:tcPr>
            <w:tcW w:w="0" w:type="auto"/>
            <w:tcBorders>
              <w:top w:val="nil"/>
              <w:left w:val="nil"/>
              <w:bottom w:val="single" w:sz="4" w:space="0" w:color="auto"/>
              <w:right w:val="single" w:sz="4" w:space="0" w:color="auto"/>
            </w:tcBorders>
            <w:shd w:val="clear" w:color="000000" w:fill="FFFFFF"/>
            <w:vAlign w:val="center"/>
            <w:hideMark/>
          </w:tcPr>
          <w:p w14:paraId="1FAE1C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7577C5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EEBBBC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48EF88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BE191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179DDD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E53FB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16DDEC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5ACAD2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1F64F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515871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490462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840C4C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77CA67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2AECC0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7A53E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79538A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14E6E7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477A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9,608,198</w:t>
            </w:r>
          </w:p>
        </w:tc>
        <w:tc>
          <w:tcPr>
            <w:tcW w:w="0" w:type="auto"/>
            <w:tcBorders>
              <w:top w:val="nil"/>
              <w:left w:val="nil"/>
              <w:bottom w:val="single" w:sz="4" w:space="0" w:color="auto"/>
              <w:right w:val="single" w:sz="4" w:space="0" w:color="auto"/>
            </w:tcBorders>
            <w:shd w:val="clear" w:color="000000" w:fill="FFFFFF"/>
            <w:vAlign w:val="center"/>
            <w:hideMark/>
          </w:tcPr>
          <w:p w14:paraId="464219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48,040,990</w:t>
            </w:r>
          </w:p>
        </w:tc>
        <w:tc>
          <w:tcPr>
            <w:tcW w:w="0" w:type="auto"/>
            <w:tcBorders>
              <w:top w:val="nil"/>
              <w:left w:val="nil"/>
              <w:bottom w:val="single" w:sz="4" w:space="0" w:color="auto"/>
              <w:right w:val="single" w:sz="4" w:space="0" w:color="auto"/>
            </w:tcBorders>
            <w:shd w:val="clear" w:color="000000" w:fill="FFFFFF"/>
            <w:vAlign w:val="center"/>
            <w:hideMark/>
          </w:tcPr>
          <w:p w14:paraId="70DCF9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850BB3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48,040,990</w:t>
            </w:r>
          </w:p>
        </w:tc>
        <w:tc>
          <w:tcPr>
            <w:tcW w:w="0" w:type="auto"/>
            <w:tcBorders>
              <w:top w:val="nil"/>
              <w:left w:val="nil"/>
              <w:bottom w:val="single" w:sz="4" w:space="0" w:color="auto"/>
              <w:right w:val="single" w:sz="4" w:space="0" w:color="auto"/>
            </w:tcBorders>
            <w:shd w:val="clear" w:color="000000" w:fill="FFFFFF"/>
            <w:noWrap/>
            <w:vAlign w:val="center"/>
            <w:hideMark/>
          </w:tcPr>
          <w:p w14:paraId="7C2C2F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28,824,594</w:t>
            </w:r>
          </w:p>
        </w:tc>
        <w:tc>
          <w:tcPr>
            <w:tcW w:w="0" w:type="auto"/>
            <w:tcBorders>
              <w:top w:val="nil"/>
              <w:left w:val="nil"/>
              <w:bottom w:val="single" w:sz="4" w:space="0" w:color="auto"/>
              <w:right w:val="single" w:sz="4" w:space="0" w:color="auto"/>
            </w:tcBorders>
            <w:shd w:val="clear" w:color="000000" w:fill="FFFFFF"/>
            <w:noWrap/>
            <w:vAlign w:val="center"/>
            <w:hideMark/>
          </w:tcPr>
          <w:p w14:paraId="4633F7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A398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28,824,594</w:t>
            </w:r>
          </w:p>
        </w:tc>
        <w:tc>
          <w:tcPr>
            <w:tcW w:w="0" w:type="auto"/>
            <w:tcBorders>
              <w:top w:val="nil"/>
              <w:left w:val="nil"/>
              <w:bottom w:val="single" w:sz="4" w:space="0" w:color="auto"/>
              <w:right w:val="single" w:sz="4" w:space="0" w:color="auto"/>
            </w:tcBorders>
            <w:shd w:val="clear" w:color="000000" w:fill="FFFFFF"/>
            <w:noWrap/>
            <w:vAlign w:val="center"/>
            <w:hideMark/>
          </w:tcPr>
          <w:p w14:paraId="691E11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19,216,396</w:t>
            </w:r>
          </w:p>
        </w:tc>
        <w:tc>
          <w:tcPr>
            <w:tcW w:w="0" w:type="auto"/>
            <w:tcBorders>
              <w:top w:val="nil"/>
              <w:left w:val="nil"/>
              <w:bottom w:val="single" w:sz="4" w:space="0" w:color="auto"/>
              <w:right w:val="single" w:sz="4" w:space="0" w:color="auto"/>
            </w:tcBorders>
            <w:shd w:val="clear" w:color="000000" w:fill="FFFFFF"/>
            <w:noWrap/>
            <w:vAlign w:val="center"/>
            <w:hideMark/>
          </w:tcPr>
          <w:p w14:paraId="41870C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4FC1EF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19,216,396</w:t>
            </w:r>
          </w:p>
        </w:tc>
        <w:tc>
          <w:tcPr>
            <w:tcW w:w="0" w:type="auto"/>
            <w:tcBorders>
              <w:top w:val="nil"/>
              <w:left w:val="nil"/>
              <w:bottom w:val="single" w:sz="4" w:space="0" w:color="auto"/>
              <w:right w:val="single" w:sz="4" w:space="0" w:color="auto"/>
            </w:tcBorders>
            <w:shd w:val="clear" w:color="000000" w:fill="FFFFFF"/>
            <w:vAlign w:val="center"/>
            <w:hideMark/>
          </w:tcPr>
          <w:p w14:paraId="073C65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18AB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47FE54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98B49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F8EBD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2FB7AF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FB432A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2.7.11</w:t>
            </w:r>
          </w:p>
        </w:tc>
        <w:tc>
          <w:tcPr>
            <w:tcW w:w="0" w:type="auto"/>
            <w:tcBorders>
              <w:top w:val="nil"/>
              <w:left w:val="nil"/>
              <w:bottom w:val="single" w:sz="4" w:space="0" w:color="auto"/>
              <w:right w:val="single" w:sz="4" w:space="0" w:color="auto"/>
            </w:tcBorders>
            <w:shd w:val="clear" w:color="000000" w:fill="FFFFFF"/>
            <w:vAlign w:val="center"/>
            <w:hideMark/>
          </w:tcPr>
          <w:p w14:paraId="7F092F2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Kryerja e analizave dhe vlerësimeve periodike të rrezikut të grupeve kriminale që veprojnë në Shqipëri, duke i renditur grupet aktive sipas nivelit të rrezikut, me qëllim prioritizimin dhe shënjestrimin e masave operacionale për ndërprerjen, hetimin dhe ndjekjen penale.</w:t>
            </w:r>
          </w:p>
        </w:tc>
        <w:tc>
          <w:tcPr>
            <w:tcW w:w="0" w:type="auto"/>
            <w:tcBorders>
              <w:top w:val="nil"/>
              <w:left w:val="nil"/>
              <w:bottom w:val="single" w:sz="4" w:space="0" w:color="auto"/>
              <w:right w:val="single" w:sz="4" w:space="0" w:color="auto"/>
            </w:tcBorders>
            <w:shd w:val="clear" w:color="000000" w:fill="FFFFFF"/>
            <w:vAlign w:val="center"/>
            <w:hideMark/>
          </w:tcPr>
          <w:p w14:paraId="1E63B5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 91604AB</w:t>
            </w:r>
          </w:p>
        </w:tc>
        <w:tc>
          <w:tcPr>
            <w:tcW w:w="0" w:type="auto"/>
            <w:tcBorders>
              <w:top w:val="nil"/>
              <w:left w:val="nil"/>
              <w:bottom w:val="single" w:sz="4" w:space="0" w:color="auto"/>
              <w:right w:val="single" w:sz="4" w:space="0" w:color="auto"/>
            </w:tcBorders>
            <w:shd w:val="clear" w:color="000000" w:fill="FFFFFF"/>
            <w:vAlign w:val="center"/>
            <w:hideMark/>
          </w:tcPr>
          <w:p w14:paraId="72406F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D10B8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575404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E2FBFA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8D85E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1FA1F5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361C9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796F65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41850C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4F97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107505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74623D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7DA49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0C4B05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3528F5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653C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69DC0C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39CECE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DDDFA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25,981,174</w:t>
            </w:r>
          </w:p>
        </w:tc>
        <w:tc>
          <w:tcPr>
            <w:tcW w:w="0" w:type="auto"/>
            <w:tcBorders>
              <w:top w:val="nil"/>
              <w:left w:val="nil"/>
              <w:bottom w:val="single" w:sz="4" w:space="0" w:color="auto"/>
              <w:right w:val="single" w:sz="4" w:space="0" w:color="auto"/>
            </w:tcBorders>
            <w:shd w:val="clear" w:color="000000" w:fill="FFFFFF"/>
            <w:vAlign w:val="center"/>
            <w:hideMark/>
          </w:tcPr>
          <w:p w14:paraId="57D3A8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129,905,870</w:t>
            </w:r>
          </w:p>
        </w:tc>
        <w:tc>
          <w:tcPr>
            <w:tcW w:w="0" w:type="auto"/>
            <w:tcBorders>
              <w:top w:val="nil"/>
              <w:left w:val="nil"/>
              <w:bottom w:val="single" w:sz="4" w:space="0" w:color="auto"/>
              <w:right w:val="single" w:sz="4" w:space="0" w:color="auto"/>
            </w:tcBorders>
            <w:shd w:val="clear" w:color="000000" w:fill="FFFFFF"/>
            <w:vAlign w:val="center"/>
            <w:hideMark/>
          </w:tcPr>
          <w:p w14:paraId="6DF5198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EE081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129,905,870</w:t>
            </w:r>
          </w:p>
        </w:tc>
        <w:tc>
          <w:tcPr>
            <w:tcW w:w="0" w:type="auto"/>
            <w:tcBorders>
              <w:top w:val="nil"/>
              <w:left w:val="nil"/>
              <w:bottom w:val="single" w:sz="4" w:space="0" w:color="auto"/>
              <w:right w:val="single" w:sz="4" w:space="0" w:color="auto"/>
            </w:tcBorders>
            <w:shd w:val="clear" w:color="000000" w:fill="FFFFFF"/>
            <w:noWrap/>
            <w:vAlign w:val="center"/>
            <w:hideMark/>
          </w:tcPr>
          <w:p w14:paraId="35D877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77,943,522</w:t>
            </w:r>
          </w:p>
        </w:tc>
        <w:tc>
          <w:tcPr>
            <w:tcW w:w="0" w:type="auto"/>
            <w:tcBorders>
              <w:top w:val="nil"/>
              <w:left w:val="nil"/>
              <w:bottom w:val="single" w:sz="4" w:space="0" w:color="auto"/>
              <w:right w:val="single" w:sz="4" w:space="0" w:color="auto"/>
            </w:tcBorders>
            <w:shd w:val="clear" w:color="000000" w:fill="FFFFFF"/>
            <w:noWrap/>
            <w:vAlign w:val="center"/>
            <w:hideMark/>
          </w:tcPr>
          <w:p w14:paraId="4C6622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5533F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77,943,522</w:t>
            </w:r>
          </w:p>
        </w:tc>
        <w:tc>
          <w:tcPr>
            <w:tcW w:w="0" w:type="auto"/>
            <w:tcBorders>
              <w:top w:val="nil"/>
              <w:left w:val="nil"/>
              <w:bottom w:val="single" w:sz="4" w:space="0" w:color="auto"/>
              <w:right w:val="single" w:sz="4" w:space="0" w:color="auto"/>
            </w:tcBorders>
            <w:shd w:val="clear" w:color="000000" w:fill="FFFFFF"/>
            <w:noWrap/>
            <w:vAlign w:val="center"/>
            <w:hideMark/>
          </w:tcPr>
          <w:p w14:paraId="65B2A1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51,962,348</w:t>
            </w:r>
          </w:p>
        </w:tc>
        <w:tc>
          <w:tcPr>
            <w:tcW w:w="0" w:type="auto"/>
            <w:tcBorders>
              <w:top w:val="nil"/>
              <w:left w:val="nil"/>
              <w:bottom w:val="single" w:sz="4" w:space="0" w:color="auto"/>
              <w:right w:val="single" w:sz="4" w:space="0" w:color="auto"/>
            </w:tcBorders>
            <w:shd w:val="clear" w:color="000000" w:fill="FFFFFF"/>
            <w:noWrap/>
            <w:vAlign w:val="center"/>
            <w:hideMark/>
          </w:tcPr>
          <w:p w14:paraId="10EBDA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33AFE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51,962,348</w:t>
            </w:r>
          </w:p>
        </w:tc>
        <w:tc>
          <w:tcPr>
            <w:tcW w:w="0" w:type="auto"/>
            <w:tcBorders>
              <w:top w:val="nil"/>
              <w:left w:val="nil"/>
              <w:bottom w:val="single" w:sz="4" w:space="0" w:color="auto"/>
              <w:right w:val="single" w:sz="4" w:space="0" w:color="auto"/>
            </w:tcBorders>
            <w:shd w:val="clear" w:color="000000" w:fill="FFFFFF"/>
            <w:vAlign w:val="center"/>
            <w:hideMark/>
          </w:tcPr>
          <w:p w14:paraId="49493C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9AB1A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42C96F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DA8CD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FCDBD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9983EE7"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21883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2.7.12</w:t>
            </w:r>
          </w:p>
        </w:tc>
        <w:tc>
          <w:tcPr>
            <w:tcW w:w="0" w:type="auto"/>
            <w:tcBorders>
              <w:top w:val="nil"/>
              <w:left w:val="nil"/>
              <w:bottom w:val="single" w:sz="4" w:space="0" w:color="auto"/>
              <w:right w:val="single" w:sz="4" w:space="0" w:color="auto"/>
            </w:tcBorders>
            <w:shd w:val="clear" w:color="000000" w:fill="FFFFFF"/>
            <w:vAlign w:val="center"/>
            <w:hideMark/>
          </w:tcPr>
          <w:p w14:paraId="6181634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Rinovimi i pajisjes Router-VPN të instaluar në serverat e INTERPOL NCB Tirana, që mundëson enkriptim të komunikimeve në sistemin e INTERPOL-it, për të garantuar shkëmbim të sigurt të informacionit dhe për të ruajtur konfidencialitetin dhe integritetin e të dhënave që transmetohen.</w:t>
            </w:r>
          </w:p>
        </w:tc>
        <w:tc>
          <w:tcPr>
            <w:tcW w:w="0" w:type="auto"/>
            <w:tcBorders>
              <w:top w:val="nil"/>
              <w:left w:val="nil"/>
              <w:bottom w:val="single" w:sz="4" w:space="0" w:color="auto"/>
              <w:right w:val="single" w:sz="4" w:space="0" w:color="auto"/>
            </w:tcBorders>
            <w:shd w:val="clear" w:color="000000" w:fill="FFFFFF"/>
            <w:vAlign w:val="center"/>
            <w:hideMark/>
          </w:tcPr>
          <w:p w14:paraId="3BC9D7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Është parashikuar në PBA për vitin 2027 mbi limit</w:t>
            </w:r>
          </w:p>
        </w:tc>
        <w:tc>
          <w:tcPr>
            <w:tcW w:w="0" w:type="auto"/>
            <w:tcBorders>
              <w:top w:val="nil"/>
              <w:left w:val="nil"/>
              <w:bottom w:val="single" w:sz="4" w:space="0" w:color="auto"/>
              <w:right w:val="single" w:sz="4" w:space="0" w:color="auto"/>
            </w:tcBorders>
            <w:shd w:val="clear" w:color="000000" w:fill="FFFFFF"/>
            <w:vAlign w:val="center"/>
            <w:hideMark/>
          </w:tcPr>
          <w:p w14:paraId="494F0C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789A43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Punëve të Brendshme; INTERPOL </w:t>
            </w:r>
          </w:p>
        </w:tc>
        <w:tc>
          <w:tcPr>
            <w:tcW w:w="0" w:type="auto"/>
            <w:tcBorders>
              <w:top w:val="nil"/>
              <w:left w:val="nil"/>
              <w:bottom w:val="single" w:sz="4" w:space="0" w:color="auto"/>
              <w:right w:val="single" w:sz="4" w:space="0" w:color="auto"/>
            </w:tcBorders>
            <w:shd w:val="clear" w:color="000000" w:fill="FFFFFF"/>
            <w:vAlign w:val="center"/>
            <w:hideMark/>
          </w:tcPr>
          <w:p w14:paraId="512B888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E22537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2027</w:t>
            </w:r>
          </w:p>
        </w:tc>
        <w:tc>
          <w:tcPr>
            <w:tcW w:w="0" w:type="auto"/>
            <w:tcBorders>
              <w:top w:val="nil"/>
              <w:left w:val="nil"/>
              <w:bottom w:val="single" w:sz="4" w:space="0" w:color="auto"/>
              <w:right w:val="single" w:sz="4" w:space="0" w:color="auto"/>
            </w:tcBorders>
            <w:shd w:val="clear" w:color="000000" w:fill="FFFFFF"/>
            <w:vAlign w:val="center"/>
            <w:hideMark/>
          </w:tcPr>
          <w:p w14:paraId="55E949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B11B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6C80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93A2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5BB0E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55,000,000</w:t>
            </w:r>
          </w:p>
        </w:tc>
        <w:tc>
          <w:tcPr>
            <w:tcW w:w="0" w:type="auto"/>
            <w:tcBorders>
              <w:top w:val="nil"/>
              <w:left w:val="nil"/>
              <w:bottom w:val="single" w:sz="4" w:space="0" w:color="auto"/>
              <w:right w:val="single" w:sz="4" w:space="0" w:color="auto"/>
            </w:tcBorders>
            <w:shd w:val="clear" w:color="000000" w:fill="FFFFFF"/>
            <w:vAlign w:val="center"/>
            <w:hideMark/>
          </w:tcPr>
          <w:p w14:paraId="341F94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55,000,000</w:t>
            </w:r>
          </w:p>
        </w:tc>
        <w:tc>
          <w:tcPr>
            <w:tcW w:w="0" w:type="auto"/>
            <w:tcBorders>
              <w:top w:val="nil"/>
              <w:left w:val="nil"/>
              <w:bottom w:val="single" w:sz="4" w:space="0" w:color="auto"/>
              <w:right w:val="single" w:sz="4" w:space="0" w:color="auto"/>
            </w:tcBorders>
            <w:shd w:val="clear" w:color="000000" w:fill="FFFFFF"/>
            <w:vAlign w:val="center"/>
            <w:hideMark/>
          </w:tcPr>
          <w:p w14:paraId="3A97BD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A55DB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D410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8DCB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B642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2B75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B3826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2A2E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15080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86529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BE912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55,000,000</w:t>
            </w:r>
          </w:p>
        </w:tc>
        <w:tc>
          <w:tcPr>
            <w:tcW w:w="0" w:type="auto"/>
            <w:tcBorders>
              <w:top w:val="nil"/>
              <w:left w:val="nil"/>
              <w:bottom w:val="single" w:sz="4" w:space="0" w:color="auto"/>
              <w:right w:val="single" w:sz="4" w:space="0" w:color="auto"/>
            </w:tcBorders>
            <w:shd w:val="clear" w:color="000000" w:fill="FFFFFF"/>
            <w:vAlign w:val="center"/>
            <w:hideMark/>
          </w:tcPr>
          <w:p w14:paraId="277A0FA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55,000,000</w:t>
            </w:r>
          </w:p>
        </w:tc>
        <w:tc>
          <w:tcPr>
            <w:tcW w:w="0" w:type="auto"/>
            <w:tcBorders>
              <w:top w:val="nil"/>
              <w:left w:val="nil"/>
              <w:bottom w:val="single" w:sz="4" w:space="0" w:color="auto"/>
              <w:right w:val="single" w:sz="4" w:space="0" w:color="auto"/>
            </w:tcBorders>
            <w:shd w:val="clear" w:color="000000" w:fill="FFFFFF"/>
            <w:noWrap/>
            <w:vAlign w:val="center"/>
            <w:hideMark/>
          </w:tcPr>
          <w:p w14:paraId="10B6E9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20DB3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55,000,000</w:t>
            </w:r>
          </w:p>
        </w:tc>
        <w:tc>
          <w:tcPr>
            <w:tcW w:w="0" w:type="auto"/>
            <w:tcBorders>
              <w:top w:val="nil"/>
              <w:left w:val="nil"/>
              <w:bottom w:val="single" w:sz="4" w:space="0" w:color="auto"/>
              <w:right w:val="single" w:sz="4" w:space="0" w:color="auto"/>
            </w:tcBorders>
            <w:shd w:val="clear" w:color="000000" w:fill="FFFFFF"/>
            <w:noWrap/>
            <w:vAlign w:val="center"/>
            <w:hideMark/>
          </w:tcPr>
          <w:p w14:paraId="0B86C3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55,000,000</w:t>
            </w:r>
          </w:p>
        </w:tc>
        <w:tc>
          <w:tcPr>
            <w:tcW w:w="0" w:type="auto"/>
            <w:tcBorders>
              <w:top w:val="nil"/>
              <w:left w:val="nil"/>
              <w:bottom w:val="single" w:sz="4" w:space="0" w:color="auto"/>
              <w:right w:val="single" w:sz="4" w:space="0" w:color="auto"/>
            </w:tcBorders>
            <w:shd w:val="clear" w:color="000000" w:fill="FFFFFF"/>
            <w:noWrap/>
            <w:vAlign w:val="center"/>
            <w:hideMark/>
          </w:tcPr>
          <w:p w14:paraId="4C1755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63ED4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3650F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711AC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C22BA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686D4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Sekretari i Përgjithshëm INTERPOL</w:t>
            </w:r>
          </w:p>
        </w:tc>
        <w:tc>
          <w:tcPr>
            <w:tcW w:w="0" w:type="auto"/>
            <w:tcBorders>
              <w:top w:val="nil"/>
              <w:left w:val="nil"/>
              <w:bottom w:val="single" w:sz="4" w:space="0" w:color="auto"/>
              <w:right w:val="single" w:sz="4" w:space="0" w:color="auto"/>
            </w:tcBorders>
            <w:shd w:val="clear" w:color="000000" w:fill="FFFFFF"/>
            <w:vAlign w:val="center"/>
            <w:hideMark/>
          </w:tcPr>
          <w:p w14:paraId="503637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4AF2A4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4D27CC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92F985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2.7.13</w:t>
            </w:r>
          </w:p>
        </w:tc>
        <w:tc>
          <w:tcPr>
            <w:tcW w:w="0" w:type="auto"/>
            <w:tcBorders>
              <w:top w:val="nil"/>
              <w:left w:val="nil"/>
              <w:bottom w:val="single" w:sz="4" w:space="0" w:color="auto"/>
              <w:right w:val="single" w:sz="4" w:space="0" w:color="auto"/>
            </w:tcBorders>
            <w:shd w:val="clear" w:color="000000" w:fill="FFFFFF"/>
            <w:vAlign w:val="center"/>
            <w:hideMark/>
          </w:tcPr>
          <w:p w14:paraId="01F39C9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Reduktimi i kërcënimeve ndaj jetës dhe shëndetit të individëve (përfshirë vrasjet, lëndimet e rënda), edhe përmes masave parandaluese të shënjestruara, planifikimit operacional të bazuar në rrrezik dhe veprimeve të koordinuara, për shkurajimin, zbulimin dhe ndërprerjen e aktivitetit kriminal të dhunshëm.</w:t>
            </w:r>
          </w:p>
        </w:tc>
        <w:tc>
          <w:tcPr>
            <w:tcW w:w="0" w:type="auto"/>
            <w:tcBorders>
              <w:top w:val="nil"/>
              <w:left w:val="nil"/>
              <w:bottom w:val="single" w:sz="4" w:space="0" w:color="auto"/>
              <w:right w:val="single" w:sz="4" w:space="0" w:color="auto"/>
            </w:tcBorders>
            <w:shd w:val="clear" w:color="000000" w:fill="FFFFFF"/>
            <w:vAlign w:val="center"/>
            <w:hideMark/>
          </w:tcPr>
          <w:p w14:paraId="79CB31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0324FA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Policia e Shtetit </w:t>
            </w:r>
          </w:p>
        </w:tc>
        <w:tc>
          <w:tcPr>
            <w:tcW w:w="0" w:type="auto"/>
            <w:tcBorders>
              <w:top w:val="nil"/>
              <w:left w:val="nil"/>
              <w:bottom w:val="single" w:sz="4" w:space="0" w:color="auto"/>
              <w:right w:val="single" w:sz="4" w:space="0" w:color="auto"/>
            </w:tcBorders>
            <w:shd w:val="clear" w:color="000000" w:fill="FFFFFF"/>
            <w:vAlign w:val="center"/>
            <w:hideMark/>
          </w:tcPr>
          <w:p w14:paraId="3CAA84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 SPAK</w:t>
            </w:r>
          </w:p>
        </w:tc>
        <w:tc>
          <w:tcPr>
            <w:tcW w:w="0" w:type="auto"/>
            <w:tcBorders>
              <w:top w:val="nil"/>
              <w:left w:val="nil"/>
              <w:bottom w:val="single" w:sz="4" w:space="0" w:color="auto"/>
              <w:right w:val="single" w:sz="4" w:space="0" w:color="auto"/>
            </w:tcBorders>
            <w:shd w:val="clear" w:color="000000" w:fill="FFFFFF"/>
            <w:vAlign w:val="center"/>
            <w:hideMark/>
          </w:tcPr>
          <w:p w14:paraId="74AEA13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A6C1A4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03887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23B81F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98B2C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1B43A0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0C6A6BC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9B603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06BE38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4A9142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AE39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53F0E2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5B3DC5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D877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6A6948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640811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8816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13C228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249,960,000</w:t>
            </w:r>
          </w:p>
        </w:tc>
        <w:tc>
          <w:tcPr>
            <w:tcW w:w="0" w:type="auto"/>
            <w:tcBorders>
              <w:top w:val="nil"/>
              <w:left w:val="nil"/>
              <w:bottom w:val="single" w:sz="4" w:space="0" w:color="auto"/>
              <w:right w:val="single" w:sz="4" w:space="0" w:color="auto"/>
            </w:tcBorders>
            <w:shd w:val="clear" w:color="000000" w:fill="FFFFFF"/>
            <w:vAlign w:val="center"/>
            <w:hideMark/>
          </w:tcPr>
          <w:p w14:paraId="1A9B1F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C17A0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249,960,000</w:t>
            </w:r>
          </w:p>
        </w:tc>
        <w:tc>
          <w:tcPr>
            <w:tcW w:w="0" w:type="auto"/>
            <w:tcBorders>
              <w:top w:val="nil"/>
              <w:left w:val="nil"/>
              <w:bottom w:val="single" w:sz="4" w:space="0" w:color="auto"/>
              <w:right w:val="single" w:sz="4" w:space="0" w:color="auto"/>
            </w:tcBorders>
            <w:shd w:val="clear" w:color="000000" w:fill="FFFFFF"/>
            <w:noWrap/>
            <w:vAlign w:val="center"/>
            <w:hideMark/>
          </w:tcPr>
          <w:p w14:paraId="416E5A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149,976,000</w:t>
            </w:r>
          </w:p>
        </w:tc>
        <w:tc>
          <w:tcPr>
            <w:tcW w:w="0" w:type="auto"/>
            <w:tcBorders>
              <w:top w:val="nil"/>
              <w:left w:val="nil"/>
              <w:bottom w:val="single" w:sz="4" w:space="0" w:color="auto"/>
              <w:right w:val="single" w:sz="4" w:space="0" w:color="auto"/>
            </w:tcBorders>
            <w:shd w:val="clear" w:color="000000" w:fill="FFFFFF"/>
            <w:noWrap/>
            <w:vAlign w:val="center"/>
            <w:hideMark/>
          </w:tcPr>
          <w:p w14:paraId="4180C2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3B230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149,976,000</w:t>
            </w:r>
          </w:p>
        </w:tc>
        <w:tc>
          <w:tcPr>
            <w:tcW w:w="0" w:type="auto"/>
            <w:tcBorders>
              <w:top w:val="nil"/>
              <w:left w:val="nil"/>
              <w:bottom w:val="single" w:sz="4" w:space="0" w:color="auto"/>
              <w:right w:val="single" w:sz="4" w:space="0" w:color="auto"/>
            </w:tcBorders>
            <w:shd w:val="clear" w:color="000000" w:fill="FFFFFF"/>
            <w:noWrap/>
            <w:vAlign w:val="center"/>
            <w:hideMark/>
          </w:tcPr>
          <w:p w14:paraId="65FF02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99,984,000</w:t>
            </w:r>
          </w:p>
        </w:tc>
        <w:tc>
          <w:tcPr>
            <w:tcW w:w="0" w:type="auto"/>
            <w:tcBorders>
              <w:top w:val="nil"/>
              <w:left w:val="nil"/>
              <w:bottom w:val="single" w:sz="4" w:space="0" w:color="auto"/>
              <w:right w:val="single" w:sz="4" w:space="0" w:color="auto"/>
            </w:tcBorders>
            <w:shd w:val="clear" w:color="000000" w:fill="FFFFFF"/>
            <w:noWrap/>
            <w:vAlign w:val="center"/>
            <w:hideMark/>
          </w:tcPr>
          <w:p w14:paraId="030AD7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1F8F2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99,984,000</w:t>
            </w:r>
          </w:p>
        </w:tc>
        <w:tc>
          <w:tcPr>
            <w:tcW w:w="0" w:type="auto"/>
            <w:tcBorders>
              <w:top w:val="nil"/>
              <w:left w:val="nil"/>
              <w:bottom w:val="single" w:sz="4" w:space="0" w:color="auto"/>
              <w:right w:val="single" w:sz="4" w:space="0" w:color="auto"/>
            </w:tcBorders>
            <w:shd w:val="clear" w:color="000000" w:fill="FFFFFF"/>
            <w:vAlign w:val="center"/>
            <w:hideMark/>
          </w:tcPr>
          <w:p w14:paraId="566BE1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A977A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75F028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2F0C0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923FD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085318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FECD13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2.7.14</w:t>
            </w:r>
          </w:p>
        </w:tc>
        <w:tc>
          <w:tcPr>
            <w:tcW w:w="0" w:type="auto"/>
            <w:tcBorders>
              <w:top w:val="nil"/>
              <w:left w:val="nil"/>
              <w:bottom w:val="single" w:sz="4" w:space="0" w:color="auto"/>
              <w:right w:val="single" w:sz="4" w:space="0" w:color="auto"/>
            </w:tcBorders>
            <w:shd w:val="clear" w:color="000000" w:fill="FFFFFF"/>
            <w:vAlign w:val="center"/>
            <w:hideMark/>
          </w:tcPr>
          <w:p w14:paraId="7B2294B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hetimeve proaktive për parandalimin, gjurmimin, zbulimin dhe arrestimin e individëve dhe grupeve kriminale të përfshira në krimet e rënda ndaj jetës dhe shëndetit, përmes forcimit të mbledhjes së të dhënave, zbatimit të metodave të posaçme të hetimit, ku lejohet me ligj, si dhe prioritizimit të shkelësve dhe grupeve me rrezik të lartë.</w:t>
            </w:r>
          </w:p>
        </w:tc>
        <w:tc>
          <w:tcPr>
            <w:tcW w:w="0" w:type="auto"/>
            <w:tcBorders>
              <w:top w:val="nil"/>
              <w:left w:val="nil"/>
              <w:bottom w:val="single" w:sz="4" w:space="0" w:color="auto"/>
              <w:right w:val="single" w:sz="4" w:space="0" w:color="auto"/>
            </w:tcBorders>
            <w:shd w:val="clear" w:color="000000" w:fill="FFFFFF"/>
            <w:vAlign w:val="center"/>
            <w:hideMark/>
          </w:tcPr>
          <w:p w14:paraId="78B07F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single" w:sz="4" w:space="0" w:color="auto"/>
            </w:tcBorders>
            <w:shd w:val="clear" w:color="000000" w:fill="FFFFFF"/>
            <w:vAlign w:val="center"/>
            <w:hideMark/>
          </w:tcPr>
          <w:p w14:paraId="261593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4C774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 Prokuroria e Posaçme; 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12C0DFC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C55B1A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E8E38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411F38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D4DE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325B92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7DFCF2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E847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491800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38DDFD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7617A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3199F2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79E8FD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A56AF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6A96B8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333AB1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DB5C9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49,992,000</w:t>
            </w:r>
          </w:p>
        </w:tc>
        <w:tc>
          <w:tcPr>
            <w:tcW w:w="0" w:type="auto"/>
            <w:tcBorders>
              <w:top w:val="nil"/>
              <w:left w:val="nil"/>
              <w:bottom w:val="single" w:sz="4" w:space="0" w:color="auto"/>
              <w:right w:val="single" w:sz="4" w:space="0" w:color="auto"/>
            </w:tcBorders>
            <w:shd w:val="clear" w:color="000000" w:fill="FFFFFF"/>
            <w:vAlign w:val="center"/>
            <w:hideMark/>
          </w:tcPr>
          <w:p w14:paraId="720741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249,960,000</w:t>
            </w:r>
          </w:p>
        </w:tc>
        <w:tc>
          <w:tcPr>
            <w:tcW w:w="0" w:type="auto"/>
            <w:tcBorders>
              <w:top w:val="nil"/>
              <w:left w:val="nil"/>
              <w:bottom w:val="single" w:sz="4" w:space="0" w:color="auto"/>
              <w:right w:val="single" w:sz="4" w:space="0" w:color="auto"/>
            </w:tcBorders>
            <w:shd w:val="clear" w:color="000000" w:fill="FFFFFF"/>
            <w:vAlign w:val="center"/>
            <w:hideMark/>
          </w:tcPr>
          <w:p w14:paraId="1B5666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C9A0A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249,960,000</w:t>
            </w:r>
          </w:p>
        </w:tc>
        <w:tc>
          <w:tcPr>
            <w:tcW w:w="0" w:type="auto"/>
            <w:tcBorders>
              <w:top w:val="nil"/>
              <w:left w:val="nil"/>
              <w:bottom w:val="single" w:sz="4" w:space="0" w:color="auto"/>
              <w:right w:val="single" w:sz="4" w:space="0" w:color="auto"/>
            </w:tcBorders>
            <w:shd w:val="clear" w:color="000000" w:fill="FFFFFF"/>
            <w:noWrap/>
            <w:vAlign w:val="center"/>
            <w:hideMark/>
          </w:tcPr>
          <w:p w14:paraId="1C9C9D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149,976,000</w:t>
            </w:r>
          </w:p>
        </w:tc>
        <w:tc>
          <w:tcPr>
            <w:tcW w:w="0" w:type="auto"/>
            <w:tcBorders>
              <w:top w:val="nil"/>
              <w:left w:val="nil"/>
              <w:bottom w:val="single" w:sz="4" w:space="0" w:color="auto"/>
              <w:right w:val="single" w:sz="4" w:space="0" w:color="auto"/>
            </w:tcBorders>
            <w:shd w:val="clear" w:color="000000" w:fill="FFFFFF"/>
            <w:noWrap/>
            <w:vAlign w:val="center"/>
            <w:hideMark/>
          </w:tcPr>
          <w:p w14:paraId="3F4C97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85635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149,976,000</w:t>
            </w:r>
          </w:p>
        </w:tc>
        <w:tc>
          <w:tcPr>
            <w:tcW w:w="0" w:type="auto"/>
            <w:tcBorders>
              <w:top w:val="nil"/>
              <w:left w:val="nil"/>
              <w:bottom w:val="single" w:sz="4" w:space="0" w:color="auto"/>
              <w:right w:val="single" w:sz="4" w:space="0" w:color="auto"/>
            </w:tcBorders>
            <w:shd w:val="clear" w:color="000000" w:fill="FFFFFF"/>
            <w:noWrap/>
            <w:vAlign w:val="center"/>
            <w:hideMark/>
          </w:tcPr>
          <w:p w14:paraId="1E6278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99,984,000</w:t>
            </w:r>
          </w:p>
        </w:tc>
        <w:tc>
          <w:tcPr>
            <w:tcW w:w="0" w:type="auto"/>
            <w:tcBorders>
              <w:top w:val="nil"/>
              <w:left w:val="nil"/>
              <w:bottom w:val="single" w:sz="4" w:space="0" w:color="auto"/>
              <w:right w:val="single" w:sz="4" w:space="0" w:color="auto"/>
            </w:tcBorders>
            <w:shd w:val="clear" w:color="000000" w:fill="FFFFFF"/>
            <w:noWrap/>
            <w:vAlign w:val="center"/>
            <w:hideMark/>
          </w:tcPr>
          <w:p w14:paraId="42B903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ECA62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99,984,000</w:t>
            </w:r>
          </w:p>
        </w:tc>
        <w:tc>
          <w:tcPr>
            <w:tcW w:w="0" w:type="auto"/>
            <w:tcBorders>
              <w:top w:val="nil"/>
              <w:left w:val="nil"/>
              <w:bottom w:val="single" w:sz="4" w:space="0" w:color="auto"/>
              <w:right w:val="single" w:sz="4" w:space="0" w:color="auto"/>
            </w:tcBorders>
            <w:shd w:val="clear" w:color="000000" w:fill="FFFFFF"/>
            <w:vAlign w:val="center"/>
            <w:hideMark/>
          </w:tcPr>
          <w:p w14:paraId="453016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0E460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483F7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2B830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F30DC6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5E82E7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4F528D4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2.7.15</w:t>
            </w:r>
          </w:p>
        </w:tc>
        <w:tc>
          <w:tcPr>
            <w:tcW w:w="0" w:type="auto"/>
            <w:tcBorders>
              <w:top w:val="nil"/>
              <w:left w:val="nil"/>
              <w:bottom w:val="single" w:sz="4" w:space="0" w:color="auto"/>
              <w:right w:val="single" w:sz="4" w:space="0" w:color="auto"/>
            </w:tcBorders>
            <w:shd w:val="clear" w:color="000000" w:fill="FFFFFF"/>
            <w:vAlign w:val="center"/>
            <w:hideMark/>
          </w:tcPr>
          <w:p w14:paraId="2D03846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Blerja e pajisjeve për aplikimin e identifikimit biometrik të personit LTA, duke siguruar specifikimet teknike, instalimin e sigurt, trajnimin e personelit dhe integrimin me bazat përkatëse të të dhënave dhe rrjedhat operacionale të punës për të mbështetur identifikimin e saktë dhe veprimet ligjzbatuese.</w:t>
            </w:r>
          </w:p>
        </w:tc>
        <w:tc>
          <w:tcPr>
            <w:tcW w:w="0" w:type="auto"/>
            <w:tcBorders>
              <w:top w:val="nil"/>
              <w:left w:val="nil"/>
              <w:bottom w:val="single" w:sz="4" w:space="0" w:color="auto"/>
              <w:right w:val="single" w:sz="4" w:space="0" w:color="auto"/>
            </w:tcBorders>
            <w:shd w:val="clear" w:color="000000" w:fill="FFFFFF"/>
            <w:vAlign w:val="center"/>
            <w:hideMark/>
          </w:tcPr>
          <w:p w14:paraId="7AFA93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M160883</w:t>
            </w:r>
          </w:p>
        </w:tc>
        <w:tc>
          <w:tcPr>
            <w:tcW w:w="0" w:type="auto"/>
            <w:tcBorders>
              <w:top w:val="nil"/>
              <w:left w:val="nil"/>
              <w:bottom w:val="single" w:sz="4" w:space="0" w:color="auto"/>
              <w:right w:val="single" w:sz="4" w:space="0" w:color="auto"/>
            </w:tcBorders>
            <w:shd w:val="clear" w:color="000000" w:fill="FFFFFF"/>
            <w:vAlign w:val="center"/>
            <w:hideMark/>
          </w:tcPr>
          <w:p w14:paraId="79F563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5603A9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58FA22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24CF7D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DCC60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4972D1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6AA5B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8206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73921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5BC72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9894B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33238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218,211,000</w:t>
            </w:r>
          </w:p>
        </w:tc>
        <w:tc>
          <w:tcPr>
            <w:tcW w:w="0" w:type="auto"/>
            <w:tcBorders>
              <w:top w:val="nil"/>
              <w:left w:val="nil"/>
              <w:bottom w:val="single" w:sz="4" w:space="0" w:color="auto"/>
              <w:right w:val="single" w:sz="4" w:space="0" w:color="auto"/>
            </w:tcBorders>
            <w:shd w:val="clear" w:color="000000" w:fill="FFFFFF"/>
            <w:vAlign w:val="center"/>
            <w:hideMark/>
          </w:tcPr>
          <w:p w14:paraId="58B841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218,211,000</w:t>
            </w:r>
          </w:p>
        </w:tc>
        <w:tc>
          <w:tcPr>
            <w:tcW w:w="0" w:type="auto"/>
            <w:tcBorders>
              <w:top w:val="nil"/>
              <w:left w:val="nil"/>
              <w:bottom w:val="single" w:sz="4" w:space="0" w:color="auto"/>
              <w:right w:val="single" w:sz="4" w:space="0" w:color="auto"/>
            </w:tcBorders>
            <w:shd w:val="clear" w:color="000000" w:fill="FFFFFF"/>
            <w:vAlign w:val="center"/>
            <w:hideMark/>
          </w:tcPr>
          <w:p w14:paraId="2FC5AD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D93C0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5ED2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C5C0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56452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4D07F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DAD29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71E59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218,211,000</w:t>
            </w:r>
          </w:p>
        </w:tc>
        <w:tc>
          <w:tcPr>
            <w:tcW w:w="0" w:type="auto"/>
            <w:tcBorders>
              <w:top w:val="nil"/>
              <w:left w:val="nil"/>
              <w:bottom w:val="single" w:sz="4" w:space="0" w:color="auto"/>
              <w:right w:val="single" w:sz="4" w:space="0" w:color="auto"/>
            </w:tcBorders>
            <w:shd w:val="clear" w:color="000000" w:fill="FFFFFF"/>
            <w:vAlign w:val="center"/>
            <w:hideMark/>
          </w:tcPr>
          <w:p w14:paraId="226939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218,211,000</w:t>
            </w:r>
          </w:p>
        </w:tc>
        <w:tc>
          <w:tcPr>
            <w:tcW w:w="0" w:type="auto"/>
            <w:tcBorders>
              <w:top w:val="nil"/>
              <w:left w:val="nil"/>
              <w:bottom w:val="single" w:sz="4" w:space="0" w:color="auto"/>
              <w:right w:val="single" w:sz="4" w:space="0" w:color="auto"/>
            </w:tcBorders>
            <w:shd w:val="clear" w:color="000000" w:fill="FFFFFF"/>
            <w:noWrap/>
            <w:vAlign w:val="center"/>
            <w:hideMark/>
          </w:tcPr>
          <w:p w14:paraId="39BD12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897B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168,211,000</w:t>
            </w:r>
          </w:p>
        </w:tc>
        <w:tc>
          <w:tcPr>
            <w:tcW w:w="0" w:type="auto"/>
            <w:tcBorders>
              <w:top w:val="nil"/>
              <w:left w:val="nil"/>
              <w:bottom w:val="single" w:sz="4" w:space="0" w:color="auto"/>
              <w:right w:val="single" w:sz="4" w:space="0" w:color="auto"/>
            </w:tcBorders>
            <w:shd w:val="clear" w:color="000000" w:fill="FFFFFF"/>
            <w:noWrap/>
            <w:vAlign w:val="center"/>
            <w:hideMark/>
          </w:tcPr>
          <w:p w14:paraId="266342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168,211,000</w:t>
            </w:r>
          </w:p>
        </w:tc>
        <w:tc>
          <w:tcPr>
            <w:tcW w:w="0" w:type="auto"/>
            <w:tcBorders>
              <w:top w:val="nil"/>
              <w:left w:val="nil"/>
              <w:bottom w:val="single" w:sz="4" w:space="0" w:color="auto"/>
              <w:right w:val="single" w:sz="4" w:space="0" w:color="auto"/>
            </w:tcBorders>
            <w:shd w:val="clear" w:color="000000" w:fill="FFFFFF"/>
            <w:noWrap/>
            <w:vAlign w:val="center"/>
            <w:hideMark/>
          </w:tcPr>
          <w:p w14:paraId="48E903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E27C5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CC97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1D13B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E070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FFFFFF"/>
            <w:vAlign w:val="center"/>
            <w:hideMark/>
          </w:tcPr>
          <w:p w14:paraId="374AA9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IPA 2018</w:t>
            </w:r>
          </w:p>
        </w:tc>
        <w:tc>
          <w:tcPr>
            <w:tcW w:w="0" w:type="auto"/>
            <w:tcBorders>
              <w:top w:val="nil"/>
              <w:left w:val="nil"/>
              <w:bottom w:val="single" w:sz="4" w:space="0" w:color="auto"/>
              <w:right w:val="single" w:sz="4" w:space="0" w:color="auto"/>
            </w:tcBorders>
            <w:shd w:val="clear" w:color="000000" w:fill="FFFFFF"/>
            <w:vAlign w:val="center"/>
            <w:hideMark/>
          </w:tcPr>
          <w:p w14:paraId="465219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50,000,000</w:t>
            </w:r>
          </w:p>
        </w:tc>
        <w:tc>
          <w:tcPr>
            <w:tcW w:w="0" w:type="auto"/>
            <w:tcBorders>
              <w:top w:val="nil"/>
              <w:left w:val="nil"/>
              <w:bottom w:val="single" w:sz="4" w:space="0" w:color="auto"/>
              <w:right w:val="single" w:sz="8" w:space="0" w:color="auto"/>
            </w:tcBorders>
            <w:shd w:val="clear" w:color="000000" w:fill="FFFFFF"/>
            <w:vAlign w:val="center"/>
            <w:hideMark/>
          </w:tcPr>
          <w:p w14:paraId="56A292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B86608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7F3252D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hideMark/>
          </w:tcPr>
          <w:p w14:paraId="48A23969" w14:textId="3575C4B1"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 xml:space="preserve">ja </w:t>
            </w:r>
            <w:r w:rsidRPr="002128A6">
              <w:rPr>
                <w:rFonts w:ascii="Garamond" w:eastAsia="Times New Roman" w:hAnsi="Garamond" w:cs="Times New Roman"/>
                <w:b/>
                <w:bCs/>
                <w:kern w:val="0"/>
                <w:sz w:val="4"/>
                <w:szCs w:val="8"/>
                <w14:ligatures w14:val="none"/>
              </w:rPr>
              <w:t>Objektivi specifik 2.7</w:t>
            </w:r>
          </w:p>
        </w:tc>
        <w:tc>
          <w:tcPr>
            <w:tcW w:w="0" w:type="auto"/>
            <w:tcBorders>
              <w:top w:val="nil"/>
              <w:left w:val="nil"/>
              <w:bottom w:val="single" w:sz="4" w:space="0" w:color="auto"/>
              <w:right w:val="single" w:sz="4" w:space="0" w:color="auto"/>
            </w:tcBorders>
            <w:shd w:val="clear" w:color="000000" w:fill="5B9BD5"/>
            <w:vAlign w:val="center"/>
            <w:hideMark/>
          </w:tcPr>
          <w:p w14:paraId="1281497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4ECF9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23832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1064E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9FD17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D6A362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690,675,181</w:t>
            </w:r>
          </w:p>
        </w:tc>
        <w:tc>
          <w:tcPr>
            <w:tcW w:w="0" w:type="auto"/>
            <w:tcBorders>
              <w:top w:val="nil"/>
              <w:left w:val="nil"/>
              <w:bottom w:val="single" w:sz="4" w:space="0" w:color="auto"/>
              <w:right w:val="single" w:sz="4" w:space="0" w:color="auto"/>
            </w:tcBorders>
            <w:shd w:val="clear" w:color="000000" w:fill="5B9BD5"/>
            <w:vAlign w:val="center"/>
            <w:hideMark/>
          </w:tcPr>
          <w:p w14:paraId="2EAD17C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4,000,000</w:t>
            </w:r>
          </w:p>
        </w:tc>
        <w:tc>
          <w:tcPr>
            <w:tcW w:w="0" w:type="auto"/>
            <w:tcBorders>
              <w:top w:val="nil"/>
              <w:left w:val="nil"/>
              <w:bottom w:val="single" w:sz="4" w:space="0" w:color="auto"/>
              <w:right w:val="single" w:sz="4" w:space="0" w:color="auto"/>
            </w:tcBorders>
            <w:shd w:val="clear" w:color="000000" w:fill="5B9BD5"/>
            <w:vAlign w:val="center"/>
            <w:hideMark/>
          </w:tcPr>
          <w:p w14:paraId="4175959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694,675,181</w:t>
            </w:r>
          </w:p>
        </w:tc>
        <w:tc>
          <w:tcPr>
            <w:tcW w:w="0" w:type="auto"/>
            <w:tcBorders>
              <w:top w:val="nil"/>
              <w:left w:val="nil"/>
              <w:bottom w:val="single" w:sz="4" w:space="0" w:color="auto"/>
              <w:right w:val="single" w:sz="4" w:space="0" w:color="auto"/>
            </w:tcBorders>
            <w:shd w:val="clear" w:color="000000" w:fill="5B9BD5"/>
            <w:vAlign w:val="center"/>
            <w:hideMark/>
          </w:tcPr>
          <w:p w14:paraId="56F998F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555,699,381</w:t>
            </w:r>
          </w:p>
        </w:tc>
        <w:tc>
          <w:tcPr>
            <w:tcW w:w="0" w:type="auto"/>
            <w:tcBorders>
              <w:top w:val="nil"/>
              <w:left w:val="nil"/>
              <w:bottom w:val="single" w:sz="4" w:space="0" w:color="auto"/>
              <w:right w:val="single" w:sz="4" w:space="0" w:color="auto"/>
            </w:tcBorders>
            <w:shd w:val="clear" w:color="000000" w:fill="5B9BD5"/>
            <w:vAlign w:val="center"/>
            <w:hideMark/>
          </w:tcPr>
          <w:p w14:paraId="406D983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55,000,000</w:t>
            </w:r>
          </w:p>
        </w:tc>
        <w:tc>
          <w:tcPr>
            <w:tcW w:w="0" w:type="auto"/>
            <w:tcBorders>
              <w:top w:val="nil"/>
              <w:left w:val="nil"/>
              <w:bottom w:val="single" w:sz="4" w:space="0" w:color="auto"/>
              <w:right w:val="single" w:sz="4" w:space="0" w:color="auto"/>
            </w:tcBorders>
            <w:shd w:val="clear" w:color="000000" w:fill="5B9BD5"/>
            <w:vAlign w:val="center"/>
            <w:hideMark/>
          </w:tcPr>
          <w:p w14:paraId="47754C1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610,699,381</w:t>
            </w:r>
          </w:p>
        </w:tc>
        <w:tc>
          <w:tcPr>
            <w:tcW w:w="0" w:type="auto"/>
            <w:tcBorders>
              <w:top w:val="nil"/>
              <w:left w:val="nil"/>
              <w:bottom w:val="single" w:sz="4" w:space="0" w:color="auto"/>
              <w:right w:val="single" w:sz="4" w:space="0" w:color="auto"/>
            </w:tcBorders>
            <w:shd w:val="clear" w:color="000000" w:fill="5B9BD5"/>
            <w:vAlign w:val="center"/>
            <w:hideMark/>
          </w:tcPr>
          <w:p w14:paraId="79F4436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555,699,381</w:t>
            </w:r>
          </w:p>
        </w:tc>
        <w:tc>
          <w:tcPr>
            <w:tcW w:w="0" w:type="auto"/>
            <w:tcBorders>
              <w:top w:val="nil"/>
              <w:left w:val="nil"/>
              <w:bottom w:val="single" w:sz="4" w:space="0" w:color="auto"/>
              <w:right w:val="single" w:sz="4" w:space="0" w:color="auto"/>
            </w:tcBorders>
            <w:shd w:val="clear" w:color="000000" w:fill="5B9BD5"/>
            <w:vAlign w:val="center"/>
            <w:hideMark/>
          </w:tcPr>
          <w:p w14:paraId="2ACB943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218,211,000</w:t>
            </w:r>
          </w:p>
        </w:tc>
        <w:tc>
          <w:tcPr>
            <w:tcW w:w="0" w:type="auto"/>
            <w:tcBorders>
              <w:top w:val="nil"/>
              <w:left w:val="nil"/>
              <w:bottom w:val="single" w:sz="4" w:space="0" w:color="auto"/>
              <w:right w:val="single" w:sz="4" w:space="0" w:color="auto"/>
            </w:tcBorders>
            <w:shd w:val="clear" w:color="000000" w:fill="5B9BD5"/>
            <w:vAlign w:val="center"/>
            <w:hideMark/>
          </w:tcPr>
          <w:p w14:paraId="5F0230A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773,910,381</w:t>
            </w:r>
          </w:p>
        </w:tc>
        <w:tc>
          <w:tcPr>
            <w:tcW w:w="0" w:type="auto"/>
            <w:tcBorders>
              <w:top w:val="nil"/>
              <w:left w:val="nil"/>
              <w:bottom w:val="single" w:sz="4" w:space="0" w:color="auto"/>
              <w:right w:val="single" w:sz="4" w:space="0" w:color="auto"/>
            </w:tcBorders>
            <w:shd w:val="clear" w:color="000000" w:fill="5B9BD5"/>
            <w:vAlign w:val="center"/>
            <w:hideMark/>
          </w:tcPr>
          <w:p w14:paraId="7210C69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514,138,501</w:t>
            </w:r>
          </w:p>
        </w:tc>
        <w:tc>
          <w:tcPr>
            <w:tcW w:w="0" w:type="auto"/>
            <w:tcBorders>
              <w:top w:val="nil"/>
              <w:left w:val="nil"/>
              <w:bottom w:val="single" w:sz="4" w:space="0" w:color="auto"/>
              <w:right w:val="single" w:sz="4" w:space="0" w:color="auto"/>
            </w:tcBorders>
            <w:shd w:val="clear" w:color="000000" w:fill="5B9BD5"/>
            <w:vAlign w:val="center"/>
            <w:hideMark/>
          </w:tcPr>
          <w:p w14:paraId="089E6AF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07B3C4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514,138,501</w:t>
            </w:r>
          </w:p>
        </w:tc>
        <w:tc>
          <w:tcPr>
            <w:tcW w:w="0" w:type="auto"/>
            <w:tcBorders>
              <w:top w:val="nil"/>
              <w:left w:val="nil"/>
              <w:bottom w:val="single" w:sz="4" w:space="0" w:color="auto"/>
              <w:right w:val="single" w:sz="4" w:space="0" w:color="auto"/>
            </w:tcBorders>
            <w:shd w:val="clear" w:color="000000" w:fill="5B9BD5"/>
            <w:vAlign w:val="center"/>
            <w:hideMark/>
          </w:tcPr>
          <w:p w14:paraId="52C578B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514,138,501</w:t>
            </w:r>
          </w:p>
        </w:tc>
        <w:tc>
          <w:tcPr>
            <w:tcW w:w="0" w:type="auto"/>
            <w:tcBorders>
              <w:top w:val="nil"/>
              <w:left w:val="nil"/>
              <w:bottom w:val="single" w:sz="4" w:space="0" w:color="auto"/>
              <w:right w:val="single" w:sz="4" w:space="0" w:color="auto"/>
            </w:tcBorders>
            <w:shd w:val="clear" w:color="000000" w:fill="5B9BD5"/>
            <w:vAlign w:val="center"/>
            <w:hideMark/>
          </w:tcPr>
          <w:p w14:paraId="7CB4F26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4C41EC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514,138,501</w:t>
            </w:r>
          </w:p>
        </w:tc>
        <w:tc>
          <w:tcPr>
            <w:tcW w:w="0" w:type="auto"/>
            <w:tcBorders>
              <w:top w:val="nil"/>
              <w:left w:val="nil"/>
              <w:bottom w:val="single" w:sz="4" w:space="0" w:color="auto"/>
              <w:right w:val="single" w:sz="4" w:space="0" w:color="auto"/>
            </w:tcBorders>
            <w:shd w:val="clear" w:color="000000" w:fill="5B9BD5"/>
            <w:vAlign w:val="center"/>
            <w:hideMark/>
          </w:tcPr>
          <w:p w14:paraId="32DE801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2,830,350,945</w:t>
            </w:r>
          </w:p>
        </w:tc>
        <w:tc>
          <w:tcPr>
            <w:tcW w:w="0" w:type="auto"/>
            <w:tcBorders>
              <w:top w:val="nil"/>
              <w:left w:val="nil"/>
              <w:bottom w:val="single" w:sz="4" w:space="0" w:color="auto"/>
              <w:right w:val="single" w:sz="4" w:space="0" w:color="auto"/>
            </w:tcBorders>
            <w:shd w:val="clear" w:color="000000" w:fill="5B9BD5"/>
            <w:vAlign w:val="center"/>
            <w:hideMark/>
          </w:tcPr>
          <w:p w14:paraId="1CE5594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277,211,000</w:t>
            </w:r>
          </w:p>
        </w:tc>
        <w:tc>
          <w:tcPr>
            <w:tcW w:w="0" w:type="auto"/>
            <w:tcBorders>
              <w:top w:val="nil"/>
              <w:left w:val="nil"/>
              <w:bottom w:val="single" w:sz="4" w:space="0" w:color="auto"/>
              <w:right w:val="single" w:sz="4" w:space="0" w:color="auto"/>
            </w:tcBorders>
            <w:shd w:val="clear" w:color="000000" w:fill="5B9BD5"/>
            <w:vAlign w:val="center"/>
            <w:hideMark/>
          </w:tcPr>
          <w:p w14:paraId="259F185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3,107,561,945</w:t>
            </w:r>
          </w:p>
        </w:tc>
        <w:tc>
          <w:tcPr>
            <w:tcW w:w="0" w:type="auto"/>
            <w:tcBorders>
              <w:top w:val="nil"/>
              <w:left w:val="nil"/>
              <w:bottom w:val="single" w:sz="4" w:space="0" w:color="auto"/>
              <w:right w:val="single" w:sz="4" w:space="0" w:color="auto"/>
            </w:tcBorders>
            <w:shd w:val="clear" w:color="000000" w:fill="5B9BD5"/>
            <w:vAlign w:val="center"/>
            <w:hideMark/>
          </w:tcPr>
          <w:p w14:paraId="6374AA4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1,802,073,943</w:t>
            </w:r>
          </w:p>
        </w:tc>
        <w:tc>
          <w:tcPr>
            <w:tcW w:w="0" w:type="auto"/>
            <w:tcBorders>
              <w:top w:val="nil"/>
              <w:left w:val="nil"/>
              <w:bottom w:val="single" w:sz="4" w:space="0" w:color="auto"/>
              <w:right w:val="single" w:sz="4" w:space="0" w:color="auto"/>
            </w:tcBorders>
            <w:shd w:val="clear" w:color="000000" w:fill="5B9BD5"/>
            <w:vAlign w:val="center"/>
            <w:hideMark/>
          </w:tcPr>
          <w:p w14:paraId="0DB4366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227,211,000</w:t>
            </w:r>
          </w:p>
        </w:tc>
        <w:tc>
          <w:tcPr>
            <w:tcW w:w="0" w:type="auto"/>
            <w:tcBorders>
              <w:top w:val="nil"/>
              <w:left w:val="nil"/>
              <w:bottom w:val="single" w:sz="4" w:space="0" w:color="auto"/>
              <w:right w:val="single" w:sz="4" w:space="0" w:color="auto"/>
            </w:tcBorders>
            <w:shd w:val="clear" w:color="000000" w:fill="5B9BD5"/>
            <w:vAlign w:val="center"/>
            <w:hideMark/>
          </w:tcPr>
          <w:p w14:paraId="5597455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2,029,284,943</w:t>
            </w:r>
          </w:p>
        </w:tc>
        <w:tc>
          <w:tcPr>
            <w:tcW w:w="0" w:type="auto"/>
            <w:tcBorders>
              <w:top w:val="nil"/>
              <w:left w:val="nil"/>
              <w:bottom w:val="single" w:sz="4" w:space="0" w:color="auto"/>
              <w:right w:val="single" w:sz="4" w:space="0" w:color="auto"/>
            </w:tcBorders>
            <w:shd w:val="clear" w:color="000000" w:fill="5B9BD5"/>
            <w:vAlign w:val="center"/>
            <w:hideMark/>
          </w:tcPr>
          <w:p w14:paraId="274BD8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1,028,277,002</w:t>
            </w:r>
          </w:p>
        </w:tc>
        <w:tc>
          <w:tcPr>
            <w:tcW w:w="0" w:type="auto"/>
            <w:tcBorders>
              <w:top w:val="nil"/>
              <w:left w:val="nil"/>
              <w:bottom w:val="single" w:sz="4" w:space="0" w:color="auto"/>
              <w:right w:val="single" w:sz="4" w:space="0" w:color="auto"/>
            </w:tcBorders>
            <w:shd w:val="clear" w:color="000000" w:fill="5B9BD5"/>
            <w:vAlign w:val="center"/>
            <w:hideMark/>
          </w:tcPr>
          <w:p w14:paraId="23AEFBF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B0549B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1,028,277,002</w:t>
            </w:r>
          </w:p>
        </w:tc>
        <w:tc>
          <w:tcPr>
            <w:tcW w:w="0" w:type="auto"/>
            <w:tcBorders>
              <w:top w:val="nil"/>
              <w:left w:val="nil"/>
              <w:bottom w:val="single" w:sz="4" w:space="0" w:color="auto"/>
              <w:right w:val="single" w:sz="4" w:space="0" w:color="auto"/>
            </w:tcBorders>
            <w:shd w:val="clear" w:color="000000" w:fill="5B9BD5"/>
            <w:vAlign w:val="center"/>
            <w:hideMark/>
          </w:tcPr>
          <w:p w14:paraId="64E9A52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272BC4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5B9BD5"/>
            <w:vAlign w:val="center"/>
            <w:hideMark/>
          </w:tcPr>
          <w:p w14:paraId="36AE2F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370CCF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50,000,000</w:t>
            </w:r>
          </w:p>
        </w:tc>
        <w:tc>
          <w:tcPr>
            <w:tcW w:w="0" w:type="auto"/>
            <w:tcBorders>
              <w:top w:val="nil"/>
              <w:left w:val="nil"/>
              <w:bottom w:val="single" w:sz="4" w:space="0" w:color="auto"/>
              <w:right w:val="single" w:sz="4" w:space="0" w:color="auto"/>
            </w:tcBorders>
            <w:shd w:val="clear" w:color="000000" w:fill="5B9BD5"/>
            <w:vAlign w:val="center"/>
            <w:hideMark/>
          </w:tcPr>
          <w:p w14:paraId="297513D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730A791D"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53B1574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w:t>
            </w:r>
          </w:p>
        </w:tc>
        <w:tc>
          <w:tcPr>
            <w:tcW w:w="0" w:type="auto"/>
            <w:tcBorders>
              <w:top w:val="nil"/>
              <w:left w:val="nil"/>
              <w:bottom w:val="single" w:sz="4" w:space="0" w:color="auto"/>
              <w:right w:val="single" w:sz="4" w:space="0" w:color="auto"/>
            </w:tcBorders>
            <w:shd w:val="clear" w:color="000000" w:fill="FCE4D6"/>
            <w:vAlign w:val="center"/>
            <w:hideMark/>
          </w:tcPr>
          <w:p w14:paraId="556DEBE6"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OBJEKTIVI SPECIFIK: 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0" w:type="auto"/>
            <w:tcBorders>
              <w:top w:val="nil"/>
              <w:left w:val="nil"/>
              <w:bottom w:val="single" w:sz="4" w:space="0" w:color="auto"/>
              <w:right w:val="single" w:sz="4" w:space="0" w:color="auto"/>
            </w:tcBorders>
            <w:shd w:val="clear" w:color="000000" w:fill="FFFFFF"/>
            <w:vAlign w:val="center"/>
            <w:hideMark/>
          </w:tcPr>
          <w:p w14:paraId="74FFBDB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21E8D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9213D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B4959A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801B3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45CF3D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D03ED9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ABF0D0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E62B3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B9E9A9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E9E665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DC98B7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7F96A3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66BB89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D9523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D87F96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4788B4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F8359D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D195D8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126ADA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3E0F2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7B6A02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429E34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601446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9AB12C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2FCBFA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5503A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1E92CF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96DD55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59E68D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9299C3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C5B7B3E"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C93E47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00AFCA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553DD94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4FAF81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2.8.1</w:t>
            </w:r>
          </w:p>
        </w:tc>
        <w:tc>
          <w:tcPr>
            <w:tcW w:w="0" w:type="auto"/>
            <w:tcBorders>
              <w:top w:val="nil"/>
              <w:left w:val="nil"/>
              <w:bottom w:val="single" w:sz="4" w:space="0" w:color="auto"/>
              <w:right w:val="single" w:sz="4" w:space="0" w:color="auto"/>
            </w:tcBorders>
            <w:shd w:val="clear" w:color="000000" w:fill="FFFFFF"/>
            <w:hideMark/>
          </w:tcPr>
          <w:p w14:paraId="3B0BD15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aktivitetit hetimor parandalues dhe proaktiv kundër krimeve mjedisore, me qëllim përmirësimin e mekanizmave mbrojtës dhe identifikimin e hershëm të veprave penale mjedisore, përfshirë përmes shënjestrimit të bazuar në rrezik, patrullimeve dhe inspektimeve të udhëhequra nga inteligjenca, si dhe nisjes në kohë të hetimeve proaktive.</w:t>
            </w:r>
          </w:p>
        </w:tc>
        <w:tc>
          <w:tcPr>
            <w:tcW w:w="0" w:type="auto"/>
            <w:tcBorders>
              <w:top w:val="nil"/>
              <w:left w:val="nil"/>
              <w:bottom w:val="single" w:sz="4" w:space="0" w:color="auto"/>
              <w:right w:val="single" w:sz="4" w:space="0" w:color="auto"/>
            </w:tcBorders>
            <w:shd w:val="clear" w:color="000000" w:fill="FFFFFF"/>
            <w:vAlign w:val="center"/>
            <w:hideMark/>
          </w:tcPr>
          <w:p w14:paraId="4F6AA1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48BB686F" w14:textId="661F3A35"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r w:rsidR="005C084B" w:rsidRPr="002128A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Inspektorati Kombëtar i Mbrojtjes së Territorit</w:t>
            </w:r>
          </w:p>
        </w:tc>
        <w:tc>
          <w:tcPr>
            <w:tcW w:w="0" w:type="auto"/>
            <w:tcBorders>
              <w:top w:val="nil"/>
              <w:left w:val="nil"/>
              <w:bottom w:val="single" w:sz="4" w:space="0" w:color="auto"/>
              <w:right w:val="single" w:sz="4" w:space="0" w:color="auto"/>
            </w:tcBorders>
            <w:shd w:val="clear" w:color="000000" w:fill="FFFFFF"/>
            <w:vAlign w:val="center"/>
            <w:hideMark/>
          </w:tcPr>
          <w:p w14:paraId="58A233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Ministria e Mjedisit; 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61914E4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E752EA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08C42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6FDBE23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8294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69796D5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726545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21BB8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6C868D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00F0E8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23FD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40B55D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08C190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4BFAC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4856B2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41168E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9772C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0BE3351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16,037,530</w:t>
            </w:r>
          </w:p>
        </w:tc>
        <w:tc>
          <w:tcPr>
            <w:tcW w:w="0" w:type="auto"/>
            <w:tcBorders>
              <w:top w:val="nil"/>
              <w:left w:val="nil"/>
              <w:bottom w:val="single" w:sz="4" w:space="0" w:color="auto"/>
              <w:right w:val="single" w:sz="4" w:space="0" w:color="auto"/>
            </w:tcBorders>
            <w:shd w:val="clear" w:color="000000" w:fill="FFFFFF"/>
            <w:vAlign w:val="center"/>
            <w:hideMark/>
          </w:tcPr>
          <w:p w14:paraId="267878D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6BFAC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16,037,530</w:t>
            </w:r>
          </w:p>
        </w:tc>
        <w:tc>
          <w:tcPr>
            <w:tcW w:w="0" w:type="auto"/>
            <w:tcBorders>
              <w:top w:val="nil"/>
              <w:left w:val="nil"/>
              <w:bottom w:val="single" w:sz="4" w:space="0" w:color="auto"/>
              <w:right w:val="single" w:sz="4" w:space="0" w:color="auto"/>
            </w:tcBorders>
            <w:shd w:val="clear" w:color="000000" w:fill="FFFFFF"/>
            <w:noWrap/>
            <w:vAlign w:val="center"/>
            <w:hideMark/>
          </w:tcPr>
          <w:p w14:paraId="3236D0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9,622,518</w:t>
            </w:r>
          </w:p>
        </w:tc>
        <w:tc>
          <w:tcPr>
            <w:tcW w:w="0" w:type="auto"/>
            <w:tcBorders>
              <w:top w:val="nil"/>
              <w:left w:val="nil"/>
              <w:bottom w:val="single" w:sz="4" w:space="0" w:color="auto"/>
              <w:right w:val="single" w:sz="4" w:space="0" w:color="auto"/>
            </w:tcBorders>
            <w:shd w:val="clear" w:color="000000" w:fill="FFFFFF"/>
            <w:noWrap/>
            <w:vAlign w:val="center"/>
            <w:hideMark/>
          </w:tcPr>
          <w:p w14:paraId="7BF7D6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ECBE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9,622,518</w:t>
            </w:r>
          </w:p>
        </w:tc>
        <w:tc>
          <w:tcPr>
            <w:tcW w:w="0" w:type="auto"/>
            <w:tcBorders>
              <w:top w:val="nil"/>
              <w:left w:val="nil"/>
              <w:bottom w:val="single" w:sz="4" w:space="0" w:color="auto"/>
              <w:right w:val="single" w:sz="4" w:space="0" w:color="auto"/>
            </w:tcBorders>
            <w:shd w:val="clear" w:color="000000" w:fill="FFFFFF"/>
            <w:noWrap/>
            <w:vAlign w:val="center"/>
            <w:hideMark/>
          </w:tcPr>
          <w:p w14:paraId="2E42B7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6,415,012</w:t>
            </w:r>
          </w:p>
        </w:tc>
        <w:tc>
          <w:tcPr>
            <w:tcW w:w="0" w:type="auto"/>
            <w:tcBorders>
              <w:top w:val="nil"/>
              <w:left w:val="nil"/>
              <w:bottom w:val="single" w:sz="4" w:space="0" w:color="auto"/>
              <w:right w:val="single" w:sz="4" w:space="0" w:color="auto"/>
            </w:tcBorders>
            <w:shd w:val="clear" w:color="000000" w:fill="FFFFFF"/>
            <w:noWrap/>
            <w:vAlign w:val="center"/>
            <w:hideMark/>
          </w:tcPr>
          <w:p w14:paraId="508B98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622C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6,415,012</w:t>
            </w:r>
          </w:p>
        </w:tc>
        <w:tc>
          <w:tcPr>
            <w:tcW w:w="0" w:type="auto"/>
            <w:tcBorders>
              <w:top w:val="nil"/>
              <w:left w:val="nil"/>
              <w:bottom w:val="single" w:sz="4" w:space="0" w:color="auto"/>
              <w:right w:val="single" w:sz="4" w:space="0" w:color="auto"/>
            </w:tcBorders>
            <w:shd w:val="clear" w:color="000000" w:fill="FFFFFF"/>
            <w:vAlign w:val="center"/>
            <w:hideMark/>
          </w:tcPr>
          <w:p w14:paraId="4F5844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84EC5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0ED9CF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6AB93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F5905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3FAF39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B4E4D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2.8.2</w:t>
            </w:r>
          </w:p>
        </w:tc>
        <w:tc>
          <w:tcPr>
            <w:tcW w:w="0" w:type="auto"/>
            <w:tcBorders>
              <w:top w:val="nil"/>
              <w:left w:val="nil"/>
              <w:bottom w:val="single" w:sz="4" w:space="0" w:color="auto"/>
              <w:right w:val="nil"/>
            </w:tcBorders>
            <w:shd w:val="clear" w:color="000000" w:fill="FFFFFF"/>
            <w:vAlign w:val="center"/>
            <w:hideMark/>
          </w:tcPr>
          <w:p w14:paraId="25F3DD2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shkëmbimit të informacionit si mjet strategjik për të përmirësuar cilësinë dhe efektivitetin e hetimeve të veprave penale që lidhen me krimet mjedisore, në bashkëpunim me prokuroritë e juridiksionit të përgjithshëm, përfshirë përmes koordinimit të strukturuar të çështjeve, referimeve në kohë dhe ndarjes së pistave hetimore, nevojave provuese dhe produkteve analitike.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786C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01F968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58323F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Prokuroria e Përgjithshme; 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1AAD370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225B89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C26CA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7740D2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CE40F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244161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7B530C5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C0CFE8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598E7A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49F131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515A3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6A1FBB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5E65EB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1917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68A858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1D582B2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7B31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43243B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16,037,530</w:t>
            </w:r>
          </w:p>
        </w:tc>
        <w:tc>
          <w:tcPr>
            <w:tcW w:w="0" w:type="auto"/>
            <w:tcBorders>
              <w:top w:val="nil"/>
              <w:left w:val="nil"/>
              <w:bottom w:val="single" w:sz="4" w:space="0" w:color="auto"/>
              <w:right w:val="single" w:sz="4" w:space="0" w:color="auto"/>
            </w:tcBorders>
            <w:shd w:val="clear" w:color="000000" w:fill="FFFFFF"/>
            <w:vAlign w:val="center"/>
            <w:hideMark/>
          </w:tcPr>
          <w:p w14:paraId="601519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46FF6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16,037,530</w:t>
            </w:r>
          </w:p>
        </w:tc>
        <w:tc>
          <w:tcPr>
            <w:tcW w:w="0" w:type="auto"/>
            <w:tcBorders>
              <w:top w:val="nil"/>
              <w:left w:val="nil"/>
              <w:bottom w:val="single" w:sz="4" w:space="0" w:color="auto"/>
              <w:right w:val="single" w:sz="4" w:space="0" w:color="auto"/>
            </w:tcBorders>
            <w:shd w:val="clear" w:color="000000" w:fill="FFFFFF"/>
            <w:noWrap/>
            <w:vAlign w:val="center"/>
            <w:hideMark/>
          </w:tcPr>
          <w:p w14:paraId="764D65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9,622,518</w:t>
            </w:r>
          </w:p>
        </w:tc>
        <w:tc>
          <w:tcPr>
            <w:tcW w:w="0" w:type="auto"/>
            <w:tcBorders>
              <w:top w:val="nil"/>
              <w:left w:val="nil"/>
              <w:bottom w:val="single" w:sz="4" w:space="0" w:color="auto"/>
              <w:right w:val="single" w:sz="4" w:space="0" w:color="auto"/>
            </w:tcBorders>
            <w:shd w:val="clear" w:color="000000" w:fill="FFFFFF"/>
            <w:noWrap/>
            <w:vAlign w:val="center"/>
            <w:hideMark/>
          </w:tcPr>
          <w:p w14:paraId="122D58F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0B9C0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9,622,518</w:t>
            </w:r>
          </w:p>
        </w:tc>
        <w:tc>
          <w:tcPr>
            <w:tcW w:w="0" w:type="auto"/>
            <w:tcBorders>
              <w:top w:val="nil"/>
              <w:left w:val="nil"/>
              <w:bottom w:val="single" w:sz="4" w:space="0" w:color="auto"/>
              <w:right w:val="single" w:sz="4" w:space="0" w:color="auto"/>
            </w:tcBorders>
            <w:shd w:val="clear" w:color="000000" w:fill="FFFFFF"/>
            <w:noWrap/>
            <w:vAlign w:val="center"/>
            <w:hideMark/>
          </w:tcPr>
          <w:p w14:paraId="211FF1B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6,415,012</w:t>
            </w:r>
          </w:p>
        </w:tc>
        <w:tc>
          <w:tcPr>
            <w:tcW w:w="0" w:type="auto"/>
            <w:tcBorders>
              <w:top w:val="nil"/>
              <w:left w:val="nil"/>
              <w:bottom w:val="single" w:sz="4" w:space="0" w:color="auto"/>
              <w:right w:val="single" w:sz="4" w:space="0" w:color="auto"/>
            </w:tcBorders>
            <w:shd w:val="clear" w:color="000000" w:fill="FFFFFF"/>
            <w:noWrap/>
            <w:vAlign w:val="center"/>
            <w:hideMark/>
          </w:tcPr>
          <w:p w14:paraId="61883A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4349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6,415,012</w:t>
            </w:r>
          </w:p>
        </w:tc>
        <w:tc>
          <w:tcPr>
            <w:tcW w:w="0" w:type="auto"/>
            <w:tcBorders>
              <w:top w:val="nil"/>
              <w:left w:val="nil"/>
              <w:bottom w:val="single" w:sz="4" w:space="0" w:color="auto"/>
              <w:right w:val="single" w:sz="4" w:space="0" w:color="auto"/>
            </w:tcBorders>
            <w:shd w:val="clear" w:color="000000" w:fill="FFFFFF"/>
            <w:vAlign w:val="center"/>
            <w:hideMark/>
          </w:tcPr>
          <w:p w14:paraId="2A71D8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C998F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1DF75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AA7B2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E76F0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A17940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5F6D32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2.8.3</w:t>
            </w:r>
          </w:p>
        </w:tc>
        <w:tc>
          <w:tcPr>
            <w:tcW w:w="0" w:type="auto"/>
            <w:tcBorders>
              <w:top w:val="nil"/>
              <w:left w:val="nil"/>
              <w:bottom w:val="single" w:sz="4" w:space="0" w:color="auto"/>
              <w:right w:val="nil"/>
            </w:tcBorders>
            <w:shd w:val="clear" w:color="000000" w:fill="FFFFFF"/>
            <w:vAlign w:val="center"/>
            <w:hideMark/>
          </w:tcPr>
          <w:p w14:paraId="590F2FDF" w14:textId="69AA458B"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bashkëpunimit ndërkombëtar në shkëmbimin e informacionit mbi krimin mjedisor, përmes kanaleve të sigurta të komunikimit, me qëllim sigurinë mjedisore globale dhe kombëtare, duke promovuar bashkëpunimin ndërkufitar dhe hetimet e përbashkëta, si dhe duke përdorur mjetet dhe mekanizmat përkatës sipas UNTOC (Konventës së OKB-së kundër Krimit të Organizuar Transnacional) për të luftuar prerjen e paligjshme, trafikimin e mbetjeve, dhe trafikimin 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 xml:space="preserve">kafshëve të egra.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AC5A6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91604AA</w:t>
            </w:r>
          </w:p>
        </w:tc>
        <w:tc>
          <w:tcPr>
            <w:tcW w:w="0" w:type="auto"/>
            <w:tcBorders>
              <w:top w:val="nil"/>
              <w:left w:val="nil"/>
              <w:bottom w:val="single" w:sz="4" w:space="0" w:color="auto"/>
              <w:right w:val="single" w:sz="4" w:space="0" w:color="auto"/>
            </w:tcBorders>
            <w:shd w:val="clear" w:color="000000" w:fill="FFFFFF"/>
            <w:vAlign w:val="center"/>
            <w:hideMark/>
          </w:tcPr>
          <w:p w14:paraId="0D14D3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730189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CFDE9C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3FD585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93404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1B9915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ADD40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74F028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3C4A58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B2293E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48917A3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100B1D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582F85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5C7D3A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4B2BE3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DCCF5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6AF1E9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5D9EF0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872B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1,685,969</w:t>
            </w:r>
          </w:p>
        </w:tc>
        <w:tc>
          <w:tcPr>
            <w:tcW w:w="0" w:type="auto"/>
            <w:tcBorders>
              <w:top w:val="nil"/>
              <w:left w:val="nil"/>
              <w:bottom w:val="single" w:sz="4" w:space="0" w:color="auto"/>
              <w:right w:val="single" w:sz="4" w:space="0" w:color="auto"/>
            </w:tcBorders>
            <w:shd w:val="clear" w:color="000000" w:fill="FFFFFF"/>
            <w:vAlign w:val="center"/>
            <w:hideMark/>
          </w:tcPr>
          <w:p w14:paraId="1D8987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8,429,845</w:t>
            </w:r>
          </w:p>
        </w:tc>
        <w:tc>
          <w:tcPr>
            <w:tcW w:w="0" w:type="auto"/>
            <w:tcBorders>
              <w:top w:val="nil"/>
              <w:left w:val="nil"/>
              <w:bottom w:val="single" w:sz="4" w:space="0" w:color="auto"/>
              <w:right w:val="single" w:sz="4" w:space="0" w:color="auto"/>
            </w:tcBorders>
            <w:shd w:val="clear" w:color="000000" w:fill="FFFFFF"/>
            <w:vAlign w:val="center"/>
            <w:hideMark/>
          </w:tcPr>
          <w:p w14:paraId="4029A8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92078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8,429,845</w:t>
            </w:r>
          </w:p>
        </w:tc>
        <w:tc>
          <w:tcPr>
            <w:tcW w:w="0" w:type="auto"/>
            <w:tcBorders>
              <w:top w:val="nil"/>
              <w:left w:val="nil"/>
              <w:bottom w:val="single" w:sz="4" w:space="0" w:color="auto"/>
              <w:right w:val="single" w:sz="4" w:space="0" w:color="auto"/>
            </w:tcBorders>
            <w:shd w:val="clear" w:color="000000" w:fill="FFFFFF"/>
            <w:noWrap/>
            <w:vAlign w:val="center"/>
            <w:hideMark/>
          </w:tcPr>
          <w:p w14:paraId="0DCBE8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5,057,907</w:t>
            </w:r>
          </w:p>
        </w:tc>
        <w:tc>
          <w:tcPr>
            <w:tcW w:w="0" w:type="auto"/>
            <w:tcBorders>
              <w:top w:val="nil"/>
              <w:left w:val="nil"/>
              <w:bottom w:val="single" w:sz="4" w:space="0" w:color="auto"/>
              <w:right w:val="single" w:sz="4" w:space="0" w:color="auto"/>
            </w:tcBorders>
            <w:shd w:val="clear" w:color="000000" w:fill="FFFFFF"/>
            <w:noWrap/>
            <w:vAlign w:val="center"/>
            <w:hideMark/>
          </w:tcPr>
          <w:p w14:paraId="6295E1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AFEBA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5,057,907</w:t>
            </w:r>
          </w:p>
        </w:tc>
        <w:tc>
          <w:tcPr>
            <w:tcW w:w="0" w:type="auto"/>
            <w:tcBorders>
              <w:top w:val="nil"/>
              <w:left w:val="nil"/>
              <w:bottom w:val="single" w:sz="4" w:space="0" w:color="auto"/>
              <w:right w:val="single" w:sz="4" w:space="0" w:color="auto"/>
            </w:tcBorders>
            <w:shd w:val="clear" w:color="000000" w:fill="FFFFFF"/>
            <w:noWrap/>
            <w:vAlign w:val="center"/>
            <w:hideMark/>
          </w:tcPr>
          <w:p w14:paraId="0942E3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3,371,938</w:t>
            </w:r>
          </w:p>
        </w:tc>
        <w:tc>
          <w:tcPr>
            <w:tcW w:w="0" w:type="auto"/>
            <w:tcBorders>
              <w:top w:val="nil"/>
              <w:left w:val="nil"/>
              <w:bottom w:val="single" w:sz="4" w:space="0" w:color="auto"/>
              <w:right w:val="single" w:sz="4" w:space="0" w:color="auto"/>
            </w:tcBorders>
            <w:shd w:val="clear" w:color="000000" w:fill="FFFFFF"/>
            <w:noWrap/>
            <w:vAlign w:val="center"/>
            <w:hideMark/>
          </w:tcPr>
          <w:p w14:paraId="6630DB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B6ACD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3,371,938</w:t>
            </w:r>
          </w:p>
        </w:tc>
        <w:tc>
          <w:tcPr>
            <w:tcW w:w="0" w:type="auto"/>
            <w:tcBorders>
              <w:top w:val="nil"/>
              <w:left w:val="nil"/>
              <w:bottom w:val="single" w:sz="4" w:space="0" w:color="auto"/>
              <w:right w:val="single" w:sz="4" w:space="0" w:color="auto"/>
            </w:tcBorders>
            <w:shd w:val="clear" w:color="000000" w:fill="FFFFFF"/>
            <w:vAlign w:val="center"/>
            <w:hideMark/>
          </w:tcPr>
          <w:p w14:paraId="4B56F0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4C20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080A56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2575D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CA251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1584E1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3ADF9C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2.8.4</w:t>
            </w:r>
          </w:p>
        </w:tc>
        <w:tc>
          <w:tcPr>
            <w:tcW w:w="0" w:type="auto"/>
            <w:tcBorders>
              <w:top w:val="nil"/>
              <w:left w:val="nil"/>
              <w:bottom w:val="single" w:sz="4" w:space="0" w:color="auto"/>
              <w:right w:val="nil"/>
            </w:tcBorders>
            <w:shd w:val="clear" w:color="000000" w:fill="FFFFFF"/>
            <w:vAlign w:val="center"/>
            <w:hideMark/>
          </w:tcPr>
          <w:p w14:paraId="445374B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Ofrimi i trajnimit të përbashkët për oficerët e agjencive ligjzbatuese mbi identifikimin, zbulimin dhe referimin (kualifikimin) e krimeve mjedisore, përfshirë trajnimin mbi tipologjitë e krimit mjedisor, kërkesat e mbledhjes së provave dhe procedurat e koordinimit me inspektorët dhe prokurorët.</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0B1B0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4BD0E427" w14:textId="26FE8511"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r w:rsidR="005C084B" w:rsidRPr="002128A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 xml:space="preserve">Inspektorati Kombëtar i </w:t>
            </w:r>
            <w:r w:rsidRPr="002128A6">
              <w:rPr>
                <w:rFonts w:ascii="Garamond" w:eastAsia="Times New Roman" w:hAnsi="Garamond" w:cs="Times New Roman"/>
                <w:kern w:val="0"/>
                <w:sz w:val="4"/>
                <w:szCs w:val="8"/>
                <w14:ligatures w14:val="none"/>
              </w:rPr>
              <w:lastRenderedPageBreak/>
              <w:t>Mbrojtjes së Territorit</w:t>
            </w:r>
          </w:p>
        </w:tc>
        <w:tc>
          <w:tcPr>
            <w:tcW w:w="0" w:type="auto"/>
            <w:tcBorders>
              <w:top w:val="nil"/>
              <w:left w:val="nil"/>
              <w:bottom w:val="single" w:sz="4" w:space="0" w:color="auto"/>
              <w:right w:val="single" w:sz="4" w:space="0" w:color="auto"/>
            </w:tcBorders>
            <w:shd w:val="clear" w:color="000000" w:fill="FFFFFF"/>
            <w:vAlign w:val="center"/>
            <w:hideMark/>
          </w:tcPr>
          <w:p w14:paraId="27CD8E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lastRenderedPageBreak/>
              <w:t xml:space="preserve">Prokuroria e Përgjithshme; Byroja Kombëtare </w:t>
            </w:r>
            <w:r w:rsidRPr="002128A6">
              <w:rPr>
                <w:rFonts w:ascii="Garamond" w:eastAsia="Times New Roman" w:hAnsi="Garamond" w:cs="Times New Roman"/>
                <w:kern w:val="0"/>
                <w:sz w:val="4"/>
                <w:szCs w:val="8"/>
                <w14:ligatures w14:val="none"/>
              </w:rPr>
              <w:lastRenderedPageBreak/>
              <w:t xml:space="preserve">e Hetimit, Prokuroria e Posaçme; Ministria e Mjedisit/Inspektorati i Përgjithshëm, </w:t>
            </w:r>
          </w:p>
        </w:tc>
        <w:tc>
          <w:tcPr>
            <w:tcW w:w="0" w:type="auto"/>
            <w:tcBorders>
              <w:top w:val="nil"/>
              <w:left w:val="nil"/>
              <w:bottom w:val="single" w:sz="4" w:space="0" w:color="auto"/>
              <w:right w:val="single" w:sz="4" w:space="0" w:color="auto"/>
            </w:tcBorders>
            <w:shd w:val="clear" w:color="000000" w:fill="FFFFFF"/>
            <w:vAlign w:val="center"/>
            <w:hideMark/>
          </w:tcPr>
          <w:p w14:paraId="13E83D6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lastRenderedPageBreak/>
              <w:t>2026</w:t>
            </w:r>
          </w:p>
        </w:tc>
        <w:tc>
          <w:tcPr>
            <w:tcW w:w="0" w:type="auto"/>
            <w:tcBorders>
              <w:top w:val="nil"/>
              <w:left w:val="nil"/>
              <w:bottom w:val="single" w:sz="4" w:space="0" w:color="auto"/>
              <w:right w:val="single" w:sz="4" w:space="0" w:color="auto"/>
            </w:tcBorders>
            <w:shd w:val="clear" w:color="000000" w:fill="FFFFFF"/>
            <w:vAlign w:val="center"/>
            <w:hideMark/>
          </w:tcPr>
          <w:p w14:paraId="4F8839C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81CC1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422B1B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ABCCE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0837D0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604124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E27DC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1A389A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08977C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68B10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1002A7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50D81B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DAA56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5AD47EF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251863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B51E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2,512,000</w:t>
            </w:r>
          </w:p>
        </w:tc>
        <w:tc>
          <w:tcPr>
            <w:tcW w:w="0" w:type="auto"/>
            <w:tcBorders>
              <w:top w:val="nil"/>
              <w:left w:val="nil"/>
              <w:bottom w:val="single" w:sz="4" w:space="0" w:color="auto"/>
              <w:right w:val="single" w:sz="4" w:space="0" w:color="auto"/>
            </w:tcBorders>
            <w:shd w:val="clear" w:color="000000" w:fill="FFFFFF"/>
            <w:vAlign w:val="center"/>
            <w:hideMark/>
          </w:tcPr>
          <w:p w14:paraId="465154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12,560,000</w:t>
            </w:r>
          </w:p>
        </w:tc>
        <w:tc>
          <w:tcPr>
            <w:tcW w:w="0" w:type="auto"/>
            <w:tcBorders>
              <w:top w:val="nil"/>
              <w:left w:val="nil"/>
              <w:bottom w:val="single" w:sz="4" w:space="0" w:color="auto"/>
              <w:right w:val="single" w:sz="4" w:space="0" w:color="auto"/>
            </w:tcBorders>
            <w:shd w:val="clear" w:color="000000" w:fill="FFFFFF"/>
            <w:vAlign w:val="center"/>
            <w:hideMark/>
          </w:tcPr>
          <w:p w14:paraId="3916C5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99DA5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12,560,000</w:t>
            </w:r>
          </w:p>
        </w:tc>
        <w:tc>
          <w:tcPr>
            <w:tcW w:w="0" w:type="auto"/>
            <w:tcBorders>
              <w:top w:val="nil"/>
              <w:left w:val="nil"/>
              <w:bottom w:val="single" w:sz="4" w:space="0" w:color="auto"/>
              <w:right w:val="single" w:sz="4" w:space="0" w:color="auto"/>
            </w:tcBorders>
            <w:shd w:val="clear" w:color="000000" w:fill="FFFFFF"/>
            <w:noWrap/>
            <w:vAlign w:val="center"/>
            <w:hideMark/>
          </w:tcPr>
          <w:p w14:paraId="6FCFB7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7,536,000</w:t>
            </w:r>
          </w:p>
        </w:tc>
        <w:tc>
          <w:tcPr>
            <w:tcW w:w="0" w:type="auto"/>
            <w:tcBorders>
              <w:top w:val="nil"/>
              <w:left w:val="nil"/>
              <w:bottom w:val="single" w:sz="4" w:space="0" w:color="auto"/>
              <w:right w:val="single" w:sz="4" w:space="0" w:color="auto"/>
            </w:tcBorders>
            <w:shd w:val="clear" w:color="000000" w:fill="FFFFFF"/>
            <w:noWrap/>
            <w:vAlign w:val="center"/>
            <w:hideMark/>
          </w:tcPr>
          <w:p w14:paraId="0EB72D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5A95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7,536,000</w:t>
            </w:r>
          </w:p>
        </w:tc>
        <w:tc>
          <w:tcPr>
            <w:tcW w:w="0" w:type="auto"/>
            <w:tcBorders>
              <w:top w:val="nil"/>
              <w:left w:val="nil"/>
              <w:bottom w:val="single" w:sz="4" w:space="0" w:color="auto"/>
              <w:right w:val="single" w:sz="4" w:space="0" w:color="auto"/>
            </w:tcBorders>
            <w:shd w:val="clear" w:color="000000" w:fill="FFFFFF"/>
            <w:noWrap/>
            <w:vAlign w:val="center"/>
            <w:hideMark/>
          </w:tcPr>
          <w:p w14:paraId="421E44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5,024,000</w:t>
            </w:r>
          </w:p>
        </w:tc>
        <w:tc>
          <w:tcPr>
            <w:tcW w:w="0" w:type="auto"/>
            <w:tcBorders>
              <w:top w:val="nil"/>
              <w:left w:val="nil"/>
              <w:bottom w:val="single" w:sz="4" w:space="0" w:color="auto"/>
              <w:right w:val="single" w:sz="4" w:space="0" w:color="auto"/>
            </w:tcBorders>
            <w:shd w:val="clear" w:color="000000" w:fill="FFFFFF"/>
            <w:noWrap/>
            <w:vAlign w:val="center"/>
            <w:hideMark/>
          </w:tcPr>
          <w:p w14:paraId="1E403F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1DCBB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5,024,000</w:t>
            </w:r>
          </w:p>
        </w:tc>
        <w:tc>
          <w:tcPr>
            <w:tcW w:w="0" w:type="auto"/>
            <w:tcBorders>
              <w:top w:val="nil"/>
              <w:left w:val="nil"/>
              <w:bottom w:val="single" w:sz="4" w:space="0" w:color="auto"/>
              <w:right w:val="single" w:sz="4" w:space="0" w:color="auto"/>
            </w:tcBorders>
            <w:shd w:val="clear" w:color="000000" w:fill="FFFFFF"/>
            <w:vAlign w:val="center"/>
            <w:hideMark/>
          </w:tcPr>
          <w:p w14:paraId="2C1876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17F20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4FC348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A793C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812B9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BD92767"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23AEFE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2.8.5</w:t>
            </w:r>
          </w:p>
        </w:tc>
        <w:tc>
          <w:tcPr>
            <w:tcW w:w="0" w:type="auto"/>
            <w:tcBorders>
              <w:top w:val="nil"/>
              <w:left w:val="nil"/>
              <w:bottom w:val="single" w:sz="4" w:space="0" w:color="auto"/>
              <w:right w:val="nil"/>
            </w:tcBorders>
            <w:shd w:val="clear" w:color="000000" w:fill="FFFFFF"/>
            <w:vAlign w:val="center"/>
            <w:hideMark/>
          </w:tcPr>
          <w:p w14:paraId="7A121F4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Krijimi dhe operacionalizimi i njësive të specializuara për identifikimin dhe hetimin e krimeve mjedisore, duke përcaktuar mandatet, profilet e personelit, mekanizmat e koordinimit me inspektoratet mjedisore dhe prokurorët, dhe përdorimin e mjeteve dhe metodologjive të specializuara për zbulimin dhe zhvillimin e çështjes.</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4791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689890C2" w14:textId="770AE611"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r w:rsidR="005C084B" w:rsidRPr="002128A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Inspektorati Kombëtar i Mbrojtjes së Territorit</w:t>
            </w:r>
          </w:p>
        </w:tc>
        <w:tc>
          <w:tcPr>
            <w:tcW w:w="0" w:type="auto"/>
            <w:tcBorders>
              <w:top w:val="nil"/>
              <w:left w:val="nil"/>
              <w:bottom w:val="single" w:sz="4" w:space="0" w:color="auto"/>
              <w:right w:val="single" w:sz="4" w:space="0" w:color="auto"/>
            </w:tcBorders>
            <w:shd w:val="clear" w:color="000000" w:fill="FFFFFF"/>
            <w:vAlign w:val="center"/>
            <w:hideMark/>
          </w:tcPr>
          <w:p w14:paraId="3FF64B87" w14:textId="59258CBE"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Mjedisit</w:t>
            </w:r>
            <w:r w:rsidR="005C084B" w:rsidRPr="002128A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Inspektorati i Përgjithshëm</w:t>
            </w:r>
          </w:p>
        </w:tc>
        <w:tc>
          <w:tcPr>
            <w:tcW w:w="0" w:type="auto"/>
            <w:tcBorders>
              <w:top w:val="nil"/>
              <w:left w:val="nil"/>
              <w:bottom w:val="single" w:sz="4" w:space="0" w:color="auto"/>
              <w:right w:val="single" w:sz="4" w:space="0" w:color="auto"/>
            </w:tcBorders>
            <w:shd w:val="clear" w:color="000000" w:fill="FFFFFF"/>
            <w:vAlign w:val="center"/>
            <w:hideMark/>
          </w:tcPr>
          <w:p w14:paraId="66BC46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FF6AD4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5624A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76CAEB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C256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776A1B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3CB11E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E4AE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6CFC54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275356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336BC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25DE47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5B6E4B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1530B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59EBED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4B074C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21046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1,521,000</w:t>
            </w:r>
          </w:p>
        </w:tc>
        <w:tc>
          <w:tcPr>
            <w:tcW w:w="0" w:type="auto"/>
            <w:tcBorders>
              <w:top w:val="nil"/>
              <w:left w:val="nil"/>
              <w:bottom w:val="single" w:sz="4" w:space="0" w:color="auto"/>
              <w:right w:val="single" w:sz="4" w:space="0" w:color="auto"/>
            </w:tcBorders>
            <w:shd w:val="clear" w:color="000000" w:fill="FFFFFF"/>
            <w:vAlign w:val="center"/>
            <w:hideMark/>
          </w:tcPr>
          <w:p w14:paraId="75655D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7,605,000</w:t>
            </w:r>
          </w:p>
        </w:tc>
        <w:tc>
          <w:tcPr>
            <w:tcW w:w="0" w:type="auto"/>
            <w:tcBorders>
              <w:top w:val="nil"/>
              <w:left w:val="nil"/>
              <w:bottom w:val="single" w:sz="4" w:space="0" w:color="auto"/>
              <w:right w:val="single" w:sz="4" w:space="0" w:color="auto"/>
            </w:tcBorders>
            <w:shd w:val="clear" w:color="000000" w:fill="FFFFFF"/>
            <w:vAlign w:val="center"/>
            <w:hideMark/>
          </w:tcPr>
          <w:p w14:paraId="4CD012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5AF4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7,605,000</w:t>
            </w:r>
          </w:p>
        </w:tc>
        <w:tc>
          <w:tcPr>
            <w:tcW w:w="0" w:type="auto"/>
            <w:tcBorders>
              <w:top w:val="nil"/>
              <w:left w:val="nil"/>
              <w:bottom w:val="single" w:sz="4" w:space="0" w:color="auto"/>
              <w:right w:val="single" w:sz="4" w:space="0" w:color="auto"/>
            </w:tcBorders>
            <w:shd w:val="clear" w:color="000000" w:fill="FFFFFF"/>
            <w:noWrap/>
            <w:vAlign w:val="center"/>
            <w:hideMark/>
          </w:tcPr>
          <w:p w14:paraId="6D5F0A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4,563,000</w:t>
            </w:r>
          </w:p>
        </w:tc>
        <w:tc>
          <w:tcPr>
            <w:tcW w:w="0" w:type="auto"/>
            <w:tcBorders>
              <w:top w:val="nil"/>
              <w:left w:val="nil"/>
              <w:bottom w:val="single" w:sz="4" w:space="0" w:color="auto"/>
              <w:right w:val="single" w:sz="4" w:space="0" w:color="auto"/>
            </w:tcBorders>
            <w:shd w:val="clear" w:color="000000" w:fill="FFFFFF"/>
            <w:noWrap/>
            <w:vAlign w:val="center"/>
            <w:hideMark/>
          </w:tcPr>
          <w:p w14:paraId="72303B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69F2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4,563,000</w:t>
            </w:r>
          </w:p>
        </w:tc>
        <w:tc>
          <w:tcPr>
            <w:tcW w:w="0" w:type="auto"/>
            <w:tcBorders>
              <w:top w:val="nil"/>
              <w:left w:val="nil"/>
              <w:bottom w:val="single" w:sz="4" w:space="0" w:color="auto"/>
              <w:right w:val="single" w:sz="4" w:space="0" w:color="auto"/>
            </w:tcBorders>
            <w:shd w:val="clear" w:color="000000" w:fill="FFFFFF"/>
            <w:noWrap/>
            <w:vAlign w:val="center"/>
            <w:hideMark/>
          </w:tcPr>
          <w:p w14:paraId="5E8C0D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3,042,000</w:t>
            </w:r>
          </w:p>
        </w:tc>
        <w:tc>
          <w:tcPr>
            <w:tcW w:w="0" w:type="auto"/>
            <w:tcBorders>
              <w:top w:val="nil"/>
              <w:left w:val="nil"/>
              <w:bottom w:val="single" w:sz="4" w:space="0" w:color="auto"/>
              <w:right w:val="single" w:sz="4" w:space="0" w:color="auto"/>
            </w:tcBorders>
            <w:shd w:val="clear" w:color="000000" w:fill="FFFFFF"/>
            <w:noWrap/>
            <w:vAlign w:val="center"/>
            <w:hideMark/>
          </w:tcPr>
          <w:p w14:paraId="3DFF28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0B209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3,042,000</w:t>
            </w:r>
          </w:p>
        </w:tc>
        <w:tc>
          <w:tcPr>
            <w:tcW w:w="0" w:type="auto"/>
            <w:tcBorders>
              <w:top w:val="nil"/>
              <w:left w:val="nil"/>
              <w:bottom w:val="single" w:sz="4" w:space="0" w:color="auto"/>
              <w:right w:val="single" w:sz="4" w:space="0" w:color="auto"/>
            </w:tcBorders>
            <w:shd w:val="clear" w:color="000000" w:fill="FFFFFF"/>
            <w:vAlign w:val="center"/>
            <w:hideMark/>
          </w:tcPr>
          <w:p w14:paraId="491978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27EC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3B14B9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3AE17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8B752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58555E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8F7C4C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2.8.6</w:t>
            </w:r>
          </w:p>
        </w:tc>
        <w:tc>
          <w:tcPr>
            <w:tcW w:w="0" w:type="auto"/>
            <w:tcBorders>
              <w:top w:val="nil"/>
              <w:left w:val="nil"/>
              <w:bottom w:val="single" w:sz="4" w:space="0" w:color="auto"/>
              <w:right w:val="nil"/>
            </w:tcBorders>
            <w:shd w:val="clear" w:color="000000" w:fill="FFFFFF"/>
            <w:vAlign w:val="center"/>
            <w:hideMark/>
          </w:tcPr>
          <w:p w14:paraId="04453C4C"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Integrimi i kurrikulave të krimit mjedisor në Akademinë e Sigurisë, si dhe hartimi i moduleve të specializuara të trajnimit ndërinstitucional për hetuesit financiarë, prokurorët dhe inspektorët mjedisorë, përfshirë module për korrupsionin e gjelbër, të ardhurat mjedisore nga krimi, si dhe flukset e paligjshme financiare që rrjedhin nga krimet mjedisore, me qëllim forcimin e parandalimit, zbulimit dhe ndërtimit efektiv të çështjes.</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F26EA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single" w:sz="4" w:space="0" w:color="auto"/>
            </w:tcBorders>
            <w:shd w:val="clear" w:color="000000" w:fill="FFFFFF"/>
            <w:vAlign w:val="center"/>
            <w:hideMark/>
          </w:tcPr>
          <w:p w14:paraId="43106716" w14:textId="4A107978"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r w:rsidR="005C084B" w:rsidRPr="002128A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Akademia e Sigurisë</w:t>
            </w:r>
          </w:p>
        </w:tc>
        <w:tc>
          <w:tcPr>
            <w:tcW w:w="0" w:type="auto"/>
            <w:tcBorders>
              <w:top w:val="nil"/>
              <w:left w:val="nil"/>
              <w:bottom w:val="single" w:sz="4" w:space="0" w:color="auto"/>
              <w:right w:val="single" w:sz="4" w:space="0" w:color="auto"/>
            </w:tcBorders>
            <w:shd w:val="clear" w:color="000000" w:fill="FFFFFF"/>
            <w:vAlign w:val="center"/>
            <w:hideMark/>
          </w:tcPr>
          <w:p w14:paraId="674F85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0CAA0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8704D4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75219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23B59C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94F31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3E3B76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0A39A8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106FB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63E00E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259819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70C23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07CD15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61B3F8A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05733C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3C6A1E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4E24D4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5F776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3,207,506</w:t>
            </w:r>
          </w:p>
        </w:tc>
        <w:tc>
          <w:tcPr>
            <w:tcW w:w="0" w:type="auto"/>
            <w:tcBorders>
              <w:top w:val="nil"/>
              <w:left w:val="nil"/>
              <w:bottom w:val="single" w:sz="4" w:space="0" w:color="auto"/>
              <w:right w:val="single" w:sz="4" w:space="0" w:color="auto"/>
            </w:tcBorders>
            <w:shd w:val="clear" w:color="000000" w:fill="FFFFFF"/>
            <w:vAlign w:val="center"/>
            <w:hideMark/>
          </w:tcPr>
          <w:p w14:paraId="318AF3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16,037,530</w:t>
            </w:r>
          </w:p>
        </w:tc>
        <w:tc>
          <w:tcPr>
            <w:tcW w:w="0" w:type="auto"/>
            <w:tcBorders>
              <w:top w:val="nil"/>
              <w:left w:val="nil"/>
              <w:bottom w:val="single" w:sz="4" w:space="0" w:color="auto"/>
              <w:right w:val="single" w:sz="4" w:space="0" w:color="auto"/>
            </w:tcBorders>
            <w:shd w:val="clear" w:color="000000" w:fill="FFFFFF"/>
            <w:vAlign w:val="center"/>
            <w:hideMark/>
          </w:tcPr>
          <w:p w14:paraId="3AB438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EE866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16,037,530</w:t>
            </w:r>
          </w:p>
        </w:tc>
        <w:tc>
          <w:tcPr>
            <w:tcW w:w="0" w:type="auto"/>
            <w:tcBorders>
              <w:top w:val="nil"/>
              <w:left w:val="nil"/>
              <w:bottom w:val="single" w:sz="4" w:space="0" w:color="auto"/>
              <w:right w:val="single" w:sz="4" w:space="0" w:color="auto"/>
            </w:tcBorders>
            <w:shd w:val="clear" w:color="000000" w:fill="FFFFFF"/>
            <w:noWrap/>
            <w:vAlign w:val="center"/>
            <w:hideMark/>
          </w:tcPr>
          <w:p w14:paraId="24BED0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9,622,518</w:t>
            </w:r>
          </w:p>
        </w:tc>
        <w:tc>
          <w:tcPr>
            <w:tcW w:w="0" w:type="auto"/>
            <w:tcBorders>
              <w:top w:val="nil"/>
              <w:left w:val="nil"/>
              <w:bottom w:val="single" w:sz="4" w:space="0" w:color="auto"/>
              <w:right w:val="single" w:sz="4" w:space="0" w:color="auto"/>
            </w:tcBorders>
            <w:shd w:val="clear" w:color="000000" w:fill="FFFFFF"/>
            <w:noWrap/>
            <w:vAlign w:val="center"/>
            <w:hideMark/>
          </w:tcPr>
          <w:p w14:paraId="473F68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69F56F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9,622,518</w:t>
            </w:r>
          </w:p>
        </w:tc>
        <w:tc>
          <w:tcPr>
            <w:tcW w:w="0" w:type="auto"/>
            <w:tcBorders>
              <w:top w:val="nil"/>
              <w:left w:val="nil"/>
              <w:bottom w:val="single" w:sz="4" w:space="0" w:color="auto"/>
              <w:right w:val="single" w:sz="4" w:space="0" w:color="auto"/>
            </w:tcBorders>
            <w:shd w:val="clear" w:color="000000" w:fill="FFFFFF"/>
            <w:noWrap/>
            <w:vAlign w:val="center"/>
            <w:hideMark/>
          </w:tcPr>
          <w:p w14:paraId="09D727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6,415,012</w:t>
            </w:r>
          </w:p>
        </w:tc>
        <w:tc>
          <w:tcPr>
            <w:tcW w:w="0" w:type="auto"/>
            <w:tcBorders>
              <w:top w:val="nil"/>
              <w:left w:val="nil"/>
              <w:bottom w:val="single" w:sz="4" w:space="0" w:color="auto"/>
              <w:right w:val="single" w:sz="4" w:space="0" w:color="auto"/>
            </w:tcBorders>
            <w:shd w:val="clear" w:color="000000" w:fill="FFFFFF"/>
            <w:noWrap/>
            <w:vAlign w:val="center"/>
            <w:hideMark/>
          </w:tcPr>
          <w:p w14:paraId="1E1FC6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0B6E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6,415,012</w:t>
            </w:r>
          </w:p>
        </w:tc>
        <w:tc>
          <w:tcPr>
            <w:tcW w:w="0" w:type="auto"/>
            <w:tcBorders>
              <w:top w:val="nil"/>
              <w:left w:val="nil"/>
              <w:bottom w:val="single" w:sz="4" w:space="0" w:color="auto"/>
              <w:right w:val="single" w:sz="4" w:space="0" w:color="auto"/>
            </w:tcBorders>
            <w:shd w:val="clear" w:color="000000" w:fill="FFFFFF"/>
            <w:vAlign w:val="center"/>
            <w:hideMark/>
          </w:tcPr>
          <w:p w14:paraId="058EB1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E49DB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278848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480A3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5FC27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1CF8209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64192B2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2.8.7</w:t>
            </w:r>
          </w:p>
        </w:tc>
        <w:tc>
          <w:tcPr>
            <w:tcW w:w="0" w:type="auto"/>
            <w:tcBorders>
              <w:top w:val="nil"/>
              <w:left w:val="nil"/>
              <w:bottom w:val="single" w:sz="4" w:space="0" w:color="auto"/>
              <w:right w:val="nil"/>
            </w:tcBorders>
            <w:shd w:val="clear" w:color="000000" w:fill="FFFFFF"/>
            <w:vAlign w:val="center"/>
            <w:hideMark/>
          </w:tcPr>
          <w:p w14:paraId="349A26A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Përfshirja e kurrikulave të krimit mjedisor në Shkollën e Magjistraturës për trajnimin fillestar dhe të vazhdueshëm të magjistratëve, përfshirë modulet mbi kualifikimin e veprave, standardet provuese, të ardhurat e krimit mjedisor dhe përdorimin e ekspertizës së specializuar dhe koordinimit ndërinstitucional në procedimet e krimit mjedisor.</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C8BA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1055001</w:t>
            </w:r>
          </w:p>
        </w:tc>
        <w:tc>
          <w:tcPr>
            <w:tcW w:w="0" w:type="auto"/>
            <w:tcBorders>
              <w:top w:val="nil"/>
              <w:left w:val="nil"/>
              <w:bottom w:val="single" w:sz="4" w:space="0" w:color="auto"/>
              <w:right w:val="single" w:sz="4" w:space="0" w:color="auto"/>
            </w:tcBorders>
            <w:shd w:val="clear" w:color="000000" w:fill="FFFFFF"/>
            <w:vAlign w:val="center"/>
            <w:hideMark/>
          </w:tcPr>
          <w:p w14:paraId="67AEE7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Shkolla e Magjistraturës</w:t>
            </w:r>
          </w:p>
        </w:tc>
        <w:tc>
          <w:tcPr>
            <w:tcW w:w="0" w:type="auto"/>
            <w:tcBorders>
              <w:top w:val="nil"/>
              <w:left w:val="nil"/>
              <w:bottom w:val="single" w:sz="4" w:space="0" w:color="auto"/>
              <w:right w:val="single" w:sz="4" w:space="0" w:color="auto"/>
            </w:tcBorders>
            <w:shd w:val="clear" w:color="000000" w:fill="FFFFFF"/>
            <w:vAlign w:val="center"/>
            <w:hideMark/>
          </w:tcPr>
          <w:p w14:paraId="3BFC92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395C05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3008A1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6BF89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w:t>
            </w:r>
          </w:p>
        </w:tc>
        <w:tc>
          <w:tcPr>
            <w:tcW w:w="0" w:type="auto"/>
            <w:tcBorders>
              <w:top w:val="nil"/>
              <w:left w:val="nil"/>
              <w:bottom w:val="single" w:sz="4" w:space="0" w:color="auto"/>
              <w:right w:val="single" w:sz="4" w:space="0" w:color="auto"/>
            </w:tcBorders>
            <w:shd w:val="clear" w:color="000000" w:fill="FFFFFF"/>
            <w:vAlign w:val="center"/>
            <w:hideMark/>
          </w:tcPr>
          <w:p w14:paraId="3D163C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915AF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w:t>
            </w:r>
          </w:p>
        </w:tc>
        <w:tc>
          <w:tcPr>
            <w:tcW w:w="0" w:type="auto"/>
            <w:tcBorders>
              <w:top w:val="nil"/>
              <w:left w:val="nil"/>
              <w:bottom w:val="single" w:sz="4" w:space="0" w:color="auto"/>
              <w:right w:val="single" w:sz="4" w:space="0" w:color="auto"/>
            </w:tcBorders>
            <w:shd w:val="clear" w:color="000000" w:fill="FFFFFF"/>
            <w:vAlign w:val="center"/>
            <w:hideMark/>
          </w:tcPr>
          <w:p w14:paraId="6FF2BA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w:t>
            </w:r>
          </w:p>
        </w:tc>
        <w:tc>
          <w:tcPr>
            <w:tcW w:w="0" w:type="auto"/>
            <w:tcBorders>
              <w:top w:val="nil"/>
              <w:left w:val="nil"/>
              <w:bottom w:val="single" w:sz="4" w:space="0" w:color="auto"/>
              <w:right w:val="single" w:sz="4" w:space="0" w:color="auto"/>
            </w:tcBorders>
            <w:shd w:val="clear" w:color="000000" w:fill="FFFFFF"/>
            <w:vAlign w:val="center"/>
            <w:hideMark/>
          </w:tcPr>
          <w:p w14:paraId="4DE3A3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10818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w:t>
            </w:r>
          </w:p>
        </w:tc>
        <w:tc>
          <w:tcPr>
            <w:tcW w:w="0" w:type="auto"/>
            <w:tcBorders>
              <w:top w:val="nil"/>
              <w:left w:val="nil"/>
              <w:bottom w:val="single" w:sz="4" w:space="0" w:color="auto"/>
              <w:right w:val="single" w:sz="4" w:space="0" w:color="auto"/>
            </w:tcBorders>
            <w:shd w:val="clear" w:color="000000" w:fill="FFFFFF"/>
            <w:vAlign w:val="center"/>
            <w:hideMark/>
          </w:tcPr>
          <w:p w14:paraId="1EA099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w:t>
            </w:r>
          </w:p>
        </w:tc>
        <w:tc>
          <w:tcPr>
            <w:tcW w:w="0" w:type="auto"/>
            <w:tcBorders>
              <w:top w:val="nil"/>
              <w:left w:val="nil"/>
              <w:bottom w:val="single" w:sz="4" w:space="0" w:color="auto"/>
              <w:right w:val="single" w:sz="4" w:space="0" w:color="auto"/>
            </w:tcBorders>
            <w:shd w:val="clear" w:color="000000" w:fill="FFFFFF"/>
            <w:vAlign w:val="center"/>
            <w:hideMark/>
          </w:tcPr>
          <w:p w14:paraId="123CFD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8DA9A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90,000</w:t>
            </w:r>
          </w:p>
        </w:tc>
        <w:tc>
          <w:tcPr>
            <w:tcW w:w="0" w:type="auto"/>
            <w:tcBorders>
              <w:top w:val="nil"/>
              <w:left w:val="nil"/>
              <w:bottom w:val="single" w:sz="4" w:space="0" w:color="auto"/>
              <w:right w:val="single" w:sz="4" w:space="0" w:color="auto"/>
            </w:tcBorders>
            <w:shd w:val="clear" w:color="000000" w:fill="FFFFFF"/>
            <w:vAlign w:val="center"/>
            <w:hideMark/>
          </w:tcPr>
          <w:p w14:paraId="055D3D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504C26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2A3D6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26A71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89147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883BB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0CA9F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w:t>
            </w:r>
          </w:p>
        </w:tc>
        <w:tc>
          <w:tcPr>
            <w:tcW w:w="0" w:type="auto"/>
            <w:tcBorders>
              <w:top w:val="nil"/>
              <w:left w:val="nil"/>
              <w:bottom w:val="single" w:sz="4" w:space="0" w:color="auto"/>
              <w:right w:val="single" w:sz="4" w:space="0" w:color="auto"/>
            </w:tcBorders>
            <w:shd w:val="clear" w:color="000000" w:fill="FFFFFF"/>
            <w:vAlign w:val="center"/>
            <w:hideMark/>
          </w:tcPr>
          <w:p w14:paraId="185863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1F99F6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w:t>
            </w:r>
          </w:p>
        </w:tc>
        <w:tc>
          <w:tcPr>
            <w:tcW w:w="0" w:type="auto"/>
            <w:tcBorders>
              <w:top w:val="nil"/>
              <w:left w:val="nil"/>
              <w:bottom w:val="single" w:sz="4" w:space="0" w:color="auto"/>
              <w:right w:val="single" w:sz="4" w:space="0" w:color="auto"/>
            </w:tcBorders>
            <w:shd w:val="clear" w:color="000000" w:fill="FFFFFF"/>
            <w:noWrap/>
            <w:vAlign w:val="center"/>
            <w:hideMark/>
          </w:tcPr>
          <w:p w14:paraId="30658D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w:t>
            </w:r>
          </w:p>
        </w:tc>
        <w:tc>
          <w:tcPr>
            <w:tcW w:w="0" w:type="auto"/>
            <w:tcBorders>
              <w:top w:val="nil"/>
              <w:left w:val="nil"/>
              <w:bottom w:val="single" w:sz="4" w:space="0" w:color="auto"/>
              <w:right w:val="single" w:sz="4" w:space="0" w:color="auto"/>
            </w:tcBorders>
            <w:shd w:val="clear" w:color="000000" w:fill="FFFFFF"/>
            <w:noWrap/>
            <w:vAlign w:val="center"/>
            <w:hideMark/>
          </w:tcPr>
          <w:p w14:paraId="42F572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D33D5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270,000</w:t>
            </w:r>
          </w:p>
        </w:tc>
        <w:tc>
          <w:tcPr>
            <w:tcW w:w="0" w:type="auto"/>
            <w:tcBorders>
              <w:top w:val="nil"/>
              <w:left w:val="nil"/>
              <w:bottom w:val="single" w:sz="4" w:space="0" w:color="auto"/>
              <w:right w:val="single" w:sz="4" w:space="0" w:color="auto"/>
            </w:tcBorders>
            <w:shd w:val="clear" w:color="000000" w:fill="FFFFFF"/>
            <w:noWrap/>
            <w:vAlign w:val="center"/>
            <w:hideMark/>
          </w:tcPr>
          <w:p w14:paraId="28A4C6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46DED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83BDE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BD865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7B26E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33680F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CFF1D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21A10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79414285"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6C3562C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571B70D7" w14:textId="0D420F41"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 xml:space="preserve">ja </w:t>
            </w:r>
            <w:r w:rsidRPr="002128A6">
              <w:rPr>
                <w:rFonts w:ascii="Garamond" w:eastAsia="Times New Roman" w:hAnsi="Garamond" w:cs="Times New Roman"/>
                <w:b/>
                <w:bCs/>
                <w:kern w:val="0"/>
                <w:sz w:val="4"/>
                <w:szCs w:val="8"/>
                <w14:ligatures w14:val="none"/>
              </w:rPr>
              <w:t>Objektivi specifik 2.8</w:t>
            </w:r>
          </w:p>
        </w:tc>
        <w:tc>
          <w:tcPr>
            <w:tcW w:w="0" w:type="auto"/>
            <w:tcBorders>
              <w:top w:val="nil"/>
              <w:left w:val="nil"/>
              <w:bottom w:val="single" w:sz="4" w:space="0" w:color="auto"/>
              <w:right w:val="single" w:sz="4" w:space="0" w:color="auto"/>
            </w:tcBorders>
            <w:shd w:val="clear" w:color="000000" w:fill="5B9BD5"/>
            <w:vAlign w:val="center"/>
            <w:hideMark/>
          </w:tcPr>
          <w:p w14:paraId="52C4CE6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32E5D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4B727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17C16F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08AAA8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2BC9C8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15,431,487</w:t>
            </w:r>
          </w:p>
        </w:tc>
        <w:tc>
          <w:tcPr>
            <w:tcW w:w="0" w:type="auto"/>
            <w:tcBorders>
              <w:top w:val="nil"/>
              <w:left w:val="nil"/>
              <w:bottom w:val="single" w:sz="4" w:space="0" w:color="auto"/>
              <w:right w:val="single" w:sz="4" w:space="0" w:color="auto"/>
            </w:tcBorders>
            <w:shd w:val="clear" w:color="000000" w:fill="5B9BD5"/>
            <w:vAlign w:val="center"/>
            <w:hideMark/>
          </w:tcPr>
          <w:p w14:paraId="08CD3E0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4D121A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15,431,487</w:t>
            </w:r>
          </w:p>
        </w:tc>
        <w:tc>
          <w:tcPr>
            <w:tcW w:w="0" w:type="auto"/>
            <w:tcBorders>
              <w:top w:val="nil"/>
              <w:left w:val="nil"/>
              <w:bottom w:val="single" w:sz="4" w:space="0" w:color="auto"/>
              <w:right w:val="single" w:sz="4" w:space="0" w:color="auto"/>
            </w:tcBorders>
            <w:shd w:val="clear" w:color="000000" w:fill="5B9BD5"/>
            <w:vAlign w:val="center"/>
            <w:hideMark/>
          </w:tcPr>
          <w:p w14:paraId="26046E4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15,431,487</w:t>
            </w:r>
          </w:p>
        </w:tc>
        <w:tc>
          <w:tcPr>
            <w:tcW w:w="0" w:type="auto"/>
            <w:tcBorders>
              <w:top w:val="nil"/>
              <w:left w:val="nil"/>
              <w:bottom w:val="single" w:sz="4" w:space="0" w:color="auto"/>
              <w:right w:val="single" w:sz="4" w:space="0" w:color="auto"/>
            </w:tcBorders>
            <w:shd w:val="clear" w:color="000000" w:fill="5B9BD5"/>
            <w:vAlign w:val="center"/>
            <w:hideMark/>
          </w:tcPr>
          <w:p w14:paraId="130765E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DDDD73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15,431,487</w:t>
            </w:r>
          </w:p>
        </w:tc>
        <w:tc>
          <w:tcPr>
            <w:tcW w:w="0" w:type="auto"/>
            <w:tcBorders>
              <w:top w:val="nil"/>
              <w:left w:val="nil"/>
              <w:bottom w:val="single" w:sz="4" w:space="0" w:color="auto"/>
              <w:right w:val="single" w:sz="4" w:space="0" w:color="auto"/>
            </w:tcBorders>
            <w:shd w:val="clear" w:color="000000" w:fill="5B9BD5"/>
            <w:vAlign w:val="center"/>
            <w:hideMark/>
          </w:tcPr>
          <w:p w14:paraId="62953F1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15,431,487</w:t>
            </w:r>
          </w:p>
        </w:tc>
        <w:tc>
          <w:tcPr>
            <w:tcW w:w="0" w:type="auto"/>
            <w:tcBorders>
              <w:top w:val="nil"/>
              <w:left w:val="nil"/>
              <w:bottom w:val="single" w:sz="4" w:space="0" w:color="auto"/>
              <w:right w:val="single" w:sz="4" w:space="0" w:color="auto"/>
            </w:tcBorders>
            <w:shd w:val="clear" w:color="000000" w:fill="5B9BD5"/>
            <w:vAlign w:val="center"/>
            <w:hideMark/>
          </w:tcPr>
          <w:p w14:paraId="12A1B8A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135EF6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15,431,487</w:t>
            </w:r>
          </w:p>
        </w:tc>
        <w:tc>
          <w:tcPr>
            <w:tcW w:w="0" w:type="auto"/>
            <w:tcBorders>
              <w:top w:val="nil"/>
              <w:left w:val="nil"/>
              <w:bottom w:val="single" w:sz="4" w:space="0" w:color="auto"/>
              <w:right w:val="single" w:sz="4" w:space="0" w:color="auto"/>
            </w:tcBorders>
            <w:shd w:val="clear" w:color="000000" w:fill="5B9BD5"/>
            <w:vAlign w:val="center"/>
            <w:hideMark/>
          </w:tcPr>
          <w:p w14:paraId="6D2F261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15,341,487</w:t>
            </w:r>
          </w:p>
        </w:tc>
        <w:tc>
          <w:tcPr>
            <w:tcW w:w="0" w:type="auto"/>
            <w:tcBorders>
              <w:top w:val="nil"/>
              <w:left w:val="nil"/>
              <w:bottom w:val="single" w:sz="4" w:space="0" w:color="auto"/>
              <w:right w:val="single" w:sz="4" w:space="0" w:color="auto"/>
            </w:tcBorders>
            <w:shd w:val="clear" w:color="000000" w:fill="5B9BD5"/>
            <w:vAlign w:val="center"/>
            <w:hideMark/>
          </w:tcPr>
          <w:p w14:paraId="44D596C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51070AE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15,341,487</w:t>
            </w:r>
          </w:p>
        </w:tc>
        <w:tc>
          <w:tcPr>
            <w:tcW w:w="0" w:type="auto"/>
            <w:tcBorders>
              <w:top w:val="nil"/>
              <w:left w:val="nil"/>
              <w:bottom w:val="single" w:sz="4" w:space="0" w:color="auto"/>
              <w:right w:val="single" w:sz="4" w:space="0" w:color="auto"/>
            </w:tcBorders>
            <w:shd w:val="clear" w:color="000000" w:fill="5B9BD5"/>
            <w:vAlign w:val="center"/>
            <w:hideMark/>
          </w:tcPr>
          <w:p w14:paraId="163AA80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15,341,487</w:t>
            </w:r>
          </w:p>
        </w:tc>
        <w:tc>
          <w:tcPr>
            <w:tcW w:w="0" w:type="auto"/>
            <w:tcBorders>
              <w:top w:val="nil"/>
              <w:left w:val="nil"/>
              <w:bottom w:val="single" w:sz="4" w:space="0" w:color="auto"/>
              <w:right w:val="single" w:sz="4" w:space="0" w:color="auto"/>
            </w:tcBorders>
            <w:shd w:val="clear" w:color="000000" w:fill="5B9BD5"/>
            <w:vAlign w:val="center"/>
            <w:hideMark/>
          </w:tcPr>
          <w:p w14:paraId="634DA3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4887E9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15,341,487</w:t>
            </w:r>
          </w:p>
        </w:tc>
        <w:tc>
          <w:tcPr>
            <w:tcW w:w="0" w:type="auto"/>
            <w:tcBorders>
              <w:top w:val="nil"/>
              <w:left w:val="nil"/>
              <w:bottom w:val="single" w:sz="4" w:space="0" w:color="auto"/>
              <w:right w:val="single" w:sz="4" w:space="0" w:color="auto"/>
            </w:tcBorders>
            <w:shd w:val="clear" w:color="000000" w:fill="5B9BD5"/>
            <w:vAlign w:val="center"/>
            <w:hideMark/>
          </w:tcPr>
          <w:p w14:paraId="736C3D7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76,977,435</w:t>
            </w:r>
          </w:p>
        </w:tc>
        <w:tc>
          <w:tcPr>
            <w:tcW w:w="0" w:type="auto"/>
            <w:tcBorders>
              <w:top w:val="nil"/>
              <w:left w:val="nil"/>
              <w:bottom w:val="single" w:sz="4" w:space="0" w:color="auto"/>
              <w:right w:val="single" w:sz="4" w:space="0" w:color="auto"/>
            </w:tcBorders>
            <w:shd w:val="clear" w:color="000000" w:fill="5B9BD5"/>
            <w:vAlign w:val="center"/>
            <w:hideMark/>
          </w:tcPr>
          <w:p w14:paraId="1A7DFDC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E7E951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76,977,435</w:t>
            </w:r>
          </w:p>
        </w:tc>
        <w:tc>
          <w:tcPr>
            <w:tcW w:w="0" w:type="auto"/>
            <w:tcBorders>
              <w:top w:val="nil"/>
              <w:left w:val="nil"/>
              <w:bottom w:val="single" w:sz="4" w:space="0" w:color="auto"/>
              <w:right w:val="single" w:sz="4" w:space="0" w:color="auto"/>
            </w:tcBorders>
            <w:shd w:val="clear" w:color="000000" w:fill="5B9BD5"/>
            <w:vAlign w:val="center"/>
            <w:hideMark/>
          </w:tcPr>
          <w:p w14:paraId="092A514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46,294,461</w:t>
            </w:r>
          </w:p>
        </w:tc>
        <w:tc>
          <w:tcPr>
            <w:tcW w:w="0" w:type="auto"/>
            <w:tcBorders>
              <w:top w:val="nil"/>
              <w:left w:val="nil"/>
              <w:bottom w:val="single" w:sz="4" w:space="0" w:color="auto"/>
              <w:right w:val="single" w:sz="4" w:space="0" w:color="auto"/>
            </w:tcBorders>
            <w:shd w:val="clear" w:color="000000" w:fill="5B9BD5"/>
            <w:vAlign w:val="center"/>
            <w:hideMark/>
          </w:tcPr>
          <w:p w14:paraId="377BB93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07DA9A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46,294,461</w:t>
            </w:r>
          </w:p>
        </w:tc>
        <w:tc>
          <w:tcPr>
            <w:tcW w:w="0" w:type="auto"/>
            <w:tcBorders>
              <w:top w:val="nil"/>
              <w:left w:val="nil"/>
              <w:bottom w:val="single" w:sz="4" w:space="0" w:color="auto"/>
              <w:right w:val="single" w:sz="4" w:space="0" w:color="auto"/>
            </w:tcBorders>
            <w:shd w:val="clear" w:color="000000" w:fill="5B9BD5"/>
            <w:vAlign w:val="center"/>
            <w:hideMark/>
          </w:tcPr>
          <w:p w14:paraId="0FE265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30,682,974</w:t>
            </w:r>
          </w:p>
        </w:tc>
        <w:tc>
          <w:tcPr>
            <w:tcW w:w="0" w:type="auto"/>
            <w:tcBorders>
              <w:top w:val="nil"/>
              <w:left w:val="nil"/>
              <w:bottom w:val="single" w:sz="4" w:space="0" w:color="auto"/>
              <w:right w:val="single" w:sz="4" w:space="0" w:color="auto"/>
            </w:tcBorders>
            <w:shd w:val="clear" w:color="000000" w:fill="5B9BD5"/>
            <w:vAlign w:val="center"/>
            <w:hideMark/>
          </w:tcPr>
          <w:p w14:paraId="7B65664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C11F6E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30,682,974</w:t>
            </w:r>
          </w:p>
        </w:tc>
        <w:tc>
          <w:tcPr>
            <w:tcW w:w="0" w:type="auto"/>
            <w:tcBorders>
              <w:top w:val="nil"/>
              <w:left w:val="nil"/>
              <w:bottom w:val="single" w:sz="4" w:space="0" w:color="auto"/>
              <w:right w:val="single" w:sz="4" w:space="0" w:color="auto"/>
            </w:tcBorders>
            <w:shd w:val="clear" w:color="000000" w:fill="5B9BD5"/>
            <w:vAlign w:val="center"/>
            <w:hideMark/>
          </w:tcPr>
          <w:p w14:paraId="583ADE6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572FC7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74B71E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745CEE7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C349B9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44C0B8C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7A00210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2.9</w:t>
            </w:r>
          </w:p>
        </w:tc>
        <w:tc>
          <w:tcPr>
            <w:tcW w:w="0" w:type="auto"/>
            <w:tcBorders>
              <w:top w:val="nil"/>
              <w:left w:val="nil"/>
              <w:bottom w:val="single" w:sz="4" w:space="0" w:color="auto"/>
              <w:right w:val="nil"/>
            </w:tcBorders>
            <w:shd w:val="clear" w:color="000000" w:fill="FCE4D6"/>
            <w:vAlign w:val="center"/>
            <w:hideMark/>
          </w:tcPr>
          <w:p w14:paraId="71FFCE06"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 Objektivi Specifik: Rritja efektivitetit të ndjekjes ndërkombëtare të personave të kërkuar, e demonstruar përmes normave më të larta të arrestimit dhe ekzekutimit në kohë të procedurave të ekstradimit</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D8FBD47"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E5D4B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C31A6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7CB85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25D55B3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5199E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2D629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D13FD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2F420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A97A8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73973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20C28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78635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2B152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7B471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074E00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EC424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5BACF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AC397A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C9D14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1309B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0D7DF3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49A7BA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5874EB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2E3F5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E5BCC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2D11E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B8FBB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41941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7F636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B86E4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105813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B3BF46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161BD4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18D3B074"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84C4BC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2.9.1</w:t>
            </w:r>
          </w:p>
        </w:tc>
        <w:tc>
          <w:tcPr>
            <w:tcW w:w="0" w:type="auto"/>
            <w:tcBorders>
              <w:top w:val="nil"/>
              <w:left w:val="nil"/>
              <w:bottom w:val="single" w:sz="4" w:space="0" w:color="auto"/>
              <w:right w:val="single" w:sz="4" w:space="0" w:color="auto"/>
            </w:tcBorders>
            <w:shd w:val="clear" w:color="000000" w:fill="FFFFFF"/>
            <w:vAlign w:val="center"/>
            <w:hideMark/>
          </w:tcPr>
          <w:p w14:paraId="72044D4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përpjekjeve kombëtare dhe ndërkombëtare për lokalizimin, kapjen dhe vënien përpara drejtësisë të personave në kërkim kombëtar dhe ndërkombëtar, përfshirë përmes shënjestrimit të udhëhequr nga inteligjenca, veprimeve operacionale të koordinuara dhe ekzekutimit në kohë të vendimeve gjyqësore dhe kërkesave ndërkombëtare (përfshirë procedurat e arrestimit dhe ekstradimit/dorëzimit), me qëllim rritjen e normave të arrestimit dhe reduktimin e pandëshkueshmërisë.</w:t>
            </w:r>
          </w:p>
        </w:tc>
        <w:tc>
          <w:tcPr>
            <w:tcW w:w="0" w:type="auto"/>
            <w:tcBorders>
              <w:top w:val="nil"/>
              <w:left w:val="nil"/>
              <w:bottom w:val="single" w:sz="4" w:space="0" w:color="auto"/>
              <w:right w:val="single" w:sz="4" w:space="0" w:color="auto"/>
            </w:tcBorders>
            <w:shd w:val="clear" w:color="000000" w:fill="FFFFFF"/>
            <w:vAlign w:val="center"/>
            <w:hideMark/>
          </w:tcPr>
          <w:p w14:paraId="2A15DF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000000" w:fill="FFFFFF"/>
            <w:vAlign w:val="center"/>
            <w:hideMark/>
          </w:tcPr>
          <w:p w14:paraId="2430215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657BCC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Drejtësisë</w:t>
            </w:r>
          </w:p>
        </w:tc>
        <w:tc>
          <w:tcPr>
            <w:tcW w:w="0" w:type="auto"/>
            <w:tcBorders>
              <w:top w:val="nil"/>
              <w:left w:val="nil"/>
              <w:bottom w:val="single" w:sz="4" w:space="0" w:color="auto"/>
              <w:right w:val="single" w:sz="4" w:space="0" w:color="auto"/>
            </w:tcBorders>
            <w:shd w:val="clear" w:color="000000" w:fill="FFFFFF"/>
            <w:vAlign w:val="center"/>
            <w:hideMark/>
          </w:tcPr>
          <w:p w14:paraId="597008D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A0FFAE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219E8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33,134,920</w:t>
            </w:r>
          </w:p>
        </w:tc>
        <w:tc>
          <w:tcPr>
            <w:tcW w:w="0" w:type="auto"/>
            <w:tcBorders>
              <w:top w:val="nil"/>
              <w:left w:val="nil"/>
              <w:bottom w:val="single" w:sz="4" w:space="0" w:color="auto"/>
              <w:right w:val="single" w:sz="4" w:space="0" w:color="auto"/>
            </w:tcBorders>
            <w:shd w:val="clear" w:color="000000" w:fill="FFFFFF"/>
            <w:vAlign w:val="center"/>
            <w:hideMark/>
          </w:tcPr>
          <w:p w14:paraId="0708D6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183FF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33,134,920</w:t>
            </w:r>
          </w:p>
        </w:tc>
        <w:tc>
          <w:tcPr>
            <w:tcW w:w="0" w:type="auto"/>
            <w:tcBorders>
              <w:top w:val="nil"/>
              <w:left w:val="nil"/>
              <w:bottom w:val="single" w:sz="4" w:space="0" w:color="auto"/>
              <w:right w:val="single" w:sz="4" w:space="0" w:color="auto"/>
            </w:tcBorders>
            <w:shd w:val="clear" w:color="000000" w:fill="FFFFFF"/>
            <w:vAlign w:val="center"/>
            <w:hideMark/>
          </w:tcPr>
          <w:p w14:paraId="325AAB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33,134,920</w:t>
            </w:r>
          </w:p>
        </w:tc>
        <w:tc>
          <w:tcPr>
            <w:tcW w:w="0" w:type="auto"/>
            <w:tcBorders>
              <w:top w:val="nil"/>
              <w:left w:val="nil"/>
              <w:bottom w:val="single" w:sz="4" w:space="0" w:color="auto"/>
              <w:right w:val="single" w:sz="4" w:space="0" w:color="auto"/>
            </w:tcBorders>
            <w:shd w:val="clear" w:color="000000" w:fill="FFFFFF"/>
            <w:vAlign w:val="center"/>
            <w:hideMark/>
          </w:tcPr>
          <w:p w14:paraId="5B6177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3ED2E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33,134,920</w:t>
            </w:r>
          </w:p>
        </w:tc>
        <w:tc>
          <w:tcPr>
            <w:tcW w:w="0" w:type="auto"/>
            <w:tcBorders>
              <w:top w:val="nil"/>
              <w:left w:val="nil"/>
              <w:bottom w:val="single" w:sz="4" w:space="0" w:color="auto"/>
              <w:right w:val="single" w:sz="4" w:space="0" w:color="auto"/>
            </w:tcBorders>
            <w:shd w:val="clear" w:color="000000" w:fill="FFFFFF"/>
            <w:vAlign w:val="center"/>
            <w:hideMark/>
          </w:tcPr>
          <w:p w14:paraId="162D24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33,134,920</w:t>
            </w:r>
          </w:p>
        </w:tc>
        <w:tc>
          <w:tcPr>
            <w:tcW w:w="0" w:type="auto"/>
            <w:tcBorders>
              <w:top w:val="nil"/>
              <w:left w:val="nil"/>
              <w:bottom w:val="single" w:sz="4" w:space="0" w:color="auto"/>
              <w:right w:val="single" w:sz="4" w:space="0" w:color="auto"/>
            </w:tcBorders>
            <w:shd w:val="clear" w:color="000000" w:fill="FFFFFF"/>
            <w:vAlign w:val="center"/>
            <w:hideMark/>
          </w:tcPr>
          <w:p w14:paraId="5CD4D0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6272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33,134,920</w:t>
            </w:r>
          </w:p>
        </w:tc>
        <w:tc>
          <w:tcPr>
            <w:tcW w:w="0" w:type="auto"/>
            <w:tcBorders>
              <w:top w:val="nil"/>
              <w:left w:val="nil"/>
              <w:bottom w:val="single" w:sz="4" w:space="0" w:color="auto"/>
              <w:right w:val="single" w:sz="4" w:space="0" w:color="auto"/>
            </w:tcBorders>
            <w:shd w:val="clear" w:color="000000" w:fill="FFFFFF"/>
            <w:vAlign w:val="center"/>
            <w:hideMark/>
          </w:tcPr>
          <w:p w14:paraId="3ABD0A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13C2A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C3B30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ADA3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15EBFF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AF7AF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04D41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99,404,760</w:t>
            </w:r>
          </w:p>
        </w:tc>
        <w:tc>
          <w:tcPr>
            <w:tcW w:w="0" w:type="auto"/>
            <w:tcBorders>
              <w:top w:val="nil"/>
              <w:left w:val="nil"/>
              <w:bottom w:val="single" w:sz="4" w:space="0" w:color="auto"/>
              <w:right w:val="single" w:sz="4" w:space="0" w:color="auto"/>
            </w:tcBorders>
            <w:shd w:val="clear" w:color="000000" w:fill="FFFFFF"/>
            <w:vAlign w:val="center"/>
            <w:hideMark/>
          </w:tcPr>
          <w:p w14:paraId="3349E5F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087D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99,404,760</w:t>
            </w:r>
          </w:p>
        </w:tc>
        <w:tc>
          <w:tcPr>
            <w:tcW w:w="0" w:type="auto"/>
            <w:tcBorders>
              <w:top w:val="nil"/>
              <w:left w:val="nil"/>
              <w:bottom w:val="single" w:sz="4" w:space="0" w:color="auto"/>
              <w:right w:val="single" w:sz="4" w:space="0" w:color="auto"/>
            </w:tcBorders>
            <w:shd w:val="clear" w:color="000000" w:fill="FFFFFF"/>
            <w:noWrap/>
            <w:vAlign w:val="center"/>
            <w:hideMark/>
          </w:tcPr>
          <w:p w14:paraId="21C209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99,404,760</w:t>
            </w:r>
          </w:p>
        </w:tc>
        <w:tc>
          <w:tcPr>
            <w:tcW w:w="0" w:type="auto"/>
            <w:tcBorders>
              <w:top w:val="nil"/>
              <w:left w:val="nil"/>
              <w:bottom w:val="single" w:sz="4" w:space="0" w:color="auto"/>
              <w:right w:val="single" w:sz="4" w:space="0" w:color="auto"/>
            </w:tcBorders>
            <w:shd w:val="clear" w:color="000000" w:fill="FFFFFF"/>
            <w:noWrap/>
            <w:vAlign w:val="center"/>
            <w:hideMark/>
          </w:tcPr>
          <w:p w14:paraId="2BEBF5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3D40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99,404,760</w:t>
            </w:r>
          </w:p>
        </w:tc>
        <w:tc>
          <w:tcPr>
            <w:tcW w:w="0" w:type="auto"/>
            <w:tcBorders>
              <w:top w:val="nil"/>
              <w:left w:val="nil"/>
              <w:bottom w:val="single" w:sz="4" w:space="0" w:color="auto"/>
              <w:right w:val="single" w:sz="4" w:space="0" w:color="auto"/>
            </w:tcBorders>
            <w:shd w:val="clear" w:color="000000" w:fill="FFFFFF"/>
            <w:noWrap/>
            <w:vAlign w:val="center"/>
            <w:hideMark/>
          </w:tcPr>
          <w:p w14:paraId="46E20C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F377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43F9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DB8239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C39A30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A304193"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8506B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044C2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4BC56A93"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50A3C6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2.9.2</w:t>
            </w:r>
          </w:p>
        </w:tc>
        <w:tc>
          <w:tcPr>
            <w:tcW w:w="0" w:type="auto"/>
            <w:tcBorders>
              <w:top w:val="nil"/>
              <w:left w:val="nil"/>
              <w:bottom w:val="single" w:sz="4" w:space="0" w:color="auto"/>
              <w:right w:val="single" w:sz="4" w:space="0" w:color="auto"/>
            </w:tcBorders>
            <w:shd w:val="clear" w:color="000000" w:fill="FFFFFF"/>
            <w:vAlign w:val="center"/>
            <w:hideMark/>
          </w:tcPr>
          <w:p w14:paraId="74BC7B4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shkëmbimit të të dhënave me Shtetet Anëtare të ENFAST, EUROPOL dhe INTERPOL, përfshirë përmes kanaleve të sigurta të komunikimit, procedurave të standardizuara të kërkesave dhe përgjigjeve, ndarjes në kohë të sinjalizimeve dhe pistave hetimore dhe ndjekjes sistematike të informacionit të marrë, me qëllim përshpejtimin e identifikimit, lokalizimit dhe arrestimit të personave të kërkuar.</w:t>
            </w:r>
          </w:p>
        </w:tc>
        <w:tc>
          <w:tcPr>
            <w:tcW w:w="0" w:type="auto"/>
            <w:tcBorders>
              <w:top w:val="nil"/>
              <w:left w:val="nil"/>
              <w:bottom w:val="single" w:sz="4" w:space="0" w:color="auto"/>
              <w:right w:val="single" w:sz="4" w:space="0" w:color="auto"/>
            </w:tcBorders>
            <w:shd w:val="clear" w:color="000000" w:fill="FFFFFF"/>
            <w:vAlign w:val="center"/>
            <w:hideMark/>
          </w:tcPr>
          <w:p w14:paraId="7DD36681" w14:textId="20A50B8F" w:rsidR="00DB1B67" w:rsidRPr="002128A6" w:rsidRDefault="00F54824"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w:t>
            </w:r>
            <w:r w:rsidR="00DB1B67" w:rsidRPr="002128A6">
              <w:rPr>
                <w:rFonts w:ascii="Garamond" w:eastAsia="Times New Roman" w:hAnsi="Garamond" w:cs="Times New Roman"/>
                <w:kern w:val="0"/>
                <w:sz w:val="4"/>
                <w:szCs w:val="8"/>
                <w14:ligatures w14:val="none"/>
              </w:rPr>
              <w:t>91604AB</w:t>
            </w:r>
          </w:p>
        </w:tc>
        <w:tc>
          <w:tcPr>
            <w:tcW w:w="0" w:type="auto"/>
            <w:tcBorders>
              <w:top w:val="nil"/>
              <w:left w:val="nil"/>
              <w:bottom w:val="single" w:sz="4" w:space="0" w:color="auto"/>
              <w:right w:val="single" w:sz="4" w:space="0" w:color="auto"/>
            </w:tcBorders>
            <w:shd w:val="clear" w:color="000000" w:fill="FFFFFF"/>
            <w:vAlign w:val="center"/>
            <w:hideMark/>
          </w:tcPr>
          <w:p w14:paraId="321056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37DDEA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br/>
              <w:t>EUROPOL;INTERPOL</w:t>
            </w:r>
          </w:p>
        </w:tc>
        <w:tc>
          <w:tcPr>
            <w:tcW w:w="0" w:type="auto"/>
            <w:tcBorders>
              <w:top w:val="nil"/>
              <w:left w:val="nil"/>
              <w:bottom w:val="single" w:sz="4" w:space="0" w:color="auto"/>
              <w:right w:val="single" w:sz="4" w:space="0" w:color="auto"/>
            </w:tcBorders>
            <w:shd w:val="clear" w:color="000000" w:fill="FFFFFF"/>
            <w:vAlign w:val="center"/>
            <w:hideMark/>
          </w:tcPr>
          <w:p w14:paraId="576BEC0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24A7B9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E735E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0AF422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2DAAE7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2A6485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6D64E0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1F9B3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7373D7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3E1978A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2367A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2EFEE1C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032912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9B66AB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462A03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54D3FA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33E97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734DE6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163,246,200</w:t>
            </w:r>
          </w:p>
        </w:tc>
        <w:tc>
          <w:tcPr>
            <w:tcW w:w="0" w:type="auto"/>
            <w:tcBorders>
              <w:top w:val="nil"/>
              <w:left w:val="nil"/>
              <w:bottom w:val="single" w:sz="4" w:space="0" w:color="auto"/>
              <w:right w:val="single" w:sz="4" w:space="0" w:color="auto"/>
            </w:tcBorders>
            <w:shd w:val="clear" w:color="000000" w:fill="FFFFFF"/>
            <w:vAlign w:val="center"/>
            <w:hideMark/>
          </w:tcPr>
          <w:p w14:paraId="0E8F77E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0F727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163,246,200</w:t>
            </w:r>
          </w:p>
        </w:tc>
        <w:tc>
          <w:tcPr>
            <w:tcW w:w="0" w:type="auto"/>
            <w:tcBorders>
              <w:top w:val="nil"/>
              <w:left w:val="nil"/>
              <w:bottom w:val="single" w:sz="4" w:space="0" w:color="auto"/>
              <w:right w:val="single" w:sz="4" w:space="0" w:color="auto"/>
            </w:tcBorders>
            <w:shd w:val="clear" w:color="000000" w:fill="FFFFFF"/>
            <w:noWrap/>
            <w:vAlign w:val="center"/>
            <w:hideMark/>
          </w:tcPr>
          <w:p w14:paraId="14BA7E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97,947,720</w:t>
            </w:r>
          </w:p>
        </w:tc>
        <w:tc>
          <w:tcPr>
            <w:tcW w:w="0" w:type="auto"/>
            <w:tcBorders>
              <w:top w:val="nil"/>
              <w:left w:val="nil"/>
              <w:bottom w:val="single" w:sz="4" w:space="0" w:color="auto"/>
              <w:right w:val="single" w:sz="4" w:space="0" w:color="auto"/>
            </w:tcBorders>
            <w:shd w:val="clear" w:color="000000" w:fill="FFFFFF"/>
            <w:noWrap/>
            <w:vAlign w:val="center"/>
            <w:hideMark/>
          </w:tcPr>
          <w:p w14:paraId="51876C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34BD10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97,947,720</w:t>
            </w:r>
          </w:p>
        </w:tc>
        <w:tc>
          <w:tcPr>
            <w:tcW w:w="0" w:type="auto"/>
            <w:tcBorders>
              <w:top w:val="nil"/>
              <w:left w:val="nil"/>
              <w:bottom w:val="single" w:sz="4" w:space="0" w:color="auto"/>
              <w:right w:val="single" w:sz="4" w:space="0" w:color="auto"/>
            </w:tcBorders>
            <w:shd w:val="clear" w:color="000000" w:fill="FFFFFF"/>
            <w:noWrap/>
            <w:vAlign w:val="center"/>
            <w:hideMark/>
          </w:tcPr>
          <w:p w14:paraId="1E9FE0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65,298,480</w:t>
            </w:r>
          </w:p>
        </w:tc>
        <w:tc>
          <w:tcPr>
            <w:tcW w:w="0" w:type="auto"/>
            <w:tcBorders>
              <w:top w:val="nil"/>
              <w:left w:val="nil"/>
              <w:bottom w:val="single" w:sz="4" w:space="0" w:color="auto"/>
              <w:right w:val="single" w:sz="4" w:space="0" w:color="auto"/>
            </w:tcBorders>
            <w:shd w:val="clear" w:color="000000" w:fill="FFFFFF"/>
            <w:noWrap/>
            <w:vAlign w:val="center"/>
            <w:hideMark/>
          </w:tcPr>
          <w:p w14:paraId="7669D8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599FE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65,298,480</w:t>
            </w:r>
          </w:p>
        </w:tc>
        <w:tc>
          <w:tcPr>
            <w:tcW w:w="0" w:type="auto"/>
            <w:tcBorders>
              <w:top w:val="nil"/>
              <w:left w:val="nil"/>
              <w:bottom w:val="single" w:sz="4" w:space="0" w:color="auto"/>
              <w:right w:val="single" w:sz="4" w:space="0" w:color="auto"/>
            </w:tcBorders>
            <w:shd w:val="clear" w:color="000000" w:fill="FFFFFF"/>
            <w:vAlign w:val="center"/>
            <w:hideMark/>
          </w:tcPr>
          <w:p w14:paraId="0FC604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A98B78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C5C4E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120C7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518739E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5C3ED8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75592AF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2.9.3</w:t>
            </w:r>
          </w:p>
        </w:tc>
        <w:tc>
          <w:tcPr>
            <w:tcW w:w="0" w:type="auto"/>
            <w:tcBorders>
              <w:top w:val="nil"/>
              <w:left w:val="nil"/>
              <w:bottom w:val="single" w:sz="4" w:space="0" w:color="auto"/>
              <w:right w:val="single" w:sz="4" w:space="0" w:color="auto"/>
            </w:tcBorders>
            <w:shd w:val="clear" w:color="000000" w:fill="FFFFFF"/>
            <w:vAlign w:val="center"/>
            <w:hideMark/>
          </w:tcPr>
          <w:p w14:paraId="78D322D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numrit të shtetasve shqiptarë në kërkim ndërkombëtar që lokalizohen dhe arrestohen, përfshirë përmes koordinimit të zgjeruar ndërkombëtar, ndjekjes proaktive të çështjeve me autoritetet partnere, verifikimit dhe përditësimit të të dhënave të personave të kërkuar dhe mbështetjes së procedurave të ekstradimit, me qëllim sigurimin e zbatimit në kohë të urdhrave ndërkombëtarë të arrestit dhe vendimeve gjyqësore.</w:t>
            </w:r>
          </w:p>
        </w:tc>
        <w:tc>
          <w:tcPr>
            <w:tcW w:w="0" w:type="auto"/>
            <w:tcBorders>
              <w:top w:val="nil"/>
              <w:left w:val="nil"/>
              <w:bottom w:val="single" w:sz="4" w:space="0" w:color="auto"/>
              <w:right w:val="single" w:sz="4" w:space="0" w:color="auto"/>
            </w:tcBorders>
            <w:shd w:val="clear" w:color="000000" w:fill="FFFFFF"/>
            <w:vAlign w:val="center"/>
            <w:hideMark/>
          </w:tcPr>
          <w:p w14:paraId="56EBB651" w14:textId="37EF9DD4" w:rsidR="00DB1B67" w:rsidRPr="002128A6" w:rsidRDefault="00F54824"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w:t>
            </w:r>
            <w:r w:rsidR="00DB1B67" w:rsidRPr="002128A6">
              <w:rPr>
                <w:rFonts w:ascii="Garamond" w:eastAsia="Times New Roman" w:hAnsi="Garamond" w:cs="Times New Roman"/>
                <w:kern w:val="0"/>
                <w:sz w:val="4"/>
                <w:szCs w:val="8"/>
                <w14:ligatures w14:val="none"/>
              </w:rPr>
              <w:t>91604AB</w:t>
            </w:r>
          </w:p>
        </w:tc>
        <w:tc>
          <w:tcPr>
            <w:tcW w:w="0" w:type="auto"/>
            <w:tcBorders>
              <w:top w:val="nil"/>
              <w:left w:val="nil"/>
              <w:bottom w:val="single" w:sz="4" w:space="0" w:color="auto"/>
              <w:right w:val="single" w:sz="4" w:space="0" w:color="auto"/>
            </w:tcBorders>
            <w:shd w:val="clear" w:color="000000" w:fill="FFFFFF"/>
            <w:vAlign w:val="center"/>
            <w:hideMark/>
          </w:tcPr>
          <w:p w14:paraId="2BBE2E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39FD30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EUROPOL;INTERPOL</w:t>
            </w:r>
          </w:p>
        </w:tc>
        <w:tc>
          <w:tcPr>
            <w:tcW w:w="0" w:type="auto"/>
            <w:tcBorders>
              <w:top w:val="nil"/>
              <w:left w:val="nil"/>
              <w:bottom w:val="single" w:sz="4" w:space="0" w:color="auto"/>
              <w:right w:val="single" w:sz="4" w:space="0" w:color="auto"/>
            </w:tcBorders>
            <w:shd w:val="clear" w:color="000000" w:fill="FFFFFF"/>
            <w:vAlign w:val="center"/>
            <w:hideMark/>
          </w:tcPr>
          <w:p w14:paraId="414565B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E5BD70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4454EE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0942FF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A4C18C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04609E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09B17F3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6B4C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2469A3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03A99C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DA66B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01A221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43F430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9FBB2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1801FE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1F9E65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AB911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32,163,561</w:t>
            </w:r>
          </w:p>
        </w:tc>
        <w:tc>
          <w:tcPr>
            <w:tcW w:w="0" w:type="auto"/>
            <w:tcBorders>
              <w:top w:val="nil"/>
              <w:left w:val="nil"/>
              <w:bottom w:val="single" w:sz="4" w:space="0" w:color="auto"/>
              <w:right w:val="single" w:sz="4" w:space="0" w:color="auto"/>
            </w:tcBorders>
            <w:shd w:val="clear" w:color="000000" w:fill="FFFFFF"/>
            <w:vAlign w:val="center"/>
            <w:hideMark/>
          </w:tcPr>
          <w:p w14:paraId="48CF5B3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160,817,805</w:t>
            </w:r>
          </w:p>
        </w:tc>
        <w:tc>
          <w:tcPr>
            <w:tcW w:w="0" w:type="auto"/>
            <w:tcBorders>
              <w:top w:val="nil"/>
              <w:left w:val="nil"/>
              <w:bottom w:val="single" w:sz="4" w:space="0" w:color="auto"/>
              <w:right w:val="single" w:sz="4" w:space="0" w:color="auto"/>
            </w:tcBorders>
            <w:shd w:val="clear" w:color="000000" w:fill="FFFFFF"/>
            <w:vAlign w:val="center"/>
            <w:hideMark/>
          </w:tcPr>
          <w:p w14:paraId="55EC0C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B9ECB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160,817,805</w:t>
            </w:r>
          </w:p>
        </w:tc>
        <w:tc>
          <w:tcPr>
            <w:tcW w:w="0" w:type="auto"/>
            <w:tcBorders>
              <w:top w:val="nil"/>
              <w:left w:val="nil"/>
              <w:bottom w:val="single" w:sz="4" w:space="0" w:color="auto"/>
              <w:right w:val="single" w:sz="4" w:space="0" w:color="auto"/>
            </w:tcBorders>
            <w:shd w:val="clear" w:color="000000" w:fill="FFFFFF"/>
            <w:noWrap/>
            <w:vAlign w:val="center"/>
            <w:hideMark/>
          </w:tcPr>
          <w:p w14:paraId="76039E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96,490,683</w:t>
            </w:r>
          </w:p>
        </w:tc>
        <w:tc>
          <w:tcPr>
            <w:tcW w:w="0" w:type="auto"/>
            <w:tcBorders>
              <w:top w:val="nil"/>
              <w:left w:val="nil"/>
              <w:bottom w:val="single" w:sz="4" w:space="0" w:color="auto"/>
              <w:right w:val="single" w:sz="4" w:space="0" w:color="auto"/>
            </w:tcBorders>
            <w:shd w:val="clear" w:color="000000" w:fill="FFFFFF"/>
            <w:noWrap/>
            <w:vAlign w:val="center"/>
            <w:hideMark/>
          </w:tcPr>
          <w:p w14:paraId="03F65A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FD822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96,490,683</w:t>
            </w:r>
          </w:p>
        </w:tc>
        <w:tc>
          <w:tcPr>
            <w:tcW w:w="0" w:type="auto"/>
            <w:tcBorders>
              <w:top w:val="nil"/>
              <w:left w:val="nil"/>
              <w:bottom w:val="single" w:sz="4" w:space="0" w:color="auto"/>
              <w:right w:val="single" w:sz="4" w:space="0" w:color="auto"/>
            </w:tcBorders>
            <w:shd w:val="clear" w:color="000000" w:fill="FFFFFF"/>
            <w:noWrap/>
            <w:vAlign w:val="center"/>
            <w:hideMark/>
          </w:tcPr>
          <w:p w14:paraId="447720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64,327,122</w:t>
            </w:r>
          </w:p>
        </w:tc>
        <w:tc>
          <w:tcPr>
            <w:tcW w:w="0" w:type="auto"/>
            <w:tcBorders>
              <w:top w:val="nil"/>
              <w:left w:val="nil"/>
              <w:bottom w:val="single" w:sz="4" w:space="0" w:color="auto"/>
              <w:right w:val="single" w:sz="4" w:space="0" w:color="auto"/>
            </w:tcBorders>
            <w:shd w:val="clear" w:color="000000" w:fill="FFFFFF"/>
            <w:noWrap/>
            <w:vAlign w:val="center"/>
            <w:hideMark/>
          </w:tcPr>
          <w:p w14:paraId="292D9F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64C1D9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64,327,122</w:t>
            </w:r>
          </w:p>
        </w:tc>
        <w:tc>
          <w:tcPr>
            <w:tcW w:w="0" w:type="auto"/>
            <w:tcBorders>
              <w:top w:val="nil"/>
              <w:left w:val="nil"/>
              <w:bottom w:val="single" w:sz="4" w:space="0" w:color="auto"/>
              <w:right w:val="single" w:sz="4" w:space="0" w:color="auto"/>
            </w:tcBorders>
            <w:shd w:val="clear" w:color="000000" w:fill="FFFFFF"/>
            <w:vAlign w:val="center"/>
            <w:hideMark/>
          </w:tcPr>
          <w:p w14:paraId="4117A6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34F36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0F3A61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E3761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1D9204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262C92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8A168F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2.9.4</w:t>
            </w:r>
          </w:p>
        </w:tc>
        <w:tc>
          <w:tcPr>
            <w:tcW w:w="0" w:type="auto"/>
            <w:tcBorders>
              <w:top w:val="nil"/>
              <w:left w:val="nil"/>
              <w:bottom w:val="single" w:sz="4" w:space="0" w:color="auto"/>
              <w:right w:val="single" w:sz="4" w:space="0" w:color="auto"/>
            </w:tcBorders>
            <w:shd w:val="clear" w:color="000000" w:fill="FFFFFF"/>
            <w:hideMark/>
          </w:tcPr>
          <w:p w14:paraId="334503AE"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Publikimi dhe përditësimi periodik i identitetit të personave në kërkim ndërkombëtar, duke mbajtur të dhëna të sakta, me qëllim mbështetjen e identifikimit, lokalizimit dhe kapjes së shpejtë.</w:t>
            </w:r>
          </w:p>
        </w:tc>
        <w:tc>
          <w:tcPr>
            <w:tcW w:w="0" w:type="auto"/>
            <w:tcBorders>
              <w:top w:val="nil"/>
              <w:left w:val="nil"/>
              <w:bottom w:val="single" w:sz="4" w:space="0" w:color="auto"/>
              <w:right w:val="single" w:sz="4" w:space="0" w:color="auto"/>
            </w:tcBorders>
            <w:shd w:val="clear" w:color="000000" w:fill="FFFFFF"/>
            <w:vAlign w:val="center"/>
            <w:hideMark/>
          </w:tcPr>
          <w:p w14:paraId="79AB01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91604AD</w:t>
            </w:r>
          </w:p>
        </w:tc>
        <w:tc>
          <w:tcPr>
            <w:tcW w:w="0" w:type="auto"/>
            <w:tcBorders>
              <w:top w:val="nil"/>
              <w:left w:val="nil"/>
              <w:bottom w:val="single" w:sz="4" w:space="0" w:color="auto"/>
              <w:right w:val="single" w:sz="4" w:space="0" w:color="auto"/>
            </w:tcBorders>
            <w:shd w:val="clear" w:color="000000" w:fill="FFFFFF"/>
            <w:vAlign w:val="center"/>
            <w:hideMark/>
          </w:tcPr>
          <w:p w14:paraId="305CDD2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759E06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Shërbimi Informativ i Shtetit</w:t>
            </w:r>
          </w:p>
        </w:tc>
        <w:tc>
          <w:tcPr>
            <w:tcW w:w="0" w:type="auto"/>
            <w:tcBorders>
              <w:top w:val="nil"/>
              <w:left w:val="nil"/>
              <w:bottom w:val="single" w:sz="4" w:space="0" w:color="auto"/>
              <w:right w:val="single" w:sz="4" w:space="0" w:color="auto"/>
            </w:tcBorders>
            <w:shd w:val="clear" w:color="000000" w:fill="FFFFFF"/>
            <w:vAlign w:val="center"/>
            <w:hideMark/>
          </w:tcPr>
          <w:p w14:paraId="4A60C03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7CBB218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202E5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34330F5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5DF89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0BBCA6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5F39C6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8B027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5DEAE1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16E478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5FDB3D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32,649,240</w:t>
            </w:r>
          </w:p>
        </w:tc>
        <w:tc>
          <w:tcPr>
            <w:tcW w:w="0" w:type="auto"/>
            <w:tcBorders>
              <w:top w:val="nil"/>
              <w:left w:val="nil"/>
              <w:bottom w:val="single" w:sz="4" w:space="0" w:color="auto"/>
              <w:right w:val="single" w:sz="4" w:space="0" w:color="auto"/>
            </w:tcBorders>
            <w:shd w:val="clear" w:color="000000" w:fill="FFFFFF"/>
            <w:vAlign w:val="center"/>
            <w:hideMark/>
          </w:tcPr>
          <w:p w14:paraId="00EA0F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E65A3D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C4B7C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7052F5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CF5C92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C32A3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DAF9B6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97,947,720</w:t>
            </w:r>
          </w:p>
        </w:tc>
        <w:tc>
          <w:tcPr>
            <w:tcW w:w="0" w:type="auto"/>
            <w:tcBorders>
              <w:top w:val="nil"/>
              <w:left w:val="nil"/>
              <w:bottom w:val="single" w:sz="4" w:space="0" w:color="auto"/>
              <w:right w:val="single" w:sz="4" w:space="0" w:color="auto"/>
            </w:tcBorders>
            <w:shd w:val="clear" w:color="000000" w:fill="FFFFFF"/>
            <w:vAlign w:val="center"/>
            <w:hideMark/>
          </w:tcPr>
          <w:p w14:paraId="04E9EE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D66D9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97,947,720</w:t>
            </w:r>
          </w:p>
        </w:tc>
        <w:tc>
          <w:tcPr>
            <w:tcW w:w="0" w:type="auto"/>
            <w:tcBorders>
              <w:top w:val="nil"/>
              <w:left w:val="nil"/>
              <w:bottom w:val="single" w:sz="4" w:space="0" w:color="auto"/>
              <w:right w:val="single" w:sz="4" w:space="0" w:color="auto"/>
            </w:tcBorders>
            <w:shd w:val="clear" w:color="000000" w:fill="FFFFFF"/>
            <w:noWrap/>
            <w:vAlign w:val="center"/>
            <w:hideMark/>
          </w:tcPr>
          <w:p w14:paraId="0DA98D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97,947,720</w:t>
            </w:r>
          </w:p>
        </w:tc>
        <w:tc>
          <w:tcPr>
            <w:tcW w:w="0" w:type="auto"/>
            <w:tcBorders>
              <w:top w:val="nil"/>
              <w:left w:val="nil"/>
              <w:bottom w:val="single" w:sz="4" w:space="0" w:color="auto"/>
              <w:right w:val="single" w:sz="4" w:space="0" w:color="auto"/>
            </w:tcBorders>
            <w:shd w:val="clear" w:color="000000" w:fill="FFFFFF"/>
            <w:noWrap/>
            <w:vAlign w:val="center"/>
            <w:hideMark/>
          </w:tcPr>
          <w:p w14:paraId="3C94D7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51E46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97,947,720</w:t>
            </w:r>
          </w:p>
        </w:tc>
        <w:tc>
          <w:tcPr>
            <w:tcW w:w="0" w:type="auto"/>
            <w:tcBorders>
              <w:top w:val="nil"/>
              <w:left w:val="nil"/>
              <w:bottom w:val="single" w:sz="4" w:space="0" w:color="auto"/>
              <w:right w:val="single" w:sz="4" w:space="0" w:color="auto"/>
            </w:tcBorders>
            <w:shd w:val="clear" w:color="000000" w:fill="FFFFFF"/>
            <w:noWrap/>
            <w:vAlign w:val="center"/>
            <w:hideMark/>
          </w:tcPr>
          <w:p w14:paraId="657F42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E167AE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F763C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60362C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AF0B4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F48536F"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4B59C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633201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BF83D9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3875554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hideMark/>
          </w:tcPr>
          <w:p w14:paraId="085649B0" w14:textId="49CC7C5D"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 xml:space="preserve">ja </w:t>
            </w:r>
            <w:r w:rsidRPr="002128A6">
              <w:rPr>
                <w:rFonts w:ascii="Garamond" w:eastAsia="Times New Roman" w:hAnsi="Garamond" w:cs="Times New Roman"/>
                <w:b/>
                <w:bCs/>
                <w:kern w:val="0"/>
                <w:sz w:val="4"/>
                <w:szCs w:val="8"/>
                <w14:ligatures w14:val="none"/>
              </w:rPr>
              <w:t>Objektivi specifik 2.9</w:t>
            </w:r>
          </w:p>
        </w:tc>
        <w:tc>
          <w:tcPr>
            <w:tcW w:w="0" w:type="auto"/>
            <w:tcBorders>
              <w:top w:val="nil"/>
              <w:left w:val="nil"/>
              <w:bottom w:val="single" w:sz="4" w:space="0" w:color="auto"/>
              <w:right w:val="single" w:sz="4" w:space="0" w:color="auto"/>
            </w:tcBorders>
            <w:shd w:val="clear" w:color="000000" w:fill="5B9BD5"/>
            <w:vAlign w:val="center"/>
            <w:hideMark/>
          </w:tcPr>
          <w:p w14:paraId="71559FD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CE17F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1E06D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9CFE9B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4844F69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18B560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130,596,961</w:t>
            </w:r>
          </w:p>
        </w:tc>
        <w:tc>
          <w:tcPr>
            <w:tcW w:w="0" w:type="auto"/>
            <w:tcBorders>
              <w:top w:val="nil"/>
              <w:left w:val="nil"/>
              <w:bottom w:val="single" w:sz="4" w:space="0" w:color="auto"/>
              <w:right w:val="single" w:sz="4" w:space="0" w:color="auto"/>
            </w:tcBorders>
            <w:shd w:val="clear" w:color="000000" w:fill="5B9BD5"/>
            <w:vAlign w:val="center"/>
            <w:hideMark/>
          </w:tcPr>
          <w:p w14:paraId="0150EB5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861AD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130,596,961</w:t>
            </w:r>
          </w:p>
        </w:tc>
        <w:tc>
          <w:tcPr>
            <w:tcW w:w="0" w:type="auto"/>
            <w:tcBorders>
              <w:top w:val="nil"/>
              <w:left w:val="nil"/>
              <w:bottom w:val="single" w:sz="4" w:space="0" w:color="auto"/>
              <w:right w:val="single" w:sz="4" w:space="0" w:color="auto"/>
            </w:tcBorders>
            <w:shd w:val="clear" w:color="000000" w:fill="5B9BD5"/>
            <w:vAlign w:val="center"/>
            <w:hideMark/>
          </w:tcPr>
          <w:p w14:paraId="765BC78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130,596,961</w:t>
            </w:r>
          </w:p>
        </w:tc>
        <w:tc>
          <w:tcPr>
            <w:tcW w:w="0" w:type="auto"/>
            <w:tcBorders>
              <w:top w:val="nil"/>
              <w:left w:val="nil"/>
              <w:bottom w:val="single" w:sz="4" w:space="0" w:color="auto"/>
              <w:right w:val="single" w:sz="4" w:space="0" w:color="auto"/>
            </w:tcBorders>
            <w:shd w:val="clear" w:color="000000" w:fill="5B9BD5"/>
            <w:vAlign w:val="center"/>
            <w:hideMark/>
          </w:tcPr>
          <w:p w14:paraId="3A017EF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67166F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130,596,961</w:t>
            </w:r>
          </w:p>
        </w:tc>
        <w:tc>
          <w:tcPr>
            <w:tcW w:w="0" w:type="auto"/>
            <w:tcBorders>
              <w:top w:val="nil"/>
              <w:left w:val="nil"/>
              <w:bottom w:val="single" w:sz="4" w:space="0" w:color="auto"/>
              <w:right w:val="single" w:sz="4" w:space="0" w:color="auto"/>
            </w:tcBorders>
            <w:shd w:val="clear" w:color="000000" w:fill="5B9BD5"/>
            <w:vAlign w:val="center"/>
            <w:hideMark/>
          </w:tcPr>
          <w:p w14:paraId="2788986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130,596,961</w:t>
            </w:r>
          </w:p>
        </w:tc>
        <w:tc>
          <w:tcPr>
            <w:tcW w:w="0" w:type="auto"/>
            <w:tcBorders>
              <w:top w:val="nil"/>
              <w:left w:val="nil"/>
              <w:bottom w:val="single" w:sz="4" w:space="0" w:color="auto"/>
              <w:right w:val="single" w:sz="4" w:space="0" w:color="auto"/>
            </w:tcBorders>
            <w:shd w:val="clear" w:color="000000" w:fill="5B9BD5"/>
            <w:vAlign w:val="center"/>
            <w:hideMark/>
          </w:tcPr>
          <w:p w14:paraId="3E4C875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8F18E4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130,596,961</w:t>
            </w:r>
          </w:p>
        </w:tc>
        <w:tc>
          <w:tcPr>
            <w:tcW w:w="0" w:type="auto"/>
            <w:tcBorders>
              <w:top w:val="nil"/>
              <w:left w:val="nil"/>
              <w:bottom w:val="single" w:sz="4" w:space="0" w:color="auto"/>
              <w:right w:val="single" w:sz="4" w:space="0" w:color="auto"/>
            </w:tcBorders>
            <w:shd w:val="clear" w:color="000000" w:fill="5B9BD5"/>
            <w:vAlign w:val="center"/>
            <w:hideMark/>
          </w:tcPr>
          <w:p w14:paraId="05EBA93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64,812,801</w:t>
            </w:r>
          </w:p>
        </w:tc>
        <w:tc>
          <w:tcPr>
            <w:tcW w:w="0" w:type="auto"/>
            <w:tcBorders>
              <w:top w:val="nil"/>
              <w:left w:val="nil"/>
              <w:bottom w:val="single" w:sz="4" w:space="0" w:color="auto"/>
              <w:right w:val="single" w:sz="4" w:space="0" w:color="auto"/>
            </w:tcBorders>
            <w:shd w:val="clear" w:color="000000" w:fill="5B9BD5"/>
            <w:vAlign w:val="center"/>
            <w:hideMark/>
          </w:tcPr>
          <w:p w14:paraId="3CC8372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7F9345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64,812,801</w:t>
            </w:r>
          </w:p>
        </w:tc>
        <w:tc>
          <w:tcPr>
            <w:tcW w:w="0" w:type="auto"/>
            <w:tcBorders>
              <w:top w:val="nil"/>
              <w:left w:val="nil"/>
              <w:bottom w:val="single" w:sz="4" w:space="0" w:color="auto"/>
              <w:right w:val="single" w:sz="4" w:space="0" w:color="auto"/>
            </w:tcBorders>
            <w:shd w:val="clear" w:color="000000" w:fill="5B9BD5"/>
            <w:vAlign w:val="center"/>
            <w:hideMark/>
          </w:tcPr>
          <w:p w14:paraId="5E594D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64,812,801</w:t>
            </w:r>
          </w:p>
        </w:tc>
        <w:tc>
          <w:tcPr>
            <w:tcW w:w="0" w:type="auto"/>
            <w:tcBorders>
              <w:top w:val="nil"/>
              <w:left w:val="nil"/>
              <w:bottom w:val="single" w:sz="4" w:space="0" w:color="auto"/>
              <w:right w:val="single" w:sz="4" w:space="0" w:color="auto"/>
            </w:tcBorders>
            <w:shd w:val="clear" w:color="000000" w:fill="5B9BD5"/>
            <w:vAlign w:val="center"/>
            <w:hideMark/>
          </w:tcPr>
          <w:p w14:paraId="230BE3F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A35FAD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64,812,801</w:t>
            </w:r>
          </w:p>
        </w:tc>
        <w:tc>
          <w:tcPr>
            <w:tcW w:w="0" w:type="auto"/>
            <w:tcBorders>
              <w:top w:val="nil"/>
              <w:left w:val="nil"/>
              <w:bottom w:val="single" w:sz="4" w:space="0" w:color="auto"/>
              <w:right w:val="single" w:sz="4" w:space="0" w:color="auto"/>
            </w:tcBorders>
            <w:shd w:val="clear" w:color="000000" w:fill="5B9BD5"/>
            <w:vAlign w:val="center"/>
            <w:hideMark/>
          </w:tcPr>
          <w:p w14:paraId="23E4B7B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521,416,485</w:t>
            </w:r>
          </w:p>
        </w:tc>
        <w:tc>
          <w:tcPr>
            <w:tcW w:w="0" w:type="auto"/>
            <w:tcBorders>
              <w:top w:val="nil"/>
              <w:left w:val="nil"/>
              <w:bottom w:val="single" w:sz="4" w:space="0" w:color="auto"/>
              <w:right w:val="single" w:sz="4" w:space="0" w:color="auto"/>
            </w:tcBorders>
            <w:shd w:val="clear" w:color="000000" w:fill="5B9BD5"/>
            <w:vAlign w:val="center"/>
            <w:hideMark/>
          </w:tcPr>
          <w:p w14:paraId="186998E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61B246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521,416,485</w:t>
            </w:r>
          </w:p>
        </w:tc>
        <w:tc>
          <w:tcPr>
            <w:tcW w:w="0" w:type="auto"/>
            <w:tcBorders>
              <w:top w:val="nil"/>
              <w:left w:val="nil"/>
              <w:bottom w:val="single" w:sz="4" w:space="0" w:color="auto"/>
              <w:right w:val="single" w:sz="4" w:space="0" w:color="auto"/>
            </w:tcBorders>
            <w:shd w:val="clear" w:color="000000" w:fill="5B9BD5"/>
            <w:vAlign w:val="center"/>
            <w:hideMark/>
          </w:tcPr>
          <w:p w14:paraId="7A4FE7B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391,790,883</w:t>
            </w:r>
          </w:p>
        </w:tc>
        <w:tc>
          <w:tcPr>
            <w:tcW w:w="0" w:type="auto"/>
            <w:tcBorders>
              <w:top w:val="nil"/>
              <w:left w:val="nil"/>
              <w:bottom w:val="single" w:sz="4" w:space="0" w:color="auto"/>
              <w:right w:val="single" w:sz="4" w:space="0" w:color="auto"/>
            </w:tcBorders>
            <w:shd w:val="clear" w:color="000000" w:fill="5B9BD5"/>
            <w:vAlign w:val="center"/>
            <w:hideMark/>
          </w:tcPr>
          <w:p w14:paraId="667869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476815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391,790,883</w:t>
            </w:r>
          </w:p>
        </w:tc>
        <w:tc>
          <w:tcPr>
            <w:tcW w:w="0" w:type="auto"/>
            <w:tcBorders>
              <w:top w:val="nil"/>
              <w:left w:val="nil"/>
              <w:bottom w:val="single" w:sz="4" w:space="0" w:color="auto"/>
              <w:right w:val="single" w:sz="4" w:space="0" w:color="auto"/>
            </w:tcBorders>
            <w:shd w:val="clear" w:color="000000" w:fill="5B9BD5"/>
            <w:vAlign w:val="center"/>
            <w:hideMark/>
          </w:tcPr>
          <w:p w14:paraId="414BEF9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129,625,602</w:t>
            </w:r>
          </w:p>
        </w:tc>
        <w:tc>
          <w:tcPr>
            <w:tcW w:w="0" w:type="auto"/>
            <w:tcBorders>
              <w:top w:val="nil"/>
              <w:left w:val="nil"/>
              <w:bottom w:val="single" w:sz="4" w:space="0" w:color="auto"/>
              <w:right w:val="single" w:sz="4" w:space="0" w:color="auto"/>
            </w:tcBorders>
            <w:shd w:val="clear" w:color="000000" w:fill="5B9BD5"/>
            <w:vAlign w:val="center"/>
            <w:hideMark/>
          </w:tcPr>
          <w:p w14:paraId="19346F8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BA7031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129,625,602</w:t>
            </w:r>
          </w:p>
        </w:tc>
        <w:tc>
          <w:tcPr>
            <w:tcW w:w="0" w:type="auto"/>
            <w:tcBorders>
              <w:top w:val="nil"/>
              <w:left w:val="nil"/>
              <w:bottom w:val="single" w:sz="4" w:space="0" w:color="auto"/>
              <w:right w:val="single" w:sz="4" w:space="0" w:color="auto"/>
            </w:tcBorders>
            <w:shd w:val="clear" w:color="000000" w:fill="5B9BD5"/>
            <w:vAlign w:val="center"/>
            <w:hideMark/>
          </w:tcPr>
          <w:p w14:paraId="212EE8B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FA2A06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CEF724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90084E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3F7941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189BB4A7" w14:textId="77777777" w:rsidTr="005305FA">
        <w:trPr>
          <w:trHeight w:val="20"/>
          <w:jc w:val="center"/>
        </w:trPr>
        <w:tc>
          <w:tcPr>
            <w:tcW w:w="1245" w:type="dxa"/>
            <w:tcBorders>
              <w:top w:val="nil"/>
              <w:left w:val="single" w:sz="8" w:space="0" w:color="auto"/>
              <w:bottom w:val="nil"/>
              <w:right w:val="single" w:sz="4" w:space="0" w:color="auto"/>
            </w:tcBorders>
            <w:shd w:val="clear" w:color="000000" w:fill="DDEBF7"/>
            <w:vAlign w:val="center"/>
            <w:hideMark/>
          </w:tcPr>
          <w:p w14:paraId="7D78737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DDEBF7"/>
            <w:hideMark/>
          </w:tcPr>
          <w:p w14:paraId="10F2F29A" w14:textId="3B7CAA28"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8A598F"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totale Q</w:t>
            </w:r>
            <w:r w:rsidRPr="002128A6">
              <w:rPr>
                <w:rFonts w:ascii="Garamond" w:eastAsia="Times New Roman" w:hAnsi="Garamond" w:cs="Calibri"/>
                <w:b/>
                <w:bCs/>
                <w:kern w:val="0"/>
                <w:sz w:val="4"/>
                <w:szCs w:val="8"/>
                <w14:ligatures w14:val="none"/>
              </w:rPr>
              <w:t>ë</w:t>
            </w:r>
            <w:r w:rsidRPr="002128A6">
              <w:rPr>
                <w:rFonts w:ascii="Garamond" w:eastAsia="Times New Roman" w:hAnsi="Garamond" w:cs="Times New Roman"/>
                <w:b/>
                <w:bCs/>
                <w:kern w:val="0"/>
                <w:sz w:val="4"/>
                <w:szCs w:val="8"/>
                <w14:ligatures w14:val="none"/>
              </w:rPr>
              <w:t>llimi i Politik</w:t>
            </w:r>
            <w:r w:rsidRPr="002128A6">
              <w:rPr>
                <w:rFonts w:ascii="Garamond" w:eastAsia="Times New Roman" w:hAnsi="Garamond" w:cs="Calibri"/>
                <w:b/>
                <w:bCs/>
                <w:kern w:val="0"/>
                <w:sz w:val="4"/>
                <w:szCs w:val="8"/>
                <w14:ligatures w14:val="none"/>
              </w:rPr>
              <w:t>ë</w:t>
            </w:r>
            <w:r w:rsidRPr="002128A6">
              <w:rPr>
                <w:rFonts w:ascii="Garamond" w:eastAsia="Times New Roman" w:hAnsi="Garamond" w:cs="Times New Roman"/>
                <w:b/>
                <w:bCs/>
                <w:kern w:val="0"/>
                <w:sz w:val="4"/>
                <w:szCs w:val="8"/>
                <w14:ligatures w14:val="none"/>
              </w:rPr>
              <w:t>s I (objektiva specifik</w:t>
            </w:r>
            <w:r w:rsidR="008A598F" w:rsidRPr="002128A6">
              <w:rPr>
                <w:rFonts w:ascii="Garamond" w:eastAsia="Times New Roman" w:hAnsi="Garamond" w:cs="Times New Roman"/>
                <w:b/>
                <w:bCs/>
                <w:kern w:val="0"/>
                <w:sz w:val="4"/>
                <w:szCs w:val="8"/>
                <w14:ligatures w14:val="none"/>
              </w:rPr>
              <w:t>ë</w:t>
            </w:r>
            <w:r w:rsidRPr="002128A6">
              <w:rPr>
                <w:rFonts w:ascii="Garamond" w:eastAsia="Times New Roman" w:hAnsi="Garamond" w:cs="Times New Roman"/>
                <w:b/>
                <w:bCs/>
                <w:kern w:val="0"/>
                <w:sz w:val="4"/>
                <w:szCs w:val="8"/>
                <w14:ligatures w14:val="none"/>
              </w:rPr>
              <w:t xml:space="preserve"> 2.1+2.2+2.3+2.4+2.5+2.6+2.7+2.8+2.9)</w:t>
            </w:r>
          </w:p>
        </w:tc>
        <w:tc>
          <w:tcPr>
            <w:tcW w:w="0" w:type="auto"/>
            <w:tcBorders>
              <w:top w:val="nil"/>
              <w:left w:val="nil"/>
              <w:bottom w:val="nil"/>
              <w:right w:val="single" w:sz="4" w:space="0" w:color="auto"/>
            </w:tcBorders>
            <w:shd w:val="clear" w:color="000000" w:fill="DDEBF7"/>
            <w:vAlign w:val="center"/>
            <w:hideMark/>
          </w:tcPr>
          <w:p w14:paraId="5351CB5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DDEBF7"/>
            <w:vAlign w:val="center"/>
            <w:hideMark/>
          </w:tcPr>
          <w:p w14:paraId="03F2E12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DDEBF7"/>
            <w:vAlign w:val="center"/>
            <w:hideMark/>
          </w:tcPr>
          <w:p w14:paraId="17B4B4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DDEBF7"/>
            <w:vAlign w:val="center"/>
            <w:hideMark/>
          </w:tcPr>
          <w:p w14:paraId="0A8A78D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DDEBF7"/>
            <w:vAlign w:val="center"/>
            <w:hideMark/>
          </w:tcPr>
          <w:p w14:paraId="7D4BB18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nil"/>
              <w:right w:val="single" w:sz="4" w:space="0" w:color="auto"/>
            </w:tcBorders>
            <w:shd w:val="clear" w:color="000000" w:fill="DDEBF7"/>
            <w:vAlign w:val="center"/>
            <w:hideMark/>
          </w:tcPr>
          <w:p w14:paraId="5BE6F39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2,547,714,106</w:t>
            </w:r>
          </w:p>
        </w:tc>
        <w:tc>
          <w:tcPr>
            <w:tcW w:w="0" w:type="auto"/>
            <w:tcBorders>
              <w:top w:val="nil"/>
              <w:left w:val="nil"/>
              <w:bottom w:val="nil"/>
              <w:right w:val="single" w:sz="4" w:space="0" w:color="auto"/>
            </w:tcBorders>
            <w:shd w:val="clear" w:color="000000" w:fill="DDEBF7"/>
            <w:vAlign w:val="center"/>
            <w:hideMark/>
          </w:tcPr>
          <w:p w14:paraId="461CD13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1,601,925,719</w:t>
            </w:r>
          </w:p>
        </w:tc>
        <w:tc>
          <w:tcPr>
            <w:tcW w:w="0" w:type="auto"/>
            <w:tcBorders>
              <w:top w:val="nil"/>
              <w:left w:val="nil"/>
              <w:bottom w:val="nil"/>
              <w:right w:val="single" w:sz="4" w:space="0" w:color="auto"/>
            </w:tcBorders>
            <w:shd w:val="clear" w:color="000000" w:fill="DDEBF7"/>
            <w:vAlign w:val="center"/>
            <w:hideMark/>
          </w:tcPr>
          <w:p w14:paraId="5A93C6A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4,149,639,825</w:t>
            </w:r>
          </w:p>
        </w:tc>
        <w:tc>
          <w:tcPr>
            <w:tcW w:w="0" w:type="auto"/>
            <w:tcBorders>
              <w:top w:val="nil"/>
              <w:left w:val="nil"/>
              <w:bottom w:val="nil"/>
              <w:right w:val="single" w:sz="4" w:space="0" w:color="auto"/>
            </w:tcBorders>
            <w:shd w:val="clear" w:color="000000" w:fill="DDEBF7"/>
            <w:vAlign w:val="center"/>
            <w:hideMark/>
          </w:tcPr>
          <w:p w14:paraId="72390F6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2,403,055,397</w:t>
            </w:r>
          </w:p>
        </w:tc>
        <w:tc>
          <w:tcPr>
            <w:tcW w:w="0" w:type="auto"/>
            <w:tcBorders>
              <w:top w:val="nil"/>
              <w:left w:val="nil"/>
              <w:bottom w:val="nil"/>
              <w:right w:val="single" w:sz="4" w:space="0" w:color="auto"/>
            </w:tcBorders>
            <w:shd w:val="clear" w:color="000000" w:fill="DDEBF7"/>
            <w:vAlign w:val="center"/>
            <w:hideMark/>
          </w:tcPr>
          <w:p w14:paraId="121072E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4,171,216,719</w:t>
            </w:r>
          </w:p>
        </w:tc>
        <w:tc>
          <w:tcPr>
            <w:tcW w:w="0" w:type="auto"/>
            <w:tcBorders>
              <w:top w:val="nil"/>
              <w:left w:val="nil"/>
              <w:bottom w:val="nil"/>
              <w:right w:val="single" w:sz="4" w:space="0" w:color="auto"/>
            </w:tcBorders>
            <w:shd w:val="clear" w:color="000000" w:fill="DDEBF7"/>
            <w:vAlign w:val="center"/>
            <w:hideMark/>
          </w:tcPr>
          <w:p w14:paraId="1C14E04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6,574,272,116</w:t>
            </w:r>
          </w:p>
        </w:tc>
        <w:tc>
          <w:tcPr>
            <w:tcW w:w="0" w:type="auto"/>
            <w:tcBorders>
              <w:top w:val="nil"/>
              <w:left w:val="nil"/>
              <w:bottom w:val="nil"/>
              <w:right w:val="single" w:sz="4" w:space="0" w:color="auto"/>
            </w:tcBorders>
            <w:shd w:val="clear" w:color="000000" w:fill="DDEBF7"/>
            <w:vAlign w:val="center"/>
            <w:hideMark/>
          </w:tcPr>
          <w:p w14:paraId="67EC23B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2,397,797,774</w:t>
            </w:r>
          </w:p>
        </w:tc>
        <w:tc>
          <w:tcPr>
            <w:tcW w:w="0" w:type="auto"/>
            <w:tcBorders>
              <w:top w:val="nil"/>
              <w:left w:val="nil"/>
              <w:bottom w:val="nil"/>
              <w:right w:val="single" w:sz="4" w:space="0" w:color="auto"/>
            </w:tcBorders>
            <w:shd w:val="clear" w:color="000000" w:fill="DDEBF7"/>
            <w:vAlign w:val="center"/>
            <w:hideMark/>
          </w:tcPr>
          <w:p w14:paraId="6923C26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4,252,057,560</w:t>
            </w:r>
          </w:p>
        </w:tc>
        <w:tc>
          <w:tcPr>
            <w:tcW w:w="0" w:type="auto"/>
            <w:tcBorders>
              <w:top w:val="nil"/>
              <w:left w:val="nil"/>
              <w:bottom w:val="nil"/>
              <w:right w:val="single" w:sz="4" w:space="0" w:color="auto"/>
            </w:tcBorders>
            <w:shd w:val="clear" w:color="000000" w:fill="DDEBF7"/>
            <w:vAlign w:val="center"/>
            <w:hideMark/>
          </w:tcPr>
          <w:p w14:paraId="1BE4F05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6,649,855,334</w:t>
            </w:r>
          </w:p>
        </w:tc>
        <w:tc>
          <w:tcPr>
            <w:tcW w:w="0" w:type="auto"/>
            <w:tcBorders>
              <w:top w:val="nil"/>
              <w:left w:val="nil"/>
              <w:bottom w:val="nil"/>
              <w:right w:val="single" w:sz="4" w:space="0" w:color="auto"/>
            </w:tcBorders>
            <w:shd w:val="clear" w:color="000000" w:fill="DDEBF7"/>
            <w:vAlign w:val="center"/>
            <w:hideMark/>
          </w:tcPr>
          <w:p w14:paraId="38E4D8B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2,197,975,534</w:t>
            </w:r>
          </w:p>
        </w:tc>
        <w:tc>
          <w:tcPr>
            <w:tcW w:w="0" w:type="auto"/>
            <w:tcBorders>
              <w:top w:val="nil"/>
              <w:left w:val="nil"/>
              <w:bottom w:val="nil"/>
              <w:right w:val="single" w:sz="4" w:space="0" w:color="auto"/>
            </w:tcBorders>
            <w:shd w:val="clear" w:color="000000" w:fill="DDEBF7"/>
            <w:vAlign w:val="center"/>
            <w:hideMark/>
          </w:tcPr>
          <w:p w14:paraId="3E5A337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2,470,145,000</w:t>
            </w:r>
          </w:p>
        </w:tc>
        <w:tc>
          <w:tcPr>
            <w:tcW w:w="0" w:type="auto"/>
            <w:tcBorders>
              <w:top w:val="nil"/>
              <w:left w:val="nil"/>
              <w:bottom w:val="nil"/>
              <w:right w:val="single" w:sz="4" w:space="0" w:color="auto"/>
            </w:tcBorders>
            <w:shd w:val="clear" w:color="000000" w:fill="DDEBF7"/>
            <w:vAlign w:val="center"/>
            <w:hideMark/>
          </w:tcPr>
          <w:p w14:paraId="2575B11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4,668,120,534</w:t>
            </w:r>
          </w:p>
        </w:tc>
        <w:tc>
          <w:tcPr>
            <w:tcW w:w="0" w:type="auto"/>
            <w:tcBorders>
              <w:top w:val="nil"/>
              <w:left w:val="nil"/>
              <w:bottom w:val="nil"/>
              <w:right w:val="single" w:sz="4" w:space="0" w:color="auto"/>
            </w:tcBorders>
            <w:shd w:val="clear" w:color="000000" w:fill="DDEBF7"/>
            <w:vAlign w:val="center"/>
            <w:hideMark/>
          </w:tcPr>
          <w:p w14:paraId="2F180DD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2,197,975,534</w:t>
            </w:r>
          </w:p>
        </w:tc>
        <w:tc>
          <w:tcPr>
            <w:tcW w:w="0" w:type="auto"/>
            <w:tcBorders>
              <w:top w:val="nil"/>
              <w:left w:val="nil"/>
              <w:bottom w:val="nil"/>
              <w:right w:val="single" w:sz="4" w:space="0" w:color="auto"/>
            </w:tcBorders>
            <w:shd w:val="clear" w:color="000000" w:fill="DDEBF7"/>
            <w:vAlign w:val="center"/>
            <w:hideMark/>
          </w:tcPr>
          <w:p w14:paraId="48D87B7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2,470,145,000</w:t>
            </w:r>
          </w:p>
        </w:tc>
        <w:tc>
          <w:tcPr>
            <w:tcW w:w="0" w:type="auto"/>
            <w:tcBorders>
              <w:top w:val="nil"/>
              <w:left w:val="nil"/>
              <w:bottom w:val="nil"/>
              <w:right w:val="single" w:sz="4" w:space="0" w:color="auto"/>
            </w:tcBorders>
            <w:shd w:val="clear" w:color="000000" w:fill="DDEBF7"/>
            <w:vAlign w:val="center"/>
            <w:hideMark/>
          </w:tcPr>
          <w:p w14:paraId="3405C6E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4,668,120,534</w:t>
            </w:r>
          </w:p>
        </w:tc>
        <w:tc>
          <w:tcPr>
            <w:tcW w:w="0" w:type="auto"/>
            <w:tcBorders>
              <w:top w:val="nil"/>
              <w:left w:val="nil"/>
              <w:bottom w:val="nil"/>
              <w:right w:val="single" w:sz="4" w:space="0" w:color="auto"/>
            </w:tcBorders>
            <w:shd w:val="clear" w:color="000000" w:fill="DDEBF7"/>
            <w:vAlign w:val="center"/>
            <w:hideMark/>
          </w:tcPr>
          <w:p w14:paraId="5CAC154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11,744,518,345</w:t>
            </w:r>
          </w:p>
        </w:tc>
        <w:tc>
          <w:tcPr>
            <w:tcW w:w="0" w:type="auto"/>
            <w:tcBorders>
              <w:top w:val="nil"/>
              <w:left w:val="nil"/>
              <w:bottom w:val="nil"/>
              <w:right w:val="single" w:sz="4" w:space="0" w:color="auto"/>
            </w:tcBorders>
            <w:shd w:val="clear" w:color="000000" w:fill="DDEBF7"/>
            <w:vAlign w:val="center"/>
            <w:hideMark/>
          </w:tcPr>
          <w:p w14:paraId="50B9600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10,025,199,998</w:t>
            </w:r>
          </w:p>
        </w:tc>
        <w:tc>
          <w:tcPr>
            <w:tcW w:w="0" w:type="auto"/>
            <w:tcBorders>
              <w:top w:val="nil"/>
              <w:left w:val="nil"/>
              <w:bottom w:val="nil"/>
              <w:right w:val="single" w:sz="4" w:space="0" w:color="auto"/>
            </w:tcBorders>
            <w:shd w:val="clear" w:color="000000" w:fill="DDEBF7"/>
            <w:vAlign w:val="center"/>
            <w:hideMark/>
          </w:tcPr>
          <w:p w14:paraId="72A66D9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21,769,718,343</w:t>
            </w:r>
          </w:p>
        </w:tc>
        <w:tc>
          <w:tcPr>
            <w:tcW w:w="0" w:type="auto"/>
            <w:tcBorders>
              <w:top w:val="nil"/>
              <w:left w:val="nil"/>
              <w:bottom w:val="nil"/>
              <w:right w:val="single" w:sz="4" w:space="0" w:color="auto"/>
            </w:tcBorders>
            <w:shd w:val="clear" w:color="000000" w:fill="DDEBF7"/>
            <w:vAlign w:val="center"/>
            <w:hideMark/>
          </w:tcPr>
          <w:p w14:paraId="75C84E9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7,348,567,277</w:t>
            </w:r>
          </w:p>
        </w:tc>
        <w:tc>
          <w:tcPr>
            <w:tcW w:w="0" w:type="auto"/>
            <w:tcBorders>
              <w:top w:val="nil"/>
              <w:left w:val="nil"/>
              <w:bottom w:val="nil"/>
              <w:right w:val="single" w:sz="4" w:space="0" w:color="auto"/>
            </w:tcBorders>
            <w:shd w:val="clear" w:color="000000" w:fill="DDEBF7"/>
            <w:vAlign w:val="center"/>
            <w:hideMark/>
          </w:tcPr>
          <w:p w14:paraId="207CE5E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1,092,660,998</w:t>
            </w:r>
          </w:p>
        </w:tc>
        <w:tc>
          <w:tcPr>
            <w:tcW w:w="0" w:type="auto"/>
            <w:tcBorders>
              <w:top w:val="nil"/>
              <w:left w:val="nil"/>
              <w:bottom w:val="nil"/>
              <w:right w:val="single" w:sz="4" w:space="0" w:color="auto"/>
            </w:tcBorders>
            <w:shd w:val="clear" w:color="000000" w:fill="DDEBF7"/>
            <w:vAlign w:val="center"/>
            <w:hideMark/>
          </w:tcPr>
          <w:p w14:paraId="728DAFE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8,441,228,275</w:t>
            </w:r>
          </w:p>
        </w:tc>
        <w:tc>
          <w:tcPr>
            <w:tcW w:w="0" w:type="auto"/>
            <w:tcBorders>
              <w:top w:val="nil"/>
              <w:left w:val="nil"/>
              <w:bottom w:val="nil"/>
              <w:right w:val="single" w:sz="4" w:space="0" w:color="auto"/>
            </w:tcBorders>
            <w:shd w:val="clear" w:color="000000" w:fill="DDEBF7"/>
            <w:vAlign w:val="center"/>
            <w:hideMark/>
          </w:tcPr>
          <w:p w14:paraId="40A225F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4,395,951,068</w:t>
            </w:r>
          </w:p>
        </w:tc>
        <w:tc>
          <w:tcPr>
            <w:tcW w:w="0" w:type="auto"/>
            <w:tcBorders>
              <w:top w:val="nil"/>
              <w:left w:val="nil"/>
              <w:bottom w:val="nil"/>
              <w:right w:val="single" w:sz="4" w:space="0" w:color="auto"/>
            </w:tcBorders>
            <w:shd w:val="clear" w:color="000000" w:fill="DDEBF7"/>
            <w:vAlign w:val="center"/>
            <w:hideMark/>
          </w:tcPr>
          <w:p w14:paraId="2796F75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2,701,050,000</w:t>
            </w:r>
          </w:p>
        </w:tc>
        <w:tc>
          <w:tcPr>
            <w:tcW w:w="0" w:type="auto"/>
            <w:tcBorders>
              <w:top w:val="nil"/>
              <w:left w:val="nil"/>
              <w:bottom w:val="nil"/>
              <w:right w:val="single" w:sz="4" w:space="0" w:color="auto"/>
            </w:tcBorders>
            <w:shd w:val="clear" w:color="000000" w:fill="DDEBF7"/>
            <w:vAlign w:val="center"/>
            <w:hideMark/>
          </w:tcPr>
          <w:p w14:paraId="659C1F3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7,097,001,068</w:t>
            </w:r>
          </w:p>
        </w:tc>
        <w:tc>
          <w:tcPr>
            <w:tcW w:w="0" w:type="auto"/>
            <w:tcBorders>
              <w:top w:val="nil"/>
              <w:left w:val="nil"/>
              <w:bottom w:val="nil"/>
              <w:right w:val="single" w:sz="4" w:space="0" w:color="auto"/>
            </w:tcBorders>
            <w:shd w:val="clear" w:color="000000" w:fill="DDEBF7"/>
            <w:vAlign w:val="center"/>
            <w:hideMark/>
          </w:tcPr>
          <w:p w14:paraId="31678EC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nil"/>
              <w:right w:val="single" w:sz="4" w:space="0" w:color="auto"/>
            </w:tcBorders>
            <w:shd w:val="clear" w:color="000000" w:fill="DDEBF7"/>
            <w:vAlign w:val="center"/>
            <w:hideMark/>
          </w:tcPr>
          <w:p w14:paraId="6CDD286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3,238,935,000</w:t>
            </w:r>
          </w:p>
        </w:tc>
        <w:tc>
          <w:tcPr>
            <w:tcW w:w="0" w:type="auto"/>
            <w:tcBorders>
              <w:top w:val="nil"/>
              <w:left w:val="nil"/>
              <w:bottom w:val="nil"/>
              <w:right w:val="single" w:sz="4" w:space="0" w:color="auto"/>
            </w:tcBorders>
            <w:shd w:val="clear" w:color="000000" w:fill="DDEBF7"/>
            <w:vAlign w:val="center"/>
            <w:hideMark/>
          </w:tcPr>
          <w:p w14:paraId="7B64F06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nil"/>
              <w:right w:val="single" w:sz="4" w:space="0" w:color="auto"/>
            </w:tcBorders>
            <w:shd w:val="clear" w:color="000000" w:fill="DDEBF7"/>
            <w:vAlign w:val="center"/>
            <w:hideMark/>
          </w:tcPr>
          <w:p w14:paraId="6A66B32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3,238,935,000</w:t>
            </w:r>
          </w:p>
        </w:tc>
        <w:tc>
          <w:tcPr>
            <w:tcW w:w="0" w:type="auto"/>
            <w:tcBorders>
              <w:top w:val="nil"/>
              <w:left w:val="nil"/>
              <w:bottom w:val="single" w:sz="8" w:space="0" w:color="auto"/>
              <w:right w:val="single" w:sz="8" w:space="0" w:color="auto"/>
            </w:tcBorders>
            <w:shd w:val="clear" w:color="000000" w:fill="DDEBF7"/>
            <w:vAlign w:val="center"/>
            <w:hideMark/>
          </w:tcPr>
          <w:p w14:paraId="00F380A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2,992,554,000</w:t>
            </w:r>
          </w:p>
        </w:tc>
      </w:tr>
      <w:tr w:rsidR="00F54824" w:rsidRPr="002128A6" w14:paraId="513EBDFE" w14:textId="77777777" w:rsidTr="005305FA">
        <w:trPr>
          <w:trHeight w:val="20"/>
          <w:jc w:val="center"/>
        </w:trPr>
        <w:tc>
          <w:tcPr>
            <w:tcW w:w="13943" w:type="dxa"/>
            <w:gridSpan w:val="36"/>
            <w:tcBorders>
              <w:top w:val="single" w:sz="8" w:space="0" w:color="auto"/>
              <w:left w:val="single" w:sz="8" w:space="0" w:color="auto"/>
              <w:bottom w:val="single" w:sz="8" w:space="0" w:color="auto"/>
              <w:right w:val="single" w:sz="8" w:space="0" w:color="000000"/>
            </w:tcBorders>
            <w:shd w:val="clear" w:color="000000" w:fill="FFFFFF"/>
            <w:vAlign w:val="center"/>
            <w:hideMark/>
          </w:tcPr>
          <w:p w14:paraId="27F3DBA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QËLLIMI I POLITIKËS III: BASHKËPUNIMI KOMBËTAR DHE NDËRKOMBËTAR</w:t>
            </w:r>
          </w:p>
        </w:tc>
      </w:tr>
      <w:tr w:rsidR="00F54824" w:rsidRPr="002128A6" w14:paraId="7269B599" w14:textId="77777777" w:rsidTr="005305FA">
        <w:trPr>
          <w:trHeight w:val="20"/>
          <w:jc w:val="center"/>
        </w:trPr>
        <w:tc>
          <w:tcPr>
            <w:tcW w:w="13943" w:type="dxa"/>
            <w:gridSpan w:val="36"/>
            <w:tcBorders>
              <w:top w:val="single" w:sz="8" w:space="0" w:color="auto"/>
              <w:left w:val="single" w:sz="8" w:space="0" w:color="auto"/>
              <w:bottom w:val="single" w:sz="8" w:space="0" w:color="auto"/>
              <w:right w:val="single" w:sz="8" w:space="0" w:color="000000"/>
            </w:tcBorders>
            <w:shd w:val="clear" w:color="000000" w:fill="FFFFFF"/>
            <w:vAlign w:val="center"/>
            <w:hideMark/>
          </w:tcPr>
          <w:p w14:paraId="2D495C61" w14:textId="0FBCC468"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III. Programi buxhetor që kontribuon për qëllimin e politikës: Programi 01110 Ministria e Punëve të Brendshme; Programi 03140, Policia e Shtetit; Programi 1012020, IKRKT; Programi 01110, Ministria e Shëndetësisë dhe Mirëqenies Sociale; Programi 03440, Drejtoria e Përgjithshme e Burgjeve; Programi 1014001, Ministria e Drejtësisë.</w:t>
            </w:r>
            <w:r w:rsidR="00F54824" w:rsidRPr="002128A6">
              <w:rPr>
                <w:rFonts w:ascii="Garamond" w:eastAsia="Times New Roman" w:hAnsi="Garamond" w:cs="Times New Roman"/>
                <w:b/>
                <w:bCs/>
                <w:kern w:val="0"/>
                <w:sz w:val="4"/>
                <w:szCs w:val="8"/>
                <w14:ligatures w14:val="none"/>
              </w:rPr>
              <w:t xml:space="preserve"> </w:t>
            </w:r>
          </w:p>
        </w:tc>
      </w:tr>
      <w:tr w:rsidR="00F54824" w:rsidRPr="002128A6" w14:paraId="6B584062" w14:textId="77777777" w:rsidTr="005305FA">
        <w:trPr>
          <w:trHeight w:val="20"/>
          <w:jc w:val="center"/>
        </w:trPr>
        <w:tc>
          <w:tcPr>
            <w:tcW w:w="1245" w:type="dxa"/>
            <w:vMerge w:val="restart"/>
            <w:tcBorders>
              <w:top w:val="nil"/>
              <w:left w:val="single" w:sz="8" w:space="0" w:color="auto"/>
              <w:bottom w:val="single" w:sz="8" w:space="0" w:color="000000"/>
              <w:right w:val="single" w:sz="4" w:space="0" w:color="auto"/>
            </w:tcBorders>
            <w:shd w:val="clear" w:color="000000" w:fill="FFFFFF"/>
            <w:vAlign w:val="center"/>
            <w:hideMark/>
          </w:tcPr>
          <w:p w14:paraId="373144E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Nr.</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782D21C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Titulli </w:t>
            </w:r>
          </w:p>
        </w:tc>
        <w:tc>
          <w:tcPr>
            <w:tcW w:w="0" w:type="auto"/>
            <w:tcBorders>
              <w:top w:val="nil"/>
              <w:left w:val="nil"/>
              <w:bottom w:val="single" w:sz="4" w:space="0" w:color="auto"/>
              <w:right w:val="single" w:sz="4" w:space="0" w:color="auto"/>
            </w:tcBorders>
            <w:shd w:val="clear" w:color="000000" w:fill="FFFFFF"/>
            <w:vAlign w:val="center"/>
            <w:hideMark/>
          </w:tcPr>
          <w:p w14:paraId="7676345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Programi buxhetor </w:t>
            </w:r>
          </w:p>
        </w:tc>
        <w:tc>
          <w:tcPr>
            <w:tcW w:w="0" w:type="auto"/>
            <w:gridSpan w:val="2"/>
            <w:tcBorders>
              <w:top w:val="single" w:sz="8" w:space="0" w:color="auto"/>
              <w:left w:val="nil"/>
              <w:bottom w:val="single" w:sz="4" w:space="0" w:color="auto"/>
              <w:right w:val="single" w:sz="4" w:space="0" w:color="000000"/>
            </w:tcBorders>
            <w:shd w:val="clear" w:color="000000" w:fill="FFFFFF"/>
            <w:vAlign w:val="center"/>
            <w:hideMark/>
          </w:tcPr>
          <w:p w14:paraId="2FC31ED0" w14:textId="71E2DFA5"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Institucionet përgjegjëse</w:t>
            </w:r>
          </w:p>
        </w:tc>
        <w:tc>
          <w:tcPr>
            <w:tcW w:w="0" w:type="auto"/>
            <w:gridSpan w:val="2"/>
            <w:tcBorders>
              <w:top w:val="single" w:sz="8" w:space="0" w:color="auto"/>
              <w:left w:val="nil"/>
              <w:bottom w:val="single" w:sz="4" w:space="0" w:color="auto"/>
              <w:right w:val="single" w:sz="8" w:space="0" w:color="000000"/>
            </w:tcBorders>
            <w:shd w:val="clear" w:color="000000" w:fill="FFFFFF"/>
            <w:vAlign w:val="center"/>
            <w:hideMark/>
          </w:tcPr>
          <w:p w14:paraId="6B81DB5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Afati i Zbatimit </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FC97BC3" w14:textId="2C71500A"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indikative/2026</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F9DE725" w14:textId="4D5C7B16"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indikative/2027</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07B9414C" w14:textId="1F1EDF1D"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indikative/2028</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90AC5B1" w14:textId="15145EAD"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indikative/2029</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D4F0345" w14:textId="6D1FA5FE"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indikative/2030</w:t>
            </w: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3B3D6474" w14:textId="35B2C2B5"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indikative/Totale</w:t>
            </w:r>
          </w:p>
        </w:tc>
        <w:tc>
          <w:tcPr>
            <w:tcW w:w="0" w:type="auto"/>
            <w:gridSpan w:val="10"/>
            <w:tcBorders>
              <w:top w:val="single" w:sz="4" w:space="0" w:color="auto"/>
              <w:left w:val="nil"/>
              <w:bottom w:val="single" w:sz="4" w:space="0" w:color="auto"/>
              <w:right w:val="single" w:sz="4" w:space="0" w:color="000000"/>
            </w:tcBorders>
            <w:shd w:val="clear" w:color="000000" w:fill="FFFFFF"/>
            <w:vAlign w:val="center"/>
            <w:hideMark/>
          </w:tcPr>
          <w:p w14:paraId="3D438FA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Burimi i Financimit</w:t>
            </w:r>
          </w:p>
        </w:tc>
        <w:tc>
          <w:tcPr>
            <w:tcW w:w="0" w:type="auto"/>
            <w:vMerge w:val="restart"/>
            <w:tcBorders>
              <w:top w:val="single" w:sz="4" w:space="0" w:color="auto"/>
              <w:left w:val="single" w:sz="4" w:space="0" w:color="auto"/>
              <w:bottom w:val="single" w:sz="4" w:space="0" w:color="000000"/>
              <w:right w:val="single" w:sz="8" w:space="0" w:color="auto"/>
            </w:tcBorders>
            <w:shd w:val="clear" w:color="000000" w:fill="FFFFFF"/>
            <w:vAlign w:val="center"/>
            <w:hideMark/>
          </w:tcPr>
          <w:p w14:paraId="63EBE25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Hendeku financiar </w:t>
            </w:r>
          </w:p>
        </w:tc>
      </w:tr>
      <w:tr w:rsidR="00F54824" w:rsidRPr="002128A6" w14:paraId="477417C4" w14:textId="77777777" w:rsidTr="005305FA">
        <w:trPr>
          <w:trHeight w:val="20"/>
          <w:jc w:val="center"/>
        </w:trPr>
        <w:tc>
          <w:tcPr>
            <w:tcW w:w="1245" w:type="dxa"/>
            <w:vMerge/>
            <w:tcBorders>
              <w:top w:val="nil"/>
              <w:left w:val="single" w:sz="8" w:space="0" w:color="auto"/>
              <w:bottom w:val="single" w:sz="8" w:space="0" w:color="000000"/>
              <w:right w:val="single" w:sz="4" w:space="0" w:color="auto"/>
            </w:tcBorders>
            <w:vAlign w:val="center"/>
            <w:hideMark/>
          </w:tcPr>
          <w:p w14:paraId="3DC77A2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28A588C0"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717C0723" w14:textId="1A202A08"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Referenca e Rezultatit me produktet e programit buxhetor</w:t>
            </w:r>
            <w:r w:rsidR="00F54824" w:rsidRPr="002128A6">
              <w:rPr>
                <w:rFonts w:ascii="Garamond" w:eastAsia="Times New Roman" w:hAnsi="Garamond" w:cs="Times New Roman"/>
                <w:b/>
                <w:bCs/>
                <w:kern w:val="0"/>
                <w:sz w:val="4"/>
                <w:szCs w:val="8"/>
                <w14:ligatures w14:val="none"/>
              </w:rPr>
              <w:t xml:space="preserve"> </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3E2ABE4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përgjegjës</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08D3821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Institucioni mbështetës</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35327855" w14:textId="613ECB8D"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fillimit</w:t>
            </w:r>
          </w:p>
        </w:tc>
        <w:tc>
          <w:tcPr>
            <w:tcW w:w="0" w:type="auto"/>
            <w:vMerge w:val="restart"/>
            <w:tcBorders>
              <w:top w:val="nil"/>
              <w:left w:val="single" w:sz="4" w:space="0" w:color="auto"/>
              <w:bottom w:val="single" w:sz="8" w:space="0" w:color="000000"/>
              <w:right w:val="single" w:sz="8" w:space="0" w:color="auto"/>
            </w:tcBorders>
            <w:shd w:val="clear" w:color="000000" w:fill="FFFFFF"/>
            <w:vAlign w:val="center"/>
            <w:hideMark/>
          </w:tcPr>
          <w:p w14:paraId="6C3F35C2" w14:textId="75339F27" w:rsidR="00DB1B67" w:rsidRPr="002128A6" w:rsidRDefault="00CD6129"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Afati i mbarimit</w:t>
            </w:r>
          </w:p>
        </w:tc>
        <w:tc>
          <w:tcPr>
            <w:tcW w:w="0" w:type="auto"/>
            <w:gridSpan w:val="3"/>
            <w:vMerge/>
            <w:tcBorders>
              <w:top w:val="nil"/>
              <w:left w:val="single" w:sz="4" w:space="0" w:color="auto"/>
              <w:bottom w:val="single" w:sz="8" w:space="0" w:color="000000"/>
              <w:right w:val="single" w:sz="8" w:space="0" w:color="auto"/>
            </w:tcBorders>
            <w:vAlign w:val="center"/>
            <w:hideMark/>
          </w:tcPr>
          <w:p w14:paraId="4FFE4E5C"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6A10F510"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27965841"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4DC48F9A"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08C5E68F"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vMerge/>
            <w:tcBorders>
              <w:top w:val="nil"/>
              <w:left w:val="single" w:sz="4" w:space="0" w:color="auto"/>
              <w:bottom w:val="single" w:sz="8" w:space="0" w:color="000000"/>
              <w:right w:val="single" w:sz="8" w:space="0" w:color="auto"/>
            </w:tcBorders>
            <w:vAlign w:val="center"/>
            <w:hideMark/>
          </w:tcPr>
          <w:p w14:paraId="2B2AA6BC"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gridSpan w:val="3"/>
            <w:tcBorders>
              <w:top w:val="single" w:sz="4" w:space="0" w:color="auto"/>
              <w:left w:val="nil"/>
              <w:bottom w:val="single" w:sz="4" w:space="0" w:color="auto"/>
              <w:right w:val="single" w:sz="4" w:space="0" w:color="000000"/>
            </w:tcBorders>
            <w:shd w:val="clear" w:color="000000" w:fill="FFFFFF"/>
            <w:vAlign w:val="center"/>
            <w:hideMark/>
          </w:tcPr>
          <w:p w14:paraId="1E4B494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PBA 2026-2028 (në lekë)</w:t>
            </w:r>
          </w:p>
        </w:tc>
        <w:tc>
          <w:tcPr>
            <w:tcW w:w="0" w:type="auto"/>
            <w:gridSpan w:val="3"/>
            <w:tcBorders>
              <w:top w:val="single" w:sz="4" w:space="0" w:color="auto"/>
              <w:left w:val="nil"/>
              <w:bottom w:val="single" w:sz="4" w:space="0" w:color="auto"/>
              <w:right w:val="single" w:sz="4" w:space="0" w:color="000000"/>
            </w:tcBorders>
            <w:shd w:val="clear" w:color="000000" w:fill="FFFFFF"/>
            <w:vAlign w:val="center"/>
            <w:hideMark/>
          </w:tcPr>
          <w:p w14:paraId="4946C72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PBA 2028-2030 (në lekë)</w:t>
            </w:r>
          </w:p>
        </w:tc>
        <w:tc>
          <w:tcPr>
            <w:tcW w:w="0" w:type="auto"/>
            <w:gridSpan w:val="4"/>
            <w:tcBorders>
              <w:top w:val="single" w:sz="4" w:space="0" w:color="auto"/>
              <w:left w:val="nil"/>
              <w:bottom w:val="single" w:sz="4" w:space="0" w:color="auto"/>
              <w:right w:val="single" w:sz="4" w:space="0" w:color="000000"/>
            </w:tcBorders>
            <w:shd w:val="clear" w:color="000000" w:fill="FFFFFF"/>
            <w:vAlign w:val="center"/>
            <w:hideMark/>
          </w:tcPr>
          <w:p w14:paraId="3B527935" w14:textId="22BC635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Financim i Huaj</w:t>
            </w:r>
            <w:r w:rsidR="00F54824" w:rsidRPr="002128A6">
              <w:rPr>
                <w:rFonts w:ascii="Garamond" w:eastAsia="Times New Roman" w:hAnsi="Garamond" w:cs="Times New Roman"/>
                <w:b/>
                <w:bCs/>
                <w:kern w:val="0"/>
                <w:sz w:val="4"/>
                <w:szCs w:val="8"/>
                <w14:ligatures w14:val="none"/>
              </w:rPr>
              <w:t xml:space="preserve"> </w:t>
            </w:r>
            <w:r w:rsidRPr="002128A6">
              <w:rPr>
                <w:rFonts w:ascii="Garamond" w:eastAsia="Times New Roman" w:hAnsi="Garamond" w:cs="Times New Roman"/>
                <w:b/>
                <w:bCs/>
                <w:kern w:val="0"/>
                <w:sz w:val="4"/>
                <w:szCs w:val="8"/>
                <w14:ligatures w14:val="none"/>
              </w:rPr>
              <w:t>(në</w:t>
            </w:r>
            <w:r w:rsidR="00F54824" w:rsidRPr="002128A6">
              <w:rPr>
                <w:rFonts w:ascii="Garamond" w:eastAsia="Times New Roman" w:hAnsi="Garamond" w:cs="Times New Roman"/>
                <w:b/>
                <w:bCs/>
                <w:kern w:val="0"/>
                <w:sz w:val="4"/>
                <w:szCs w:val="8"/>
                <w14:ligatures w14:val="none"/>
              </w:rPr>
              <w:t xml:space="preserve"> </w:t>
            </w:r>
            <w:r w:rsidRPr="002128A6">
              <w:rPr>
                <w:rFonts w:ascii="Garamond" w:eastAsia="Times New Roman" w:hAnsi="Garamond" w:cs="Times New Roman"/>
                <w:b/>
                <w:bCs/>
                <w:kern w:val="0"/>
                <w:sz w:val="4"/>
                <w:szCs w:val="8"/>
                <w14:ligatures w14:val="none"/>
              </w:rPr>
              <w:t>lekë)</w:t>
            </w:r>
          </w:p>
        </w:tc>
        <w:tc>
          <w:tcPr>
            <w:tcW w:w="0" w:type="auto"/>
            <w:vMerge/>
            <w:tcBorders>
              <w:top w:val="single" w:sz="4" w:space="0" w:color="auto"/>
              <w:left w:val="single" w:sz="4" w:space="0" w:color="auto"/>
              <w:bottom w:val="single" w:sz="4" w:space="0" w:color="000000"/>
              <w:right w:val="single" w:sz="8" w:space="0" w:color="auto"/>
            </w:tcBorders>
            <w:vAlign w:val="center"/>
            <w:hideMark/>
          </w:tcPr>
          <w:p w14:paraId="6600CAE1"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r>
      <w:tr w:rsidR="00F54824" w:rsidRPr="002128A6" w14:paraId="7448A525" w14:textId="77777777" w:rsidTr="005305FA">
        <w:trPr>
          <w:trHeight w:val="20"/>
          <w:jc w:val="center"/>
        </w:trPr>
        <w:tc>
          <w:tcPr>
            <w:tcW w:w="1245" w:type="dxa"/>
            <w:vMerge/>
            <w:tcBorders>
              <w:top w:val="nil"/>
              <w:left w:val="single" w:sz="8" w:space="0" w:color="auto"/>
              <w:bottom w:val="single" w:sz="8" w:space="0" w:color="000000"/>
              <w:right w:val="single" w:sz="4" w:space="0" w:color="auto"/>
            </w:tcBorders>
            <w:vAlign w:val="center"/>
            <w:hideMark/>
          </w:tcPr>
          <w:p w14:paraId="38F8D945"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3DB3EF6D"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3AF50DC0"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661D60D4"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10189C4E"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4" w:space="0" w:color="auto"/>
            </w:tcBorders>
            <w:vAlign w:val="center"/>
            <w:hideMark/>
          </w:tcPr>
          <w:p w14:paraId="1B311668"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vMerge/>
            <w:tcBorders>
              <w:top w:val="nil"/>
              <w:left w:val="single" w:sz="4" w:space="0" w:color="auto"/>
              <w:bottom w:val="single" w:sz="8" w:space="0" w:color="000000"/>
              <w:right w:val="single" w:sz="8" w:space="0" w:color="auto"/>
            </w:tcBorders>
            <w:vAlign w:val="center"/>
            <w:hideMark/>
          </w:tcPr>
          <w:p w14:paraId="453564DB"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C6AED91" w14:textId="07EF64F2"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1D289C8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3A08EFF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03EB5857" w14:textId="56FC8E9B"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76A8A12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3E3B1AB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7C7C3471" w14:textId="098E7435"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43F4D71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22EBCFD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4B914013" w14:textId="3AD69B99"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1E53F1F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157775F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22F64726" w14:textId="0C9DF58B"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5D14474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6DFF841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nil"/>
              <w:bottom w:val="single" w:sz="4" w:space="0" w:color="auto"/>
              <w:right w:val="single" w:sz="4" w:space="0" w:color="auto"/>
            </w:tcBorders>
            <w:shd w:val="clear" w:color="000000" w:fill="FFFFFF"/>
            <w:vAlign w:val="center"/>
            <w:hideMark/>
          </w:tcPr>
          <w:p w14:paraId="7E7C99D6" w14:textId="4017383A"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0D269B4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nil"/>
            </w:tcBorders>
            <w:shd w:val="clear" w:color="000000" w:fill="FFFFFF"/>
            <w:vAlign w:val="center"/>
            <w:hideMark/>
          </w:tcPr>
          <w:p w14:paraId="1D1EF7D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Kosto</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16A3CF" w14:textId="61544A5C"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2797189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6A970AE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BSH</w:t>
            </w:r>
          </w:p>
        </w:tc>
        <w:tc>
          <w:tcPr>
            <w:tcW w:w="0" w:type="auto"/>
            <w:tcBorders>
              <w:top w:val="nil"/>
              <w:left w:val="nil"/>
              <w:bottom w:val="single" w:sz="4" w:space="0" w:color="auto"/>
              <w:right w:val="single" w:sz="4" w:space="0" w:color="auto"/>
            </w:tcBorders>
            <w:shd w:val="clear" w:color="000000" w:fill="FFFFFF"/>
            <w:vAlign w:val="center"/>
            <w:hideMark/>
          </w:tcPr>
          <w:p w14:paraId="3F8A4D02" w14:textId="477222B9"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37B920B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5427ED6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BSH</w:t>
            </w:r>
          </w:p>
        </w:tc>
        <w:tc>
          <w:tcPr>
            <w:tcW w:w="0" w:type="auto"/>
            <w:tcBorders>
              <w:top w:val="nil"/>
              <w:left w:val="nil"/>
              <w:bottom w:val="single" w:sz="4" w:space="0" w:color="auto"/>
              <w:right w:val="single" w:sz="4" w:space="0" w:color="auto"/>
            </w:tcBorders>
            <w:shd w:val="clear" w:color="000000" w:fill="FFFFFF"/>
            <w:vAlign w:val="center"/>
            <w:hideMark/>
          </w:tcPr>
          <w:p w14:paraId="1ACB9716" w14:textId="378B8016" w:rsidR="00DB1B67" w:rsidRPr="002128A6" w:rsidRDefault="00B76863"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Korrente</w:t>
            </w:r>
          </w:p>
        </w:tc>
        <w:tc>
          <w:tcPr>
            <w:tcW w:w="0" w:type="auto"/>
            <w:tcBorders>
              <w:top w:val="nil"/>
              <w:left w:val="nil"/>
              <w:bottom w:val="single" w:sz="4" w:space="0" w:color="auto"/>
              <w:right w:val="single" w:sz="4" w:space="0" w:color="auto"/>
            </w:tcBorders>
            <w:shd w:val="clear" w:color="000000" w:fill="FFFFFF"/>
            <w:vAlign w:val="center"/>
            <w:hideMark/>
          </w:tcPr>
          <w:p w14:paraId="0F6FD47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Kapitale</w:t>
            </w:r>
          </w:p>
        </w:tc>
        <w:tc>
          <w:tcPr>
            <w:tcW w:w="0" w:type="auto"/>
            <w:tcBorders>
              <w:top w:val="nil"/>
              <w:left w:val="nil"/>
              <w:bottom w:val="single" w:sz="4" w:space="0" w:color="auto"/>
              <w:right w:val="single" w:sz="4" w:space="0" w:color="auto"/>
            </w:tcBorders>
            <w:shd w:val="clear" w:color="000000" w:fill="FFFFFF"/>
            <w:vAlign w:val="center"/>
            <w:hideMark/>
          </w:tcPr>
          <w:p w14:paraId="5037099C"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xml:space="preserve">Emri donatorit/Titullin e projektit </w:t>
            </w:r>
          </w:p>
        </w:tc>
        <w:tc>
          <w:tcPr>
            <w:tcW w:w="0" w:type="auto"/>
            <w:tcBorders>
              <w:top w:val="nil"/>
              <w:left w:val="nil"/>
              <w:bottom w:val="single" w:sz="4" w:space="0" w:color="auto"/>
              <w:right w:val="single" w:sz="4" w:space="0" w:color="auto"/>
            </w:tcBorders>
            <w:shd w:val="clear" w:color="000000" w:fill="FFFFFF"/>
            <w:vAlign w:val="center"/>
            <w:hideMark/>
          </w:tcPr>
          <w:p w14:paraId="6A7895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Total Financim i Huaj</w:t>
            </w:r>
          </w:p>
        </w:tc>
        <w:tc>
          <w:tcPr>
            <w:tcW w:w="0" w:type="auto"/>
            <w:vMerge/>
            <w:tcBorders>
              <w:top w:val="single" w:sz="4" w:space="0" w:color="auto"/>
              <w:left w:val="single" w:sz="4" w:space="0" w:color="auto"/>
              <w:bottom w:val="single" w:sz="4" w:space="0" w:color="000000"/>
              <w:right w:val="single" w:sz="8" w:space="0" w:color="auto"/>
            </w:tcBorders>
            <w:vAlign w:val="center"/>
            <w:hideMark/>
          </w:tcPr>
          <w:p w14:paraId="2F192FB9"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p>
        </w:tc>
      </w:tr>
      <w:tr w:rsidR="00F54824" w:rsidRPr="002128A6" w14:paraId="1A7A0478" w14:textId="77777777" w:rsidTr="005305FA">
        <w:trPr>
          <w:trHeight w:val="20"/>
          <w:jc w:val="center"/>
        </w:trPr>
        <w:tc>
          <w:tcPr>
            <w:tcW w:w="1245" w:type="dxa"/>
            <w:tcBorders>
              <w:top w:val="single" w:sz="4" w:space="0" w:color="auto"/>
              <w:left w:val="single" w:sz="8" w:space="0" w:color="auto"/>
              <w:bottom w:val="single" w:sz="4" w:space="0" w:color="auto"/>
              <w:right w:val="single" w:sz="4" w:space="0" w:color="auto"/>
            </w:tcBorders>
            <w:shd w:val="clear" w:color="000000" w:fill="FCE4D6"/>
            <w:vAlign w:val="center"/>
            <w:hideMark/>
          </w:tcPr>
          <w:p w14:paraId="391CD1C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w:t>
            </w:r>
          </w:p>
        </w:tc>
        <w:tc>
          <w:tcPr>
            <w:tcW w:w="0" w:type="auto"/>
            <w:tcBorders>
              <w:top w:val="single" w:sz="4" w:space="0" w:color="auto"/>
              <w:left w:val="nil"/>
              <w:bottom w:val="single" w:sz="4" w:space="0" w:color="auto"/>
              <w:right w:val="nil"/>
            </w:tcBorders>
            <w:shd w:val="clear" w:color="000000" w:fill="FCE4D6"/>
            <w:vAlign w:val="center"/>
            <w:hideMark/>
          </w:tcPr>
          <w:p w14:paraId="21A7D725"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Forcimi i bashkëpunimit policor ndërkombëtar përmes rritjes së shkëmbimit të informacionit, operacioneve të përbashkëta, dhe ndërprerjes ndërkufitare të krimit të organizuar</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EF56DD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883FB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A59AC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D33EB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BD00CB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7844C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97E69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99C0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2705F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C0A3AE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F81B8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E9D91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DEE98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56C70F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C36A3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72C25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3B3B0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F85DAD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D2A20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41AD0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3C768C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40AC2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BE2001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82A0C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203A6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F6DA1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BDDEB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B9555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AEBC2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18955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C9152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E0D62B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2915A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3D3AF94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r>
      <w:tr w:rsidR="00F54824" w:rsidRPr="002128A6" w14:paraId="480F541C"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5E0A1A0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3.1.1</w:t>
            </w:r>
          </w:p>
        </w:tc>
        <w:tc>
          <w:tcPr>
            <w:tcW w:w="0" w:type="auto"/>
            <w:tcBorders>
              <w:top w:val="nil"/>
              <w:left w:val="nil"/>
              <w:bottom w:val="single" w:sz="4" w:space="0" w:color="auto"/>
              <w:right w:val="single" w:sz="4" w:space="0" w:color="auto"/>
            </w:tcBorders>
            <w:shd w:val="clear" w:color="000000" w:fill="FFFFFF"/>
            <w:vAlign w:val="center"/>
            <w:hideMark/>
          </w:tcPr>
          <w:p w14:paraId="44961906"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shkëmbimit të informacionit me agjencitë ligjzbatuese të rajonit dhe më gjerë, përmes kanaleve tradicionale të bashkëpunimit, si dhe duke integruar Drejtorinë e Rikuperimit të Aseteve (DRA) në shkëmbimin operacional të informacionit, me qëllim forcimin e luftës kundër krimit të organizuar dhe përmirësimin e identifikimit, gjurmimit, sekuestrimit të aseteve që rrjedhin nga krimi.</w:t>
            </w:r>
          </w:p>
        </w:tc>
        <w:tc>
          <w:tcPr>
            <w:tcW w:w="0" w:type="auto"/>
            <w:tcBorders>
              <w:top w:val="nil"/>
              <w:left w:val="nil"/>
              <w:bottom w:val="single" w:sz="4" w:space="0" w:color="auto"/>
              <w:right w:val="single" w:sz="4" w:space="0" w:color="auto"/>
            </w:tcBorders>
            <w:shd w:val="clear" w:color="000000" w:fill="FFFFFF"/>
            <w:vAlign w:val="center"/>
            <w:hideMark/>
          </w:tcPr>
          <w:p w14:paraId="4D4ACCC7" w14:textId="29DBA36F" w:rsidR="00DB1B67" w:rsidRPr="002128A6" w:rsidRDefault="00F54824"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w:t>
            </w:r>
            <w:r w:rsidR="00DB1B67" w:rsidRPr="002128A6">
              <w:rPr>
                <w:rFonts w:ascii="Garamond" w:eastAsia="Times New Roman" w:hAnsi="Garamond" w:cs="Times New Roman"/>
                <w:kern w:val="0"/>
                <w:sz w:val="4"/>
                <w:szCs w:val="8"/>
                <w14:ligatures w14:val="none"/>
              </w:rPr>
              <w:t>91604AB</w:t>
            </w:r>
            <w:r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499EC0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6A53FE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Shërbimi Informativ i Shtetit; 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3363D66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824B03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28816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112,000,000</w:t>
            </w:r>
          </w:p>
        </w:tc>
        <w:tc>
          <w:tcPr>
            <w:tcW w:w="0" w:type="auto"/>
            <w:tcBorders>
              <w:top w:val="nil"/>
              <w:left w:val="nil"/>
              <w:bottom w:val="single" w:sz="4" w:space="0" w:color="auto"/>
              <w:right w:val="single" w:sz="4" w:space="0" w:color="auto"/>
            </w:tcBorders>
            <w:shd w:val="clear" w:color="000000" w:fill="FFFFFF"/>
            <w:vAlign w:val="center"/>
            <w:hideMark/>
          </w:tcPr>
          <w:p w14:paraId="49E454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793E4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112,000,000</w:t>
            </w:r>
          </w:p>
        </w:tc>
        <w:tc>
          <w:tcPr>
            <w:tcW w:w="0" w:type="auto"/>
            <w:tcBorders>
              <w:top w:val="nil"/>
              <w:left w:val="nil"/>
              <w:bottom w:val="single" w:sz="4" w:space="0" w:color="auto"/>
              <w:right w:val="single" w:sz="4" w:space="0" w:color="auto"/>
            </w:tcBorders>
            <w:shd w:val="clear" w:color="000000" w:fill="FFFFFF"/>
            <w:vAlign w:val="center"/>
            <w:hideMark/>
          </w:tcPr>
          <w:p w14:paraId="5FA936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112,000,000</w:t>
            </w:r>
          </w:p>
        </w:tc>
        <w:tc>
          <w:tcPr>
            <w:tcW w:w="0" w:type="auto"/>
            <w:tcBorders>
              <w:top w:val="nil"/>
              <w:left w:val="nil"/>
              <w:bottom w:val="single" w:sz="4" w:space="0" w:color="auto"/>
              <w:right w:val="single" w:sz="4" w:space="0" w:color="auto"/>
            </w:tcBorders>
            <w:shd w:val="clear" w:color="000000" w:fill="FFFFFF"/>
            <w:vAlign w:val="center"/>
            <w:hideMark/>
          </w:tcPr>
          <w:p w14:paraId="79A873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E702A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112,000,000</w:t>
            </w:r>
          </w:p>
        </w:tc>
        <w:tc>
          <w:tcPr>
            <w:tcW w:w="0" w:type="auto"/>
            <w:tcBorders>
              <w:top w:val="nil"/>
              <w:left w:val="nil"/>
              <w:bottom w:val="single" w:sz="4" w:space="0" w:color="auto"/>
              <w:right w:val="single" w:sz="4" w:space="0" w:color="auto"/>
            </w:tcBorders>
            <w:shd w:val="clear" w:color="000000" w:fill="FFFFFF"/>
            <w:vAlign w:val="center"/>
            <w:hideMark/>
          </w:tcPr>
          <w:p w14:paraId="40103B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112,000,000</w:t>
            </w:r>
          </w:p>
        </w:tc>
        <w:tc>
          <w:tcPr>
            <w:tcW w:w="0" w:type="auto"/>
            <w:tcBorders>
              <w:top w:val="nil"/>
              <w:left w:val="nil"/>
              <w:bottom w:val="single" w:sz="4" w:space="0" w:color="auto"/>
              <w:right w:val="single" w:sz="4" w:space="0" w:color="auto"/>
            </w:tcBorders>
            <w:shd w:val="clear" w:color="000000" w:fill="FFFFFF"/>
            <w:vAlign w:val="center"/>
            <w:hideMark/>
          </w:tcPr>
          <w:p w14:paraId="49BDD3B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27059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112,000,000</w:t>
            </w:r>
          </w:p>
        </w:tc>
        <w:tc>
          <w:tcPr>
            <w:tcW w:w="0" w:type="auto"/>
            <w:tcBorders>
              <w:top w:val="nil"/>
              <w:left w:val="nil"/>
              <w:bottom w:val="single" w:sz="4" w:space="0" w:color="auto"/>
              <w:right w:val="single" w:sz="4" w:space="0" w:color="auto"/>
            </w:tcBorders>
            <w:shd w:val="clear" w:color="000000" w:fill="FFFFFF"/>
            <w:vAlign w:val="center"/>
            <w:hideMark/>
          </w:tcPr>
          <w:p w14:paraId="7B2139F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4B9E2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A36B2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710E9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4A2AE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B5C84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47D59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336,000,000</w:t>
            </w:r>
          </w:p>
        </w:tc>
        <w:tc>
          <w:tcPr>
            <w:tcW w:w="0" w:type="auto"/>
            <w:tcBorders>
              <w:top w:val="nil"/>
              <w:left w:val="nil"/>
              <w:bottom w:val="single" w:sz="4" w:space="0" w:color="auto"/>
              <w:right w:val="single" w:sz="4" w:space="0" w:color="auto"/>
            </w:tcBorders>
            <w:shd w:val="clear" w:color="000000" w:fill="FFFFFF"/>
            <w:vAlign w:val="center"/>
            <w:hideMark/>
          </w:tcPr>
          <w:p w14:paraId="69DAE0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CDE6B6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336,000,000</w:t>
            </w:r>
          </w:p>
        </w:tc>
        <w:tc>
          <w:tcPr>
            <w:tcW w:w="0" w:type="auto"/>
            <w:tcBorders>
              <w:top w:val="nil"/>
              <w:left w:val="nil"/>
              <w:bottom w:val="single" w:sz="4" w:space="0" w:color="auto"/>
              <w:right w:val="single" w:sz="4" w:space="0" w:color="auto"/>
            </w:tcBorders>
            <w:shd w:val="clear" w:color="000000" w:fill="FFFFFF"/>
            <w:noWrap/>
            <w:vAlign w:val="center"/>
            <w:hideMark/>
          </w:tcPr>
          <w:p w14:paraId="4BCB7F4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336,000,000</w:t>
            </w:r>
          </w:p>
        </w:tc>
        <w:tc>
          <w:tcPr>
            <w:tcW w:w="0" w:type="auto"/>
            <w:tcBorders>
              <w:top w:val="nil"/>
              <w:left w:val="nil"/>
              <w:bottom w:val="single" w:sz="4" w:space="0" w:color="auto"/>
              <w:right w:val="single" w:sz="4" w:space="0" w:color="auto"/>
            </w:tcBorders>
            <w:shd w:val="clear" w:color="000000" w:fill="FFFFFF"/>
            <w:noWrap/>
            <w:vAlign w:val="center"/>
            <w:hideMark/>
          </w:tcPr>
          <w:p w14:paraId="58DD87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A41D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336,000,000</w:t>
            </w:r>
          </w:p>
        </w:tc>
        <w:tc>
          <w:tcPr>
            <w:tcW w:w="0" w:type="auto"/>
            <w:tcBorders>
              <w:top w:val="nil"/>
              <w:left w:val="nil"/>
              <w:bottom w:val="single" w:sz="4" w:space="0" w:color="auto"/>
              <w:right w:val="single" w:sz="4" w:space="0" w:color="auto"/>
            </w:tcBorders>
            <w:shd w:val="clear" w:color="000000" w:fill="FFFFFF"/>
            <w:noWrap/>
            <w:vAlign w:val="center"/>
            <w:hideMark/>
          </w:tcPr>
          <w:p w14:paraId="441650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71375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A2207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6C50A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01E14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D06F13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E6080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73C1C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92E056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0883DB3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3.1.2</w:t>
            </w:r>
          </w:p>
        </w:tc>
        <w:tc>
          <w:tcPr>
            <w:tcW w:w="0" w:type="auto"/>
            <w:tcBorders>
              <w:top w:val="nil"/>
              <w:left w:val="nil"/>
              <w:bottom w:val="single" w:sz="4" w:space="0" w:color="auto"/>
              <w:right w:val="single" w:sz="4" w:space="0" w:color="auto"/>
            </w:tcBorders>
            <w:shd w:val="clear" w:color="000000" w:fill="FFFFFF"/>
            <w:vAlign w:val="center"/>
            <w:hideMark/>
          </w:tcPr>
          <w:p w14:paraId="457E27B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bashkëpunimit me partnerët ndërkombëtarë në hetimin e krimit të organizuar dhe goditjen e grupeve kriminale, përmes modernizimit të shkëmbimit të informacionit dhe nisjes së hetimeve të hershme financiare, përfshirë duke mbështetur identifikimin e aktiviteteve kriminale ndërkufitare dhe sigurimin e platformave dhe kanaleve të sigurta për shkëmbimin e informacionit në kohë reale, duke synuar përdorimin e pikave të kontaktit sektorial, me qëllim forcimin e përdorimit të pikave të kontaktit sektorial dhe përmirësimin e shpejtësisë dhe cilësisë së bashkëpunimit operacional.</w:t>
            </w:r>
          </w:p>
        </w:tc>
        <w:tc>
          <w:tcPr>
            <w:tcW w:w="0" w:type="auto"/>
            <w:tcBorders>
              <w:top w:val="nil"/>
              <w:left w:val="nil"/>
              <w:bottom w:val="single" w:sz="4" w:space="0" w:color="auto"/>
              <w:right w:val="single" w:sz="4" w:space="0" w:color="auto"/>
            </w:tcBorders>
            <w:shd w:val="clear" w:color="000000" w:fill="FFFFFF"/>
            <w:vAlign w:val="center"/>
            <w:hideMark/>
          </w:tcPr>
          <w:p w14:paraId="13C5B986" w14:textId="770F4305" w:rsidR="00DB1B67" w:rsidRPr="002128A6" w:rsidRDefault="00F54824"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w:t>
            </w:r>
            <w:r w:rsidR="00DB1B67" w:rsidRPr="002128A6">
              <w:rPr>
                <w:rFonts w:ascii="Garamond" w:eastAsia="Times New Roman" w:hAnsi="Garamond" w:cs="Times New Roman"/>
                <w:kern w:val="0"/>
                <w:sz w:val="4"/>
                <w:szCs w:val="8"/>
                <w14:ligatures w14:val="none"/>
              </w:rPr>
              <w:t>91604AD</w:t>
            </w:r>
            <w:r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236B05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5BC66A7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Byroja Kombëtare e Hetimit</w:t>
            </w:r>
          </w:p>
        </w:tc>
        <w:tc>
          <w:tcPr>
            <w:tcW w:w="0" w:type="auto"/>
            <w:tcBorders>
              <w:top w:val="nil"/>
              <w:left w:val="nil"/>
              <w:bottom w:val="single" w:sz="4" w:space="0" w:color="auto"/>
              <w:right w:val="single" w:sz="4" w:space="0" w:color="auto"/>
            </w:tcBorders>
            <w:shd w:val="clear" w:color="000000" w:fill="FFFFFF"/>
            <w:vAlign w:val="center"/>
            <w:hideMark/>
          </w:tcPr>
          <w:p w14:paraId="65EF00D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CFF248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0327FC6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300B7E5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3FBD2C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2ED161E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31A687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CB5BBD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42F3E93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2245DE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D78D5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4FA500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7FFC2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D093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1BA38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0221EE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808B5F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138F4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63,989,436</w:t>
            </w:r>
          </w:p>
        </w:tc>
        <w:tc>
          <w:tcPr>
            <w:tcW w:w="0" w:type="auto"/>
            <w:tcBorders>
              <w:top w:val="nil"/>
              <w:left w:val="nil"/>
              <w:bottom w:val="single" w:sz="4" w:space="0" w:color="auto"/>
              <w:right w:val="single" w:sz="4" w:space="0" w:color="auto"/>
            </w:tcBorders>
            <w:shd w:val="clear" w:color="000000" w:fill="FFFFFF"/>
            <w:vAlign w:val="center"/>
            <w:hideMark/>
          </w:tcPr>
          <w:p w14:paraId="71193D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0595F0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63,989,436</w:t>
            </w:r>
          </w:p>
        </w:tc>
        <w:tc>
          <w:tcPr>
            <w:tcW w:w="0" w:type="auto"/>
            <w:tcBorders>
              <w:top w:val="nil"/>
              <w:left w:val="nil"/>
              <w:bottom w:val="single" w:sz="4" w:space="0" w:color="auto"/>
              <w:right w:val="single" w:sz="4" w:space="0" w:color="auto"/>
            </w:tcBorders>
            <w:shd w:val="clear" w:color="000000" w:fill="FFFFFF"/>
            <w:noWrap/>
            <w:vAlign w:val="center"/>
            <w:hideMark/>
          </w:tcPr>
          <w:p w14:paraId="2FA0197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63,989,436</w:t>
            </w:r>
          </w:p>
        </w:tc>
        <w:tc>
          <w:tcPr>
            <w:tcW w:w="0" w:type="auto"/>
            <w:tcBorders>
              <w:top w:val="nil"/>
              <w:left w:val="nil"/>
              <w:bottom w:val="single" w:sz="4" w:space="0" w:color="auto"/>
              <w:right w:val="single" w:sz="4" w:space="0" w:color="auto"/>
            </w:tcBorders>
            <w:shd w:val="clear" w:color="000000" w:fill="FFFFFF"/>
            <w:noWrap/>
            <w:vAlign w:val="center"/>
            <w:hideMark/>
          </w:tcPr>
          <w:p w14:paraId="2BFDB6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4C8F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63,989,436</w:t>
            </w:r>
          </w:p>
        </w:tc>
        <w:tc>
          <w:tcPr>
            <w:tcW w:w="0" w:type="auto"/>
            <w:tcBorders>
              <w:top w:val="nil"/>
              <w:left w:val="nil"/>
              <w:bottom w:val="single" w:sz="4" w:space="0" w:color="auto"/>
              <w:right w:val="single" w:sz="4" w:space="0" w:color="auto"/>
            </w:tcBorders>
            <w:shd w:val="clear" w:color="000000" w:fill="FFFFFF"/>
            <w:noWrap/>
            <w:vAlign w:val="center"/>
            <w:hideMark/>
          </w:tcPr>
          <w:p w14:paraId="773380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E51B0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94B82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0D5E0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1005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9B68148"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98A934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6440E8C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DDFBF87"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CFB7DE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3.1.3</w:t>
            </w:r>
          </w:p>
        </w:tc>
        <w:tc>
          <w:tcPr>
            <w:tcW w:w="0" w:type="auto"/>
            <w:tcBorders>
              <w:top w:val="nil"/>
              <w:left w:val="nil"/>
              <w:bottom w:val="single" w:sz="4" w:space="0" w:color="auto"/>
              <w:right w:val="single" w:sz="4" w:space="0" w:color="auto"/>
            </w:tcBorders>
            <w:shd w:val="clear" w:color="000000" w:fill="FFFFFF"/>
            <w:vAlign w:val="center"/>
            <w:hideMark/>
          </w:tcPr>
          <w:p w14:paraId="171A6A4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Pjesëmarrja aktive në EUROPOL, INTERPOL dhe platformat rajonale të bashkëpunimit, edhe përmes angazhimit të rregullt në takimet operacionale dhe nismat analitike, shkëmbimit në kohë të informacionit dhe ndjekjes sistematike të kërkesave, me qëllim forcimin e bashkëpunimit ndërkufitar dhe përgjigjeve të koordinuara ndaj krimit të organizuar dhe kërcënimeve të krimit të rëndë.</w:t>
            </w:r>
          </w:p>
        </w:tc>
        <w:tc>
          <w:tcPr>
            <w:tcW w:w="0" w:type="auto"/>
            <w:tcBorders>
              <w:top w:val="nil"/>
              <w:left w:val="nil"/>
              <w:bottom w:val="single" w:sz="4" w:space="0" w:color="auto"/>
              <w:right w:val="single" w:sz="4" w:space="0" w:color="auto"/>
            </w:tcBorders>
            <w:shd w:val="clear" w:color="000000" w:fill="FFFFFF"/>
            <w:vAlign w:val="center"/>
            <w:hideMark/>
          </w:tcPr>
          <w:p w14:paraId="6B6AF6D5" w14:textId="62117F3B" w:rsidR="00DB1B67" w:rsidRPr="002128A6" w:rsidRDefault="00F54824"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w:t>
            </w:r>
            <w:r w:rsidR="00DB1B67" w:rsidRPr="002128A6">
              <w:rPr>
                <w:rFonts w:ascii="Garamond" w:eastAsia="Times New Roman" w:hAnsi="Garamond" w:cs="Times New Roman"/>
                <w:kern w:val="0"/>
                <w:sz w:val="4"/>
                <w:szCs w:val="8"/>
                <w14:ligatures w14:val="none"/>
              </w:rPr>
              <w:t>91604AA</w:t>
            </w:r>
            <w:r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018C44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7D2F13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20A9D3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3C3D217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039A2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0E23B0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A323C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444E7E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125BDE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6ACE5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417BA2B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3F1D69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664F70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4A6532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273D7E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D28F3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270A65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54D9578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FFB5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11,243,263</w:t>
            </w:r>
          </w:p>
        </w:tc>
        <w:tc>
          <w:tcPr>
            <w:tcW w:w="0" w:type="auto"/>
            <w:tcBorders>
              <w:top w:val="nil"/>
              <w:left w:val="nil"/>
              <w:bottom w:val="single" w:sz="4" w:space="0" w:color="auto"/>
              <w:right w:val="single" w:sz="4" w:space="0" w:color="auto"/>
            </w:tcBorders>
            <w:shd w:val="clear" w:color="000000" w:fill="FFFFFF"/>
            <w:vAlign w:val="center"/>
            <w:hideMark/>
          </w:tcPr>
          <w:p w14:paraId="5CE2D9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56,216,315</w:t>
            </w:r>
          </w:p>
        </w:tc>
        <w:tc>
          <w:tcPr>
            <w:tcW w:w="0" w:type="auto"/>
            <w:tcBorders>
              <w:top w:val="nil"/>
              <w:left w:val="nil"/>
              <w:bottom w:val="single" w:sz="4" w:space="0" w:color="auto"/>
              <w:right w:val="single" w:sz="4" w:space="0" w:color="auto"/>
            </w:tcBorders>
            <w:shd w:val="clear" w:color="000000" w:fill="FFFFFF"/>
            <w:vAlign w:val="center"/>
            <w:hideMark/>
          </w:tcPr>
          <w:p w14:paraId="05AE851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335BA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56,216,315</w:t>
            </w:r>
          </w:p>
        </w:tc>
        <w:tc>
          <w:tcPr>
            <w:tcW w:w="0" w:type="auto"/>
            <w:tcBorders>
              <w:top w:val="nil"/>
              <w:left w:val="nil"/>
              <w:bottom w:val="single" w:sz="4" w:space="0" w:color="auto"/>
              <w:right w:val="single" w:sz="4" w:space="0" w:color="auto"/>
            </w:tcBorders>
            <w:shd w:val="clear" w:color="000000" w:fill="FFFFFF"/>
            <w:noWrap/>
            <w:vAlign w:val="center"/>
            <w:hideMark/>
          </w:tcPr>
          <w:p w14:paraId="0F35EC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33,729,789</w:t>
            </w:r>
          </w:p>
        </w:tc>
        <w:tc>
          <w:tcPr>
            <w:tcW w:w="0" w:type="auto"/>
            <w:tcBorders>
              <w:top w:val="nil"/>
              <w:left w:val="nil"/>
              <w:bottom w:val="single" w:sz="4" w:space="0" w:color="auto"/>
              <w:right w:val="single" w:sz="4" w:space="0" w:color="auto"/>
            </w:tcBorders>
            <w:shd w:val="clear" w:color="000000" w:fill="FFFFFF"/>
            <w:noWrap/>
            <w:vAlign w:val="center"/>
            <w:hideMark/>
          </w:tcPr>
          <w:p w14:paraId="22CD5B3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B3120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33,729,789</w:t>
            </w:r>
          </w:p>
        </w:tc>
        <w:tc>
          <w:tcPr>
            <w:tcW w:w="0" w:type="auto"/>
            <w:tcBorders>
              <w:top w:val="nil"/>
              <w:left w:val="nil"/>
              <w:bottom w:val="single" w:sz="4" w:space="0" w:color="auto"/>
              <w:right w:val="single" w:sz="4" w:space="0" w:color="auto"/>
            </w:tcBorders>
            <w:shd w:val="clear" w:color="000000" w:fill="FFFFFF"/>
            <w:noWrap/>
            <w:vAlign w:val="center"/>
            <w:hideMark/>
          </w:tcPr>
          <w:p w14:paraId="66C802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22,486,526</w:t>
            </w:r>
          </w:p>
        </w:tc>
        <w:tc>
          <w:tcPr>
            <w:tcW w:w="0" w:type="auto"/>
            <w:tcBorders>
              <w:top w:val="nil"/>
              <w:left w:val="nil"/>
              <w:bottom w:val="single" w:sz="4" w:space="0" w:color="auto"/>
              <w:right w:val="single" w:sz="4" w:space="0" w:color="auto"/>
            </w:tcBorders>
            <w:shd w:val="clear" w:color="000000" w:fill="FFFFFF"/>
            <w:noWrap/>
            <w:vAlign w:val="center"/>
            <w:hideMark/>
          </w:tcPr>
          <w:p w14:paraId="2208646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7004DA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22,486,526</w:t>
            </w:r>
          </w:p>
        </w:tc>
        <w:tc>
          <w:tcPr>
            <w:tcW w:w="0" w:type="auto"/>
            <w:tcBorders>
              <w:top w:val="nil"/>
              <w:left w:val="nil"/>
              <w:bottom w:val="single" w:sz="4" w:space="0" w:color="auto"/>
              <w:right w:val="single" w:sz="4" w:space="0" w:color="auto"/>
            </w:tcBorders>
            <w:shd w:val="clear" w:color="000000" w:fill="FFFFFF"/>
            <w:vAlign w:val="center"/>
            <w:hideMark/>
          </w:tcPr>
          <w:p w14:paraId="21B107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F8C77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ADD268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11CCDB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090C74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1332EA6"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25FA5D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3.1.4</w:t>
            </w:r>
          </w:p>
        </w:tc>
        <w:tc>
          <w:tcPr>
            <w:tcW w:w="0" w:type="auto"/>
            <w:tcBorders>
              <w:top w:val="nil"/>
              <w:left w:val="nil"/>
              <w:bottom w:val="single" w:sz="4" w:space="0" w:color="auto"/>
              <w:right w:val="single" w:sz="4" w:space="0" w:color="auto"/>
            </w:tcBorders>
            <w:shd w:val="clear" w:color="000000" w:fill="FFFFFF"/>
            <w:vAlign w:val="center"/>
            <w:hideMark/>
          </w:tcPr>
          <w:p w14:paraId="10EEE463" w14:textId="50EDB8FE"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 numrit të operacioneve policore të përbashkëta kundër krimit të organizuar, përfshirë duke formuar skuadra të përbashkëta hetimore, sipas rastit, me vendet partnere, për hetime specifike, përdorimin e</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platformave dhe kanaleve të sigurta për shkëmbimin e informacionit, duke u dhënë akses edhe strukturave hetimore; si dhe pjesëmarrja në të gjitha nismat operacionale të INTERPOL dhe EUROPOL, me qëllim përmirësimin e zhvillimit të çështjeve ndërkufitare, veprimeve të koordinuara të zbatimit dhe goditjes së rrjeteve kriminale.</w:t>
            </w:r>
          </w:p>
        </w:tc>
        <w:tc>
          <w:tcPr>
            <w:tcW w:w="0" w:type="auto"/>
            <w:tcBorders>
              <w:top w:val="nil"/>
              <w:left w:val="nil"/>
              <w:bottom w:val="single" w:sz="4" w:space="0" w:color="auto"/>
              <w:right w:val="single" w:sz="4" w:space="0" w:color="auto"/>
            </w:tcBorders>
            <w:shd w:val="clear" w:color="000000" w:fill="FFFFFF"/>
            <w:vAlign w:val="center"/>
            <w:hideMark/>
          </w:tcPr>
          <w:p w14:paraId="37BC774B" w14:textId="265C5783" w:rsidR="00DB1B67" w:rsidRPr="002128A6" w:rsidRDefault="00F54824"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 </w:t>
            </w:r>
            <w:r w:rsidR="00DB1B67" w:rsidRPr="002128A6">
              <w:rPr>
                <w:rFonts w:ascii="Garamond" w:eastAsia="Times New Roman" w:hAnsi="Garamond" w:cs="Times New Roman"/>
                <w:kern w:val="0"/>
                <w:sz w:val="4"/>
                <w:szCs w:val="8"/>
                <w14:ligatures w14:val="none"/>
              </w:rPr>
              <w:t>91604AB</w:t>
            </w:r>
            <w:r w:rsidRPr="002128A6">
              <w:rPr>
                <w:rFonts w:ascii="Garamond" w:eastAsia="Times New Roman" w:hAnsi="Garamond" w:cs="Times New Roman"/>
                <w:kern w:val="0"/>
                <w:sz w:val="4"/>
                <w:szCs w:val="8"/>
                <w14:ligatures w14:val="none"/>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54393D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32EA0B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SPAK;Shërbimi Informativ i Shtetit</w:t>
            </w:r>
          </w:p>
        </w:tc>
        <w:tc>
          <w:tcPr>
            <w:tcW w:w="0" w:type="auto"/>
            <w:tcBorders>
              <w:top w:val="nil"/>
              <w:left w:val="nil"/>
              <w:bottom w:val="single" w:sz="4" w:space="0" w:color="auto"/>
              <w:right w:val="single" w:sz="4" w:space="0" w:color="auto"/>
            </w:tcBorders>
            <w:shd w:val="clear" w:color="000000" w:fill="FFFFFF"/>
            <w:vAlign w:val="center"/>
            <w:hideMark/>
          </w:tcPr>
          <w:p w14:paraId="57D66CC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58174D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0FB9D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1FCFED9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6D9C1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6AD390B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51649C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E2D4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67FA5E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0AF56B9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2D32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21,329,812</w:t>
            </w:r>
          </w:p>
        </w:tc>
        <w:tc>
          <w:tcPr>
            <w:tcW w:w="0" w:type="auto"/>
            <w:tcBorders>
              <w:top w:val="nil"/>
              <w:left w:val="nil"/>
              <w:bottom w:val="single" w:sz="4" w:space="0" w:color="auto"/>
              <w:right w:val="single" w:sz="4" w:space="0" w:color="auto"/>
            </w:tcBorders>
            <w:shd w:val="clear" w:color="000000" w:fill="FFFFFF"/>
            <w:vAlign w:val="center"/>
            <w:hideMark/>
          </w:tcPr>
          <w:p w14:paraId="5502F6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DB5B66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F2272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79C86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AE3F2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5D3243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0219E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63,989,436</w:t>
            </w:r>
          </w:p>
        </w:tc>
        <w:tc>
          <w:tcPr>
            <w:tcW w:w="0" w:type="auto"/>
            <w:tcBorders>
              <w:top w:val="nil"/>
              <w:left w:val="nil"/>
              <w:bottom w:val="single" w:sz="4" w:space="0" w:color="auto"/>
              <w:right w:val="single" w:sz="4" w:space="0" w:color="auto"/>
            </w:tcBorders>
            <w:shd w:val="clear" w:color="000000" w:fill="FFFFFF"/>
            <w:vAlign w:val="center"/>
            <w:hideMark/>
          </w:tcPr>
          <w:p w14:paraId="34B7A3D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41660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63,989,436</w:t>
            </w:r>
          </w:p>
        </w:tc>
        <w:tc>
          <w:tcPr>
            <w:tcW w:w="0" w:type="auto"/>
            <w:tcBorders>
              <w:top w:val="nil"/>
              <w:left w:val="nil"/>
              <w:bottom w:val="single" w:sz="4" w:space="0" w:color="auto"/>
              <w:right w:val="single" w:sz="4" w:space="0" w:color="auto"/>
            </w:tcBorders>
            <w:shd w:val="clear" w:color="000000" w:fill="FFFFFF"/>
            <w:noWrap/>
            <w:vAlign w:val="center"/>
            <w:hideMark/>
          </w:tcPr>
          <w:p w14:paraId="69729B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63,989,436</w:t>
            </w:r>
          </w:p>
        </w:tc>
        <w:tc>
          <w:tcPr>
            <w:tcW w:w="0" w:type="auto"/>
            <w:tcBorders>
              <w:top w:val="nil"/>
              <w:left w:val="nil"/>
              <w:bottom w:val="single" w:sz="4" w:space="0" w:color="auto"/>
              <w:right w:val="single" w:sz="4" w:space="0" w:color="auto"/>
            </w:tcBorders>
            <w:shd w:val="clear" w:color="000000" w:fill="FFFFFF"/>
            <w:noWrap/>
            <w:vAlign w:val="center"/>
            <w:hideMark/>
          </w:tcPr>
          <w:p w14:paraId="6CCCB17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3C20BD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63,989,436</w:t>
            </w:r>
          </w:p>
        </w:tc>
        <w:tc>
          <w:tcPr>
            <w:tcW w:w="0" w:type="auto"/>
            <w:tcBorders>
              <w:top w:val="nil"/>
              <w:left w:val="nil"/>
              <w:bottom w:val="single" w:sz="4" w:space="0" w:color="auto"/>
              <w:right w:val="single" w:sz="4" w:space="0" w:color="auto"/>
            </w:tcBorders>
            <w:shd w:val="clear" w:color="000000" w:fill="FFFFFF"/>
            <w:noWrap/>
            <w:vAlign w:val="center"/>
            <w:hideMark/>
          </w:tcPr>
          <w:p w14:paraId="464CDB4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D85C2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F775B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0F14F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47626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39F3C0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ECEEC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35D66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5B363D19"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3988BB2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3.1.5</w:t>
            </w:r>
          </w:p>
        </w:tc>
        <w:tc>
          <w:tcPr>
            <w:tcW w:w="0" w:type="auto"/>
            <w:tcBorders>
              <w:top w:val="nil"/>
              <w:left w:val="nil"/>
              <w:bottom w:val="single" w:sz="4" w:space="0" w:color="auto"/>
              <w:right w:val="single" w:sz="4" w:space="0" w:color="auto"/>
            </w:tcBorders>
            <w:shd w:val="clear" w:color="000000" w:fill="FFFFFF"/>
            <w:vAlign w:val="center"/>
            <w:hideMark/>
          </w:tcPr>
          <w:p w14:paraId="4D80A9D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Pjesëmarrja në takimet dhe trajnimet e ENFAST, duke ndarë përvojat operacionale dhe praktikat më të mira, duke forcuar bashkëpunimin e pikave të kontaktit dhe duke përmirësuar kapacitetet për lokalizimin, arrestimin dhe dorëzimin e personave në kërkim ndërkombëtar, përmes veprimeve të koordinuara ndërkufitare.</w:t>
            </w:r>
          </w:p>
        </w:tc>
        <w:tc>
          <w:tcPr>
            <w:tcW w:w="0" w:type="auto"/>
            <w:tcBorders>
              <w:top w:val="nil"/>
              <w:left w:val="nil"/>
              <w:bottom w:val="single" w:sz="4" w:space="0" w:color="auto"/>
              <w:right w:val="single" w:sz="4" w:space="0" w:color="auto"/>
            </w:tcBorders>
            <w:shd w:val="clear" w:color="000000" w:fill="FFFFFF"/>
            <w:vAlign w:val="center"/>
            <w:hideMark/>
          </w:tcPr>
          <w:p w14:paraId="5C00CC2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91604AR</w:t>
            </w:r>
          </w:p>
        </w:tc>
        <w:tc>
          <w:tcPr>
            <w:tcW w:w="0" w:type="auto"/>
            <w:tcBorders>
              <w:top w:val="nil"/>
              <w:left w:val="nil"/>
              <w:bottom w:val="single" w:sz="4" w:space="0" w:color="auto"/>
              <w:right w:val="single" w:sz="4" w:space="0" w:color="auto"/>
            </w:tcBorders>
            <w:shd w:val="clear" w:color="000000" w:fill="FFFFFF"/>
            <w:vAlign w:val="center"/>
            <w:hideMark/>
          </w:tcPr>
          <w:p w14:paraId="25A4408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Policia e Shtetit</w:t>
            </w:r>
          </w:p>
        </w:tc>
        <w:tc>
          <w:tcPr>
            <w:tcW w:w="0" w:type="auto"/>
            <w:tcBorders>
              <w:top w:val="nil"/>
              <w:left w:val="nil"/>
              <w:bottom w:val="single" w:sz="4" w:space="0" w:color="auto"/>
              <w:right w:val="single" w:sz="4" w:space="0" w:color="auto"/>
            </w:tcBorders>
            <w:shd w:val="clear" w:color="000000" w:fill="FFFFFF"/>
            <w:vAlign w:val="center"/>
            <w:hideMark/>
          </w:tcPr>
          <w:p w14:paraId="294CE8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682D4E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42D52D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9CEF3A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5366B5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64DA2D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0B6C62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581541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7A1A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6147440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060AE8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B8B92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647A581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449168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9577F8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4CC493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2C4DCD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FC8162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43,532,321</w:t>
            </w:r>
          </w:p>
        </w:tc>
        <w:tc>
          <w:tcPr>
            <w:tcW w:w="0" w:type="auto"/>
            <w:tcBorders>
              <w:top w:val="nil"/>
              <w:left w:val="nil"/>
              <w:bottom w:val="single" w:sz="4" w:space="0" w:color="auto"/>
              <w:right w:val="single" w:sz="4" w:space="0" w:color="auto"/>
            </w:tcBorders>
            <w:shd w:val="clear" w:color="000000" w:fill="FFFFFF"/>
            <w:vAlign w:val="center"/>
            <w:hideMark/>
          </w:tcPr>
          <w:p w14:paraId="7A0679F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217,661,605</w:t>
            </w:r>
          </w:p>
        </w:tc>
        <w:tc>
          <w:tcPr>
            <w:tcW w:w="0" w:type="auto"/>
            <w:tcBorders>
              <w:top w:val="nil"/>
              <w:left w:val="nil"/>
              <w:bottom w:val="single" w:sz="4" w:space="0" w:color="auto"/>
              <w:right w:val="single" w:sz="4" w:space="0" w:color="auto"/>
            </w:tcBorders>
            <w:shd w:val="clear" w:color="000000" w:fill="FFFFFF"/>
            <w:vAlign w:val="center"/>
            <w:hideMark/>
          </w:tcPr>
          <w:p w14:paraId="65828BA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C33FD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217,661,605</w:t>
            </w:r>
          </w:p>
        </w:tc>
        <w:tc>
          <w:tcPr>
            <w:tcW w:w="0" w:type="auto"/>
            <w:tcBorders>
              <w:top w:val="nil"/>
              <w:left w:val="nil"/>
              <w:bottom w:val="single" w:sz="4" w:space="0" w:color="auto"/>
              <w:right w:val="single" w:sz="4" w:space="0" w:color="auto"/>
            </w:tcBorders>
            <w:shd w:val="clear" w:color="000000" w:fill="FFFFFF"/>
            <w:noWrap/>
            <w:vAlign w:val="center"/>
            <w:hideMark/>
          </w:tcPr>
          <w:p w14:paraId="518B395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130,596,963</w:t>
            </w:r>
          </w:p>
        </w:tc>
        <w:tc>
          <w:tcPr>
            <w:tcW w:w="0" w:type="auto"/>
            <w:tcBorders>
              <w:top w:val="nil"/>
              <w:left w:val="nil"/>
              <w:bottom w:val="single" w:sz="4" w:space="0" w:color="auto"/>
              <w:right w:val="single" w:sz="4" w:space="0" w:color="auto"/>
            </w:tcBorders>
            <w:shd w:val="clear" w:color="000000" w:fill="FFFFFF"/>
            <w:noWrap/>
            <w:vAlign w:val="center"/>
            <w:hideMark/>
          </w:tcPr>
          <w:p w14:paraId="6522A72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D743F8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130,596,963</w:t>
            </w:r>
          </w:p>
        </w:tc>
        <w:tc>
          <w:tcPr>
            <w:tcW w:w="0" w:type="auto"/>
            <w:tcBorders>
              <w:top w:val="nil"/>
              <w:left w:val="nil"/>
              <w:bottom w:val="single" w:sz="4" w:space="0" w:color="auto"/>
              <w:right w:val="single" w:sz="4" w:space="0" w:color="auto"/>
            </w:tcBorders>
            <w:shd w:val="clear" w:color="000000" w:fill="FFFFFF"/>
            <w:noWrap/>
            <w:vAlign w:val="center"/>
            <w:hideMark/>
          </w:tcPr>
          <w:p w14:paraId="6FB580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87,064,642</w:t>
            </w:r>
          </w:p>
        </w:tc>
        <w:tc>
          <w:tcPr>
            <w:tcW w:w="0" w:type="auto"/>
            <w:tcBorders>
              <w:top w:val="nil"/>
              <w:left w:val="nil"/>
              <w:bottom w:val="single" w:sz="4" w:space="0" w:color="auto"/>
              <w:right w:val="single" w:sz="4" w:space="0" w:color="auto"/>
            </w:tcBorders>
            <w:shd w:val="clear" w:color="000000" w:fill="FFFFFF"/>
            <w:noWrap/>
            <w:vAlign w:val="center"/>
            <w:hideMark/>
          </w:tcPr>
          <w:p w14:paraId="210D78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E7918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87,064,642</w:t>
            </w:r>
          </w:p>
        </w:tc>
        <w:tc>
          <w:tcPr>
            <w:tcW w:w="0" w:type="auto"/>
            <w:tcBorders>
              <w:top w:val="nil"/>
              <w:left w:val="nil"/>
              <w:bottom w:val="single" w:sz="4" w:space="0" w:color="auto"/>
              <w:right w:val="single" w:sz="4" w:space="0" w:color="auto"/>
            </w:tcBorders>
            <w:shd w:val="clear" w:color="000000" w:fill="FFFFFF"/>
            <w:vAlign w:val="center"/>
            <w:hideMark/>
          </w:tcPr>
          <w:p w14:paraId="7AC7899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3F5541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5A8F804"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E3F614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082F6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3BB0CF2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3A83DE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3.1.6</w:t>
            </w:r>
          </w:p>
        </w:tc>
        <w:tc>
          <w:tcPr>
            <w:tcW w:w="0" w:type="auto"/>
            <w:tcBorders>
              <w:top w:val="nil"/>
              <w:left w:val="nil"/>
              <w:bottom w:val="single" w:sz="4" w:space="0" w:color="auto"/>
              <w:right w:val="single" w:sz="4" w:space="0" w:color="auto"/>
            </w:tcBorders>
            <w:shd w:val="clear" w:color="000000" w:fill="FFFFFF"/>
            <w:vAlign w:val="center"/>
            <w:hideMark/>
          </w:tcPr>
          <w:p w14:paraId="385C5EE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bashkëpunimit midis institucioneve përgjegjëse për mbrojtjen e mjedisit, përfshirë masat për inkurajimin e bashkëpunimit ndërkufitar, promovimin e hetimeve të përbashkëta dhe shkëmbimin e inteligjencës mbi krimet mjedisore ndërkufitare, përfshirë prerjen e paligjshme, trafikimin e mbetjeve dhe kafshëve të egra, në përputhje me angazhimet rajonale dhe ndërkombëtare, me qëllim përmirësimin e parandalimit, zbulimit dhe zbatimit kundër rrjeteve të krimit mjedisor.</w:t>
            </w:r>
          </w:p>
        </w:tc>
        <w:tc>
          <w:tcPr>
            <w:tcW w:w="0" w:type="auto"/>
            <w:tcBorders>
              <w:top w:val="nil"/>
              <w:left w:val="nil"/>
              <w:bottom w:val="single" w:sz="4" w:space="0" w:color="auto"/>
              <w:right w:val="single" w:sz="4" w:space="0" w:color="auto"/>
            </w:tcBorders>
            <w:shd w:val="clear" w:color="000000" w:fill="FFFFFF"/>
            <w:vAlign w:val="center"/>
            <w:hideMark/>
          </w:tcPr>
          <w:p w14:paraId="4AB27B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3C48CDB3" w14:textId="206693AC"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Brendshme/Policia e Shtetit</w:t>
            </w:r>
            <w:r w:rsidR="005C084B" w:rsidRPr="002128A6">
              <w:rPr>
                <w:rFonts w:ascii="Garamond" w:eastAsia="Times New Roman" w:hAnsi="Garamond" w:cs="Times New Roman"/>
                <w:kern w:val="0"/>
                <w:sz w:val="4"/>
                <w:szCs w:val="8"/>
                <w14:ligatures w14:val="none"/>
              </w:rPr>
              <w:t>/</w:t>
            </w:r>
            <w:r w:rsidRPr="002128A6">
              <w:rPr>
                <w:rFonts w:ascii="Garamond" w:eastAsia="Times New Roman" w:hAnsi="Garamond" w:cs="Times New Roman"/>
                <w:kern w:val="0"/>
                <w:sz w:val="4"/>
                <w:szCs w:val="8"/>
                <w14:ligatures w14:val="none"/>
              </w:rPr>
              <w:t>Inspektorati Kombëtar i Mbrojtjes së Territorit</w:t>
            </w:r>
          </w:p>
        </w:tc>
        <w:tc>
          <w:tcPr>
            <w:tcW w:w="0" w:type="auto"/>
            <w:tcBorders>
              <w:top w:val="nil"/>
              <w:left w:val="nil"/>
              <w:bottom w:val="single" w:sz="4" w:space="0" w:color="auto"/>
              <w:right w:val="single" w:sz="4" w:space="0" w:color="auto"/>
            </w:tcBorders>
            <w:shd w:val="clear" w:color="000000" w:fill="FFFFFF"/>
            <w:vAlign w:val="center"/>
            <w:hideMark/>
          </w:tcPr>
          <w:p w14:paraId="500812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A7C99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FED91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77E663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5C789A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9BEC97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4743F1B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149D9D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DBAA5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7C59A6D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1661F0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646D99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271746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430726B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4641E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1003670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6D93635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A56A92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200,000</w:t>
            </w:r>
          </w:p>
        </w:tc>
        <w:tc>
          <w:tcPr>
            <w:tcW w:w="0" w:type="auto"/>
            <w:tcBorders>
              <w:top w:val="nil"/>
              <w:left w:val="nil"/>
              <w:bottom w:val="single" w:sz="4" w:space="0" w:color="auto"/>
              <w:right w:val="single" w:sz="4" w:space="0" w:color="auto"/>
            </w:tcBorders>
            <w:shd w:val="clear" w:color="000000" w:fill="FFFFFF"/>
            <w:vAlign w:val="center"/>
            <w:hideMark/>
          </w:tcPr>
          <w:p w14:paraId="79A3AE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vAlign w:val="center"/>
            <w:hideMark/>
          </w:tcPr>
          <w:p w14:paraId="1760EE3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C9ED4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w:t>
            </w:r>
          </w:p>
        </w:tc>
        <w:tc>
          <w:tcPr>
            <w:tcW w:w="0" w:type="auto"/>
            <w:tcBorders>
              <w:top w:val="nil"/>
              <w:left w:val="nil"/>
              <w:bottom w:val="single" w:sz="4" w:space="0" w:color="auto"/>
              <w:right w:val="single" w:sz="4" w:space="0" w:color="auto"/>
            </w:tcBorders>
            <w:shd w:val="clear" w:color="000000" w:fill="FFFFFF"/>
            <w:noWrap/>
            <w:vAlign w:val="center"/>
            <w:hideMark/>
          </w:tcPr>
          <w:p w14:paraId="744343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noWrap/>
            <w:vAlign w:val="center"/>
            <w:hideMark/>
          </w:tcPr>
          <w:p w14:paraId="5374C7A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1B1A7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noWrap/>
            <w:vAlign w:val="center"/>
            <w:hideMark/>
          </w:tcPr>
          <w:p w14:paraId="24D3432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w:t>
            </w:r>
          </w:p>
        </w:tc>
        <w:tc>
          <w:tcPr>
            <w:tcW w:w="0" w:type="auto"/>
            <w:tcBorders>
              <w:top w:val="nil"/>
              <w:left w:val="nil"/>
              <w:bottom w:val="single" w:sz="4" w:space="0" w:color="auto"/>
              <w:right w:val="single" w:sz="4" w:space="0" w:color="auto"/>
            </w:tcBorders>
            <w:shd w:val="clear" w:color="000000" w:fill="FFFFFF"/>
            <w:noWrap/>
            <w:vAlign w:val="center"/>
            <w:hideMark/>
          </w:tcPr>
          <w:p w14:paraId="57C466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498024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400,000</w:t>
            </w:r>
          </w:p>
        </w:tc>
        <w:tc>
          <w:tcPr>
            <w:tcW w:w="0" w:type="auto"/>
            <w:tcBorders>
              <w:top w:val="nil"/>
              <w:left w:val="nil"/>
              <w:bottom w:val="single" w:sz="4" w:space="0" w:color="auto"/>
              <w:right w:val="single" w:sz="4" w:space="0" w:color="auto"/>
            </w:tcBorders>
            <w:shd w:val="clear" w:color="000000" w:fill="FFFFFF"/>
            <w:vAlign w:val="center"/>
            <w:hideMark/>
          </w:tcPr>
          <w:p w14:paraId="769B7D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61F554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B17B54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791290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6DF9D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6B0099EA"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FFFFF"/>
            <w:vAlign w:val="center"/>
            <w:hideMark/>
          </w:tcPr>
          <w:p w14:paraId="1D5FA8D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3.1.7</w:t>
            </w:r>
          </w:p>
        </w:tc>
        <w:tc>
          <w:tcPr>
            <w:tcW w:w="0" w:type="auto"/>
            <w:tcBorders>
              <w:top w:val="nil"/>
              <w:left w:val="nil"/>
              <w:bottom w:val="single" w:sz="4" w:space="0" w:color="auto"/>
              <w:right w:val="single" w:sz="4" w:space="0" w:color="auto"/>
            </w:tcBorders>
            <w:shd w:val="clear" w:color="000000" w:fill="FFFFFF"/>
            <w:vAlign w:val="center"/>
            <w:hideMark/>
          </w:tcPr>
          <w:p w14:paraId="79DC989D" w14:textId="6F932326"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Përditësimi/rishikimi i marrëveshjeve dhe monitorimi i zbatimit të detyrimeve nga marrëveshjet mes autoriteteve shqiptare dhe vendeve të BE ose vendeve të treta në luftën kundër krimit të organizuar dhe krimeve të rënda</w:t>
            </w:r>
            <w:r w:rsidR="00F54824" w:rsidRPr="002128A6">
              <w:rPr>
                <w:rFonts w:ascii="Garamond" w:eastAsia="Times New Roman" w:hAnsi="Garamond" w:cs="Times New Roman"/>
                <w:kern w:val="0"/>
                <w:sz w:val="4"/>
                <w:szCs w:val="8"/>
                <w14:ligatures w14:val="none"/>
              </w:rPr>
              <w:t xml:space="preserve"> </w:t>
            </w:r>
            <w:r w:rsidRPr="002128A6">
              <w:rPr>
                <w:rFonts w:ascii="Garamond" w:eastAsia="Times New Roman" w:hAnsi="Garamond" w:cs="Times New Roman"/>
                <w:kern w:val="0"/>
                <w:sz w:val="4"/>
                <w:szCs w:val="8"/>
                <w14:ligatures w14:val="none"/>
              </w:rPr>
              <w:t>me qëllim zgjerimin ose forcimin e bashkëpunimit dhe përmbushjen efektive dhe konsistente të angazhimeve të në kuadër të bashkëpunimit ndërkombëtar.</w:t>
            </w:r>
          </w:p>
        </w:tc>
        <w:tc>
          <w:tcPr>
            <w:tcW w:w="0" w:type="auto"/>
            <w:tcBorders>
              <w:top w:val="nil"/>
              <w:left w:val="nil"/>
              <w:bottom w:val="single" w:sz="4" w:space="0" w:color="auto"/>
              <w:right w:val="single" w:sz="4" w:space="0" w:color="auto"/>
            </w:tcBorders>
            <w:shd w:val="clear" w:color="000000" w:fill="FFFFFF"/>
            <w:vAlign w:val="center"/>
            <w:hideMark/>
          </w:tcPr>
          <w:p w14:paraId="1ED7C9C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91601AA</w:t>
            </w:r>
          </w:p>
        </w:tc>
        <w:tc>
          <w:tcPr>
            <w:tcW w:w="0" w:type="auto"/>
            <w:tcBorders>
              <w:top w:val="nil"/>
              <w:left w:val="nil"/>
              <w:bottom w:val="single" w:sz="4" w:space="0" w:color="auto"/>
              <w:right w:val="single" w:sz="4" w:space="0" w:color="auto"/>
            </w:tcBorders>
            <w:shd w:val="clear" w:color="000000" w:fill="FFFFFF"/>
            <w:vAlign w:val="center"/>
            <w:hideMark/>
          </w:tcPr>
          <w:p w14:paraId="5765A69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Ministria e Punëve të Brendshme/Policia e Shtetit </w:t>
            </w:r>
          </w:p>
        </w:tc>
        <w:tc>
          <w:tcPr>
            <w:tcW w:w="0" w:type="auto"/>
            <w:tcBorders>
              <w:top w:val="nil"/>
              <w:left w:val="nil"/>
              <w:bottom w:val="single" w:sz="4" w:space="0" w:color="auto"/>
              <w:right w:val="single" w:sz="4" w:space="0" w:color="auto"/>
            </w:tcBorders>
            <w:shd w:val="clear" w:color="000000" w:fill="FFFFFF"/>
            <w:vAlign w:val="center"/>
            <w:hideMark/>
          </w:tcPr>
          <w:p w14:paraId="71B50F5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Punëve të Brendshme; Ministritë relevante të linjës</w:t>
            </w:r>
          </w:p>
        </w:tc>
        <w:tc>
          <w:tcPr>
            <w:tcW w:w="0" w:type="auto"/>
            <w:tcBorders>
              <w:top w:val="nil"/>
              <w:left w:val="nil"/>
              <w:bottom w:val="single" w:sz="4" w:space="0" w:color="auto"/>
              <w:right w:val="single" w:sz="4" w:space="0" w:color="auto"/>
            </w:tcBorders>
            <w:shd w:val="clear" w:color="000000" w:fill="FFFFFF"/>
            <w:vAlign w:val="center"/>
            <w:hideMark/>
          </w:tcPr>
          <w:p w14:paraId="4A1ACC6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011F999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3454862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787,500</w:t>
            </w:r>
          </w:p>
        </w:tc>
        <w:tc>
          <w:tcPr>
            <w:tcW w:w="0" w:type="auto"/>
            <w:tcBorders>
              <w:top w:val="nil"/>
              <w:left w:val="nil"/>
              <w:bottom w:val="single" w:sz="4" w:space="0" w:color="auto"/>
              <w:right w:val="single" w:sz="4" w:space="0" w:color="auto"/>
            </w:tcBorders>
            <w:shd w:val="clear" w:color="000000" w:fill="FFFFFF"/>
            <w:vAlign w:val="center"/>
            <w:hideMark/>
          </w:tcPr>
          <w:p w14:paraId="29AB84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4154A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787,500</w:t>
            </w:r>
          </w:p>
        </w:tc>
        <w:tc>
          <w:tcPr>
            <w:tcW w:w="0" w:type="auto"/>
            <w:tcBorders>
              <w:top w:val="nil"/>
              <w:left w:val="nil"/>
              <w:bottom w:val="single" w:sz="4" w:space="0" w:color="auto"/>
              <w:right w:val="single" w:sz="4" w:space="0" w:color="auto"/>
            </w:tcBorders>
            <w:shd w:val="clear" w:color="000000" w:fill="FFFFFF"/>
            <w:vAlign w:val="center"/>
            <w:hideMark/>
          </w:tcPr>
          <w:p w14:paraId="2FCF26C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39104D9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17E7F0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2CDB080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69CEE28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0D46E6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309BD2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64D495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A6CDD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4D6B404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268CE9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6E9EF8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w:t>
            </w:r>
          </w:p>
        </w:tc>
        <w:tc>
          <w:tcPr>
            <w:tcW w:w="0" w:type="auto"/>
            <w:tcBorders>
              <w:top w:val="nil"/>
              <w:left w:val="nil"/>
              <w:bottom w:val="single" w:sz="4" w:space="0" w:color="auto"/>
              <w:right w:val="single" w:sz="4" w:space="0" w:color="auto"/>
            </w:tcBorders>
            <w:shd w:val="clear" w:color="000000" w:fill="FFFFFF"/>
            <w:vAlign w:val="center"/>
            <w:hideMark/>
          </w:tcPr>
          <w:p w14:paraId="5796747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1,987,500</w:t>
            </w:r>
          </w:p>
        </w:tc>
        <w:tc>
          <w:tcPr>
            <w:tcW w:w="0" w:type="auto"/>
            <w:tcBorders>
              <w:top w:val="nil"/>
              <w:left w:val="nil"/>
              <w:bottom w:val="single" w:sz="4" w:space="0" w:color="auto"/>
              <w:right w:val="single" w:sz="4" w:space="0" w:color="auto"/>
            </w:tcBorders>
            <w:shd w:val="clear" w:color="000000" w:fill="FFFFFF"/>
            <w:vAlign w:val="center"/>
            <w:hideMark/>
          </w:tcPr>
          <w:p w14:paraId="41FFE1E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108B77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1,987,500</w:t>
            </w:r>
          </w:p>
        </w:tc>
        <w:tc>
          <w:tcPr>
            <w:tcW w:w="0" w:type="auto"/>
            <w:tcBorders>
              <w:top w:val="nil"/>
              <w:left w:val="nil"/>
              <w:bottom w:val="single" w:sz="4" w:space="0" w:color="auto"/>
              <w:right w:val="single" w:sz="4" w:space="0" w:color="auto"/>
            </w:tcBorders>
            <w:shd w:val="clear" w:color="000000" w:fill="FFFFFF"/>
            <w:noWrap/>
            <w:vAlign w:val="center"/>
            <w:hideMark/>
          </w:tcPr>
          <w:p w14:paraId="517BDA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1,387,500</w:t>
            </w:r>
          </w:p>
        </w:tc>
        <w:tc>
          <w:tcPr>
            <w:tcW w:w="0" w:type="auto"/>
            <w:tcBorders>
              <w:top w:val="nil"/>
              <w:left w:val="nil"/>
              <w:bottom w:val="single" w:sz="4" w:space="0" w:color="auto"/>
              <w:right w:val="single" w:sz="4" w:space="0" w:color="auto"/>
            </w:tcBorders>
            <w:shd w:val="clear" w:color="000000" w:fill="FFFFFF"/>
            <w:noWrap/>
            <w:vAlign w:val="center"/>
            <w:hideMark/>
          </w:tcPr>
          <w:p w14:paraId="1783F7F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CCC1D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1,387,500</w:t>
            </w:r>
          </w:p>
        </w:tc>
        <w:tc>
          <w:tcPr>
            <w:tcW w:w="0" w:type="auto"/>
            <w:tcBorders>
              <w:top w:val="nil"/>
              <w:left w:val="nil"/>
              <w:bottom w:val="single" w:sz="4" w:space="0" w:color="auto"/>
              <w:right w:val="single" w:sz="4" w:space="0" w:color="auto"/>
            </w:tcBorders>
            <w:shd w:val="clear" w:color="000000" w:fill="FFFFFF"/>
            <w:noWrap/>
            <w:vAlign w:val="center"/>
            <w:hideMark/>
          </w:tcPr>
          <w:p w14:paraId="7D8D5F7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noWrap/>
            <w:vAlign w:val="center"/>
            <w:hideMark/>
          </w:tcPr>
          <w:p w14:paraId="3393B3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54E8E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600,000</w:t>
            </w:r>
          </w:p>
        </w:tc>
        <w:tc>
          <w:tcPr>
            <w:tcW w:w="0" w:type="auto"/>
            <w:tcBorders>
              <w:top w:val="nil"/>
              <w:left w:val="nil"/>
              <w:bottom w:val="single" w:sz="4" w:space="0" w:color="auto"/>
              <w:right w:val="single" w:sz="4" w:space="0" w:color="auto"/>
            </w:tcBorders>
            <w:shd w:val="clear" w:color="000000" w:fill="FFFFFF"/>
            <w:vAlign w:val="center"/>
            <w:hideMark/>
          </w:tcPr>
          <w:p w14:paraId="0877B1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2F07F1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F47D06D"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11394E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74346D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A2716B6"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5B9BD5"/>
            <w:vAlign w:val="center"/>
            <w:hideMark/>
          </w:tcPr>
          <w:p w14:paraId="349EAF7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hideMark/>
          </w:tcPr>
          <w:p w14:paraId="46BF4698" w14:textId="65C88CF1"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 xml:space="preserve">ja </w:t>
            </w:r>
            <w:r w:rsidRPr="002128A6">
              <w:rPr>
                <w:rFonts w:ascii="Garamond" w:eastAsia="Times New Roman" w:hAnsi="Garamond" w:cs="Times New Roman"/>
                <w:b/>
                <w:bCs/>
                <w:kern w:val="0"/>
                <w:sz w:val="4"/>
                <w:szCs w:val="8"/>
                <w14:ligatures w14:val="none"/>
              </w:rPr>
              <w:t>Objektivi specifik 3.1</w:t>
            </w:r>
          </w:p>
        </w:tc>
        <w:tc>
          <w:tcPr>
            <w:tcW w:w="0" w:type="auto"/>
            <w:tcBorders>
              <w:top w:val="nil"/>
              <w:left w:val="nil"/>
              <w:bottom w:val="single" w:sz="4" w:space="0" w:color="auto"/>
              <w:right w:val="single" w:sz="4" w:space="0" w:color="auto"/>
            </w:tcBorders>
            <w:shd w:val="clear" w:color="000000" w:fill="5B9BD5"/>
            <w:vAlign w:val="center"/>
            <w:hideMark/>
          </w:tcPr>
          <w:p w14:paraId="33041C8C"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3FC7ECD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3D5E6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700AA36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632B115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5B9BD5"/>
            <w:vAlign w:val="center"/>
            <w:hideMark/>
          </w:tcPr>
          <w:p w14:paraId="0645F52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210,422,708</w:t>
            </w:r>
          </w:p>
        </w:tc>
        <w:tc>
          <w:tcPr>
            <w:tcW w:w="0" w:type="auto"/>
            <w:tcBorders>
              <w:top w:val="nil"/>
              <w:left w:val="nil"/>
              <w:bottom w:val="single" w:sz="4" w:space="0" w:color="auto"/>
              <w:right w:val="single" w:sz="4" w:space="0" w:color="auto"/>
            </w:tcBorders>
            <w:shd w:val="clear" w:color="000000" w:fill="5B9BD5"/>
            <w:vAlign w:val="center"/>
            <w:hideMark/>
          </w:tcPr>
          <w:p w14:paraId="44D9AC6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DB70AA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210,422,708</w:t>
            </w:r>
          </w:p>
        </w:tc>
        <w:tc>
          <w:tcPr>
            <w:tcW w:w="0" w:type="auto"/>
            <w:tcBorders>
              <w:top w:val="nil"/>
              <w:left w:val="nil"/>
              <w:bottom w:val="single" w:sz="4" w:space="0" w:color="auto"/>
              <w:right w:val="single" w:sz="4" w:space="0" w:color="auto"/>
            </w:tcBorders>
            <w:shd w:val="clear" w:color="000000" w:fill="5B9BD5"/>
            <w:vAlign w:val="center"/>
            <w:hideMark/>
          </w:tcPr>
          <w:p w14:paraId="2221C8A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209,935,208</w:t>
            </w:r>
          </w:p>
        </w:tc>
        <w:tc>
          <w:tcPr>
            <w:tcW w:w="0" w:type="auto"/>
            <w:tcBorders>
              <w:top w:val="nil"/>
              <w:left w:val="nil"/>
              <w:bottom w:val="single" w:sz="4" w:space="0" w:color="auto"/>
              <w:right w:val="single" w:sz="4" w:space="0" w:color="auto"/>
            </w:tcBorders>
            <w:shd w:val="clear" w:color="000000" w:fill="5B9BD5"/>
            <w:vAlign w:val="center"/>
            <w:hideMark/>
          </w:tcPr>
          <w:p w14:paraId="051C33F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6018D0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209,935,208</w:t>
            </w:r>
          </w:p>
        </w:tc>
        <w:tc>
          <w:tcPr>
            <w:tcW w:w="0" w:type="auto"/>
            <w:tcBorders>
              <w:top w:val="nil"/>
              <w:left w:val="nil"/>
              <w:bottom w:val="single" w:sz="4" w:space="0" w:color="auto"/>
              <w:right w:val="single" w:sz="4" w:space="0" w:color="auto"/>
            </w:tcBorders>
            <w:shd w:val="clear" w:color="000000" w:fill="5B9BD5"/>
            <w:vAlign w:val="center"/>
            <w:hideMark/>
          </w:tcPr>
          <w:p w14:paraId="248B1AC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209,935,208</w:t>
            </w:r>
          </w:p>
        </w:tc>
        <w:tc>
          <w:tcPr>
            <w:tcW w:w="0" w:type="auto"/>
            <w:tcBorders>
              <w:top w:val="nil"/>
              <w:left w:val="nil"/>
              <w:bottom w:val="single" w:sz="4" w:space="0" w:color="auto"/>
              <w:right w:val="single" w:sz="4" w:space="0" w:color="auto"/>
            </w:tcBorders>
            <w:shd w:val="clear" w:color="000000" w:fill="5B9BD5"/>
            <w:vAlign w:val="center"/>
            <w:hideMark/>
          </w:tcPr>
          <w:p w14:paraId="078F461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E7FEB1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209,935,208</w:t>
            </w:r>
          </w:p>
        </w:tc>
        <w:tc>
          <w:tcPr>
            <w:tcW w:w="0" w:type="auto"/>
            <w:tcBorders>
              <w:top w:val="nil"/>
              <w:left w:val="nil"/>
              <w:bottom w:val="single" w:sz="4" w:space="0" w:color="auto"/>
              <w:right w:val="single" w:sz="4" w:space="0" w:color="auto"/>
            </w:tcBorders>
            <w:shd w:val="clear" w:color="000000" w:fill="5B9BD5"/>
            <w:vAlign w:val="center"/>
            <w:hideMark/>
          </w:tcPr>
          <w:p w14:paraId="2C6AC74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55,275,584</w:t>
            </w:r>
          </w:p>
        </w:tc>
        <w:tc>
          <w:tcPr>
            <w:tcW w:w="0" w:type="auto"/>
            <w:tcBorders>
              <w:top w:val="nil"/>
              <w:left w:val="nil"/>
              <w:bottom w:val="single" w:sz="4" w:space="0" w:color="auto"/>
              <w:right w:val="single" w:sz="4" w:space="0" w:color="auto"/>
            </w:tcBorders>
            <w:shd w:val="clear" w:color="000000" w:fill="5B9BD5"/>
            <w:vAlign w:val="center"/>
            <w:hideMark/>
          </w:tcPr>
          <w:p w14:paraId="176C5E5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336BFE2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55,275,584</w:t>
            </w:r>
          </w:p>
        </w:tc>
        <w:tc>
          <w:tcPr>
            <w:tcW w:w="0" w:type="auto"/>
            <w:tcBorders>
              <w:top w:val="nil"/>
              <w:left w:val="nil"/>
              <w:bottom w:val="single" w:sz="4" w:space="0" w:color="auto"/>
              <w:right w:val="single" w:sz="4" w:space="0" w:color="auto"/>
            </w:tcBorders>
            <w:shd w:val="clear" w:color="000000" w:fill="5B9BD5"/>
            <w:vAlign w:val="center"/>
            <w:hideMark/>
          </w:tcPr>
          <w:p w14:paraId="51011F9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55,275,584</w:t>
            </w:r>
          </w:p>
        </w:tc>
        <w:tc>
          <w:tcPr>
            <w:tcW w:w="0" w:type="auto"/>
            <w:tcBorders>
              <w:top w:val="nil"/>
              <w:left w:val="nil"/>
              <w:bottom w:val="single" w:sz="4" w:space="0" w:color="auto"/>
              <w:right w:val="single" w:sz="4" w:space="0" w:color="auto"/>
            </w:tcBorders>
            <w:shd w:val="clear" w:color="000000" w:fill="5B9BD5"/>
            <w:vAlign w:val="center"/>
            <w:hideMark/>
          </w:tcPr>
          <w:p w14:paraId="3326ABE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D9D2C3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55,275,584</w:t>
            </w:r>
          </w:p>
        </w:tc>
        <w:tc>
          <w:tcPr>
            <w:tcW w:w="0" w:type="auto"/>
            <w:tcBorders>
              <w:top w:val="nil"/>
              <w:left w:val="nil"/>
              <w:bottom w:val="single" w:sz="4" w:space="0" w:color="auto"/>
              <w:right w:val="single" w:sz="4" w:space="0" w:color="auto"/>
            </w:tcBorders>
            <w:shd w:val="clear" w:color="000000" w:fill="5B9BD5"/>
            <w:vAlign w:val="center"/>
            <w:hideMark/>
          </w:tcPr>
          <w:p w14:paraId="41B5DA0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740,844,292</w:t>
            </w:r>
          </w:p>
        </w:tc>
        <w:tc>
          <w:tcPr>
            <w:tcW w:w="0" w:type="auto"/>
            <w:tcBorders>
              <w:top w:val="nil"/>
              <w:left w:val="nil"/>
              <w:bottom w:val="single" w:sz="4" w:space="0" w:color="auto"/>
              <w:right w:val="single" w:sz="4" w:space="0" w:color="auto"/>
            </w:tcBorders>
            <w:shd w:val="clear" w:color="000000" w:fill="5B9BD5"/>
            <w:vAlign w:val="center"/>
            <w:hideMark/>
          </w:tcPr>
          <w:p w14:paraId="787AF4A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20093D0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740,844,292</w:t>
            </w:r>
          </w:p>
        </w:tc>
        <w:tc>
          <w:tcPr>
            <w:tcW w:w="0" w:type="auto"/>
            <w:tcBorders>
              <w:top w:val="nil"/>
              <w:left w:val="nil"/>
              <w:bottom w:val="single" w:sz="4" w:space="0" w:color="auto"/>
              <w:right w:val="single" w:sz="4" w:space="0" w:color="auto"/>
            </w:tcBorders>
            <w:shd w:val="clear" w:color="000000" w:fill="5B9BD5"/>
            <w:vAlign w:val="center"/>
            <w:hideMark/>
          </w:tcPr>
          <w:p w14:paraId="1D78228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630,293,124</w:t>
            </w:r>
          </w:p>
        </w:tc>
        <w:tc>
          <w:tcPr>
            <w:tcW w:w="0" w:type="auto"/>
            <w:tcBorders>
              <w:top w:val="nil"/>
              <w:left w:val="nil"/>
              <w:bottom w:val="single" w:sz="4" w:space="0" w:color="auto"/>
              <w:right w:val="single" w:sz="4" w:space="0" w:color="auto"/>
            </w:tcBorders>
            <w:shd w:val="clear" w:color="000000" w:fill="5B9BD5"/>
            <w:vAlign w:val="center"/>
            <w:hideMark/>
          </w:tcPr>
          <w:p w14:paraId="24D1196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04C7D95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630,293,124</w:t>
            </w:r>
          </w:p>
        </w:tc>
        <w:tc>
          <w:tcPr>
            <w:tcW w:w="0" w:type="auto"/>
            <w:tcBorders>
              <w:top w:val="nil"/>
              <w:left w:val="nil"/>
              <w:bottom w:val="single" w:sz="4" w:space="0" w:color="auto"/>
              <w:right w:val="single" w:sz="4" w:space="0" w:color="auto"/>
            </w:tcBorders>
            <w:shd w:val="clear" w:color="000000" w:fill="5B9BD5"/>
            <w:vAlign w:val="center"/>
            <w:hideMark/>
          </w:tcPr>
          <w:p w14:paraId="01E9811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110,551,168</w:t>
            </w:r>
          </w:p>
        </w:tc>
        <w:tc>
          <w:tcPr>
            <w:tcW w:w="0" w:type="auto"/>
            <w:tcBorders>
              <w:top w:val="nil"/>
              <w:left w:val="nil"/>
              <w:bottom w:val="single" w:sz="4" w:space="0" w:color="auto"/>
              <w:right w:val="single" w:sz="4" w:space="0" w:color="auto"/>
            </w:tcBorders>
            <w:shd w:val="clear" w:color="000000" w:fill="5B9BD5"/>
            <w:vAlign w:val="center"/>
            <w:hideMark/>
          </w:tcPr>
          <w:p w14:paraId="76097EA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54CDB2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110,551,168</w:t>
            </w:r>
          </w:p>
        </w:tc>
        <w:tc>
          <w:tcPr>
            <w:tcW w:w="0" w:type="auto"/>
            <w:tcBorders>
              <w:top w:val="nil"/>
              <w:left w:val="nil"/>
              <w:bottom w:val="single" w:sz="4" w:space="0" w:color="auto"/>
              <w:right w:val="single" w:sz="4" w:space="0" w:color="auto"/>
            </w:tcBorders>
            <w:shd w:val="clear" w:color="000000" w:fill="5B9BD5"/>
            <w:vAlign w:val="center"/>
            <w:hideMark/>
          </w:tcPr>
          <w:p w14:paraId="5081770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1C1644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432FB10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17A677B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5B9BD5"/>
            <w:vAlign w:val="center"/>
            <w:hideMark/>
          </w:tcPr>
          <w:p w14:paraId="684A6C3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11CA3ED8"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FCE4D6"/>
            <w:vAlign w:val="center"/>
            <w:hideMark/>
          </w:tcPr>
          <w:p w14:paraId="26E6446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w:t>
            </w:r>
          </w:p>
        </w:tc>
        <w:tc>
          <w:tcPr>
            <w:tcW w:w="0" w:type="auto"/>
            <w:tcBorders>
              <w:top w:val="nil"/>
              <w:left w:val="nil"/>
              <w:bottom w:val="single" w:sz="4" w:space="0" w:color="auto"/>
              <w:right w:val="single" w:sz="4" w:space="0" w:color="auto"/>
            </w:tcBorders>
            <w:shd w:val="clear" w:color="000000" w:fill="FCE4D6"/>
            <w:vAlign w:val="center"/>
            <w:hideMark/>
          </w:tcPr>
          <w:p w14:paraId="6AD9CE18" w14:textId="0BC1902B"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OBJEKTIVI SPECIFIK: Përmirësimi i efektivitetit të bashkëpunimit gjyqësor ndërkombëtar</w:t>
            </w:r>
            <w:r w:rsidR="00F54824" w:rsidRPr="002128A6">
              <w:rPr>
                <w:rFonts w:ascii="Garamond" w:eastAsia="Times New Roman" w:hAnsi="Garamond" w:cs="Times New Roman"/>
                <w:b/>
                <w:bCs/>
                <w:kern w:val="0"/>
                <w:sz w:val="4"/>
                <w:szCs w:val="8"/>
                <w14:ligatures w14:val="none"/>
              </w:rPr>
              <w:t xml:space="preserve"> </w:t>
            </w:r>
            <w:r w:rsidRPr="002128A6">
              <w:rPr>
                <w:rFonts w:ascii="Garamond" w:eastAsia="Times New Roman" w:hAnsi="Garamond" w:cs="Times New Roman"/>
                <w:b/>
                <w:bCs/>
                <w:kern w:val="0"/>
                <w:sz w:val="4"/>
                <w:szCs w:val="8"/>
                <w14:ligatures w14:val="none"/>
              </w:rPr>
              <w:t>përmes shpejtimit të shkëmbimit të informacionit, forcimit të ndjekjes së çështjeve dhe rritjes së ekzekutimit të vendimeve gjyqësore të huaja</w:t>
            </w:r>
          </w:p>
        </w:tc>
        <w:tc>
          <w:tcPr>
            <w:tcW w:w="0" w:type="auto"/>
            <w:tcBorders>
              <w:top w:val="nil"/>
              <w:left w:val="nil"/>
              <w:bottom w:val="single" w:sz="4" w:space="0" w:color="auto"/>
              <w:right w:val="single" w:sz="4" w:space="0" w:color="auto"/>
            </w:tcBorders>
            <w:shd w:val="clear" w:color="auto" w:fill="auto"/>
            <w:vAlign w:val="center"/>
            <w:hideMark/>
          </w:tcPr>
          <w:p w14:paraId="40C469E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4A1F8E1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379A297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036C8A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0BB73A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25072C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34F52F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52DD91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AED422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B0EEDD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6C722A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08845F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6F0050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0FD5BD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2B85A5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56D6C6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1E588B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DBB66C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963531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276541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84066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3F6DC1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067029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ADAAA8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1CCD0E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976781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0EB073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380AD8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A8E317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C0C941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99B46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4F407FD"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0E328E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8" w:space="0" w:color="auto"/>
            </w:tcBorders>
            <w:shd w:val="clear" w:color="000000" w:fill="FFFFFF"/>
            <w:vAlign w:val="center"/>
            <w:hideMark/>
          </w:tcPr>
          <w:p w14:paraId="65A54EB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r>
      <w:tr w:rsidR="00F54824" w:rsidRPr="002128A6" w14:paraId="62A20B4F"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334E001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3.2.1</w:t>
            </w:r>
          </w:p>
        </w:tc>
        <w:tc>
          <w:tcPr>
            <w:tcW w:w="0" w:type="auto"/>
            <w:tcBorders>
              <w:top w:val="nil"/>
              <w:left w:val="nil"/>
              <w:bottom w:val="single" w:sz="4" w:space="0" w:color="auto"/>
              <w:right w:val="single" w:sz="4" w:space="0" w:color="auto"/>
            </w:tcBorders>
            <w:shd w:val="clear" w:color="auto" w:fill="auto"/>
            <w:vAlign w:val="center"/>
            <w:hideMark/>
          </w:tcPr>
          <w:p w14:paraId="5266E100"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Rritja efektivitetit, efikasitetit dhe shpejtësisë së bashkëpunimit gjyqësor ndërkombëtar për ekzekutimin e kërkesave që bëhen nga Shqipëria ose nga shtete të huaja, duke forcuar menaxhimin e çështjes dhe ndjekjen, duke zbatuar parimet e konfidencialitetit dhe mbrojtjes së të dhënave personale, si dhe duke garantuar transmetim dhe trajtim të sigurt të informacionit gjyqësor, me qëllim përmirësimin e normave të ekzekutimit dhe reduktimin e vonesave.</w:t>
            </w:r>
          </w:p>
        </w:tc>
        <w:tc>
          <w:tcPr>
            <w:tcW w:w="0" w:type="auto"/>
            <w:tcBorders>
              <w:top w:val="nil"/>
              <w:left w:val="nil"/>
              <w:bottom w:val="single" w:sz="4" w:space="0" w:color="auto"/>
              <w:right w:val="single" w:sz="4" w:space="0" w:color="auto"/>
            </w:tcBorders>
            <w:shd w:val="clear" w:color="000000" w:fill="FFFFFF"/>
            <w:vAlign w:val="center"/>
            <w:hideMark/>
          </w:tcPr>
          <w:p w14:paraId="4FD2AAF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91401AC</w:t>
            </w:r>
          </w:p>
        </w:tc>
        <w:tc>
          <w:tcPr>
            <w:tcW w:w="0" w:type="auto"/>
            <w:tcBorders>
              <w:top w:val="nil"/>
              <w:left w:val="nil"/>
              <w:bottom w:val="single" w:sz="4" w:space="0" w:color="auto"/>
              <w:right w:val="single" w:sz="4" w:space="0" w:color="auto"/>
            </w:tcBorders>
            <w:shd w:val="clear" w:color="000000" w:fill="FFFFFF"/>
            <w:vAlign w:val="center"/>
            <w:hideMark/>
          </w:tcPr>
          <w:p w14:paraId="5FF6C4F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Drejtësisë</w:t>
            </w:r>
          </w:p>
        </w:tc>
        <w:tc>
          <w:tcPr>
            <w:tcW w:w="0" w:type="auto"/>
            <w:tcBorders>
              <w:top w:val="nil"/>
              <w:left w:val="nil"/>
              <w:bottom w:val="single" w:sz="4" w:space="0" w:color="auto"/>
              <w:right w:val="single" w:sz="4" w:space="0" w:color="auto"/>
            </w:tcBorders>
            <w:shd w:val="clear" w:color="000000" w:fill="FFFFFF"/>
            <w:vAlign w:val="center"/>
            <w:hideMark/>
          </w:tcPr>
          <w:p w14:paraId="18EFFB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MEPJ; Prokuroria e Përgjithshme.</w:t>
            </w:r>
          </w:p>
        </w:tc>
        <w:tc>
          <w:tcPr>
            <w:tcW w:w="0" w:type="auto"/>
            <w:tcBorders>
              <w:top w:val="nil"/>
              <w:left w:val="nil"/>
              <w:bottom w:val="single" w:sz="4" w:space="0" w:color="auto"/>
              <w:right w:val="single" w:sz="4" w:space="0" w:color="auto"/>
            </w:tcBorders>
            <w:shd w:val="clear" w:color="000000" w:fill="FFFFFF"/>
            <w:vAlign w:val="center"/>
            <w:hideMark/>
          </w:tcPr>
          <w:p w14:paraId="49876C5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6B54437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1AADCB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vAlign w:val="center"/>
            <w:hideMark/>
          </w:tcPr>
          <w:p w14:paraId="18735CD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CBE7A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vAlign w:val="center"/>
            <w:hideMark/>
          </w:tcPr>
          <w:p w14:paraId="5263EB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vAlign w:val="center"/>
            <w:hideMark/>
          </w:tcPr>
          <w:p w14:paraId="5E40CFB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76E9C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vAlign w:val="center"/>
            <w:hideMark/>
          </w:tcPr>
          <w:p w14:paraId="69651AA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vAlign w:val="center"/>
            <w:hideMark/>
          </w:tcPr>
          <w:p w14:paraId="66BD40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553FCA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100,000,000</w:t>
            </w:r>
          </w:p>
        </w:tc>
        <w:tc>
          <w:tcPr>
            <w:tcW w:w="0" w:type="auto"/>
            <w:tcBorders>
              <w:top w:val="nil"/>
              <w:left w:val="nil"/>
              <w:bottom w:val="single" w:sz="4" w:space="0" w:color="auto"/>
              <w:right w:val="single" w:sz="4" w:space="0" w:color="auto"/>
            </w:tcBorders>
            <w:shd w:val="clear" w:color="000000" w:fill="FFFFFF"/>
            <w:vAlign w:val="center"/>
            <w:hideMark/>
          </w:tcPr>
          <w:p w14:paraId="02115C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082B5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277287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BCE9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D5A192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484AC9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0DDDD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300,000,000</w:t>
            </w:r>
          </w:p>
        </w:tc>
        <w:tc>
          <w:tcPr>
            <w:tcW w:w="0" w:type="auto"/>
            <w:tcBorders>
              <w:top w:val="nil"/>
              <w:left w:val="nil"/>
              <w:bottom w:val="single" w:sz="4" w:space="0" w:color="auto"/>
              <w:right w:val="single" w:sz="4" w:space="0" w:color="auto"/>
            </w:tcBorders>
            <w:shd w:val="clear" w:color="000000" w:fill="FFFFFF"/>
            <w:vAlign w:val="center"/>
            <w:hideMark/>
          </w:tcPr>
          <w:p w14:paraId="4A79A87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83F9BE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300,000,000</w:t>
            </w:r>
          </w:p>
        </w:tc>
        <w:tc>
          <w:tcPr>
            <w:tcW w:w="0" w:type="auto"/>
            <w:tcBorders>
              <w:top w:val="nil"/>
              <w:left w:val="nil"/>
              <w:bottom w:val="single" w:sz="4" w:space="0" w:color="auto"/>
              <w:right w:val="single" w:sz="4" w:space="0" w:color="auto"/>
            </w:tcBorders>
            <w:shd w:val="clear" w:color="000000" w:fill="FFFFFF"/>
            <w:noWrap/>
            <w:vAlign w:val="center"/>
            <w:hideMark/>
          </w:tcPr>
          <w:p w14:paraId="7B4D47E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300,000,000</w:t>
            </w:r>
          </w:p>
        </w:tc>
        <w:tc>
          <w:tcPr>
            <w:tcW w:w="0" w:type="auto"/>
            <w:tcBorders>
              <w:top w:val="nil"/>
              <w:left w:val="nil"/>
              <w:bottom w:val="single" w:sz="4" w:space="0" w:color="auto"/>
              <w:right w:val="single" w:sz="4" w:space="0" w:color="auto"/>
            </w:tcBorders>
            <w:shd w:val="clear" w:color="000000" w:fill="FFFFFF"/>
            <w:noWrap/>
            <w:vAlign w:val="center"/>
            <w:hideMark/>
          </w:tcPr>
          <w:p w14:paraId="5ECD733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AC8F0D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300,000,000</w:t>
            </w:r>
          </w:p>
        </w:tc>
        <w:tc>
          <w:tcPr>
            <w:tcW w:w="0" w:type="auto"/>
            <w:tcBorders>
              <w:top w:val="nil"/>
              <w:left w:val="nil"/>
              <w:bottom w:val="single" w:sz="4" w:space="0" w:color="auto"/>
              <w:right w:val="single" w:sz="4" w:space="0" w:color="auto"/>
            </w:tcBorders>
            <w:shd w:val="clear" w:color="000000" w:fill="FFFFFF"/>
            <w:noWrap/>
            <w:vAlign w:val="center"/>
            <w:hideMark/>
          </w:tcPr>
          <w:p w14:paraId="59CC8AB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6F1D50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685A1B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F99CA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9EF669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03E8032"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8C8EED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2F80289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F77C9D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6975A60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3.2.2</w:t>
            </w:r>
          </w:p>
        </w:tc>
        <w:tc>
          <w:tcPr>
            <w:tcW w:w="0" w:type="auto"/>
            <w:tcBorders>
              <w:top w:val="nil"/>
              <w:left w:val="nil"/>
              <w:bottom w:val="single" w:sz="4" w:space="0" w:color="auto"/>
              <w:right w:val="single" w:sz="4" w:space="0" w:color="auto"/>
            </w:tcBorders>
            <w:shd w:val="clear" w:color="000000" w:fill="FFFFFF"/>
            <w:vAlign w:val="center"/>
            <w:hideMark/>
          </w:tcPr>
          <w:p w14:paraId="61706065"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xml:space="preserve">Përditësimi dhe sigurimi i aksesit të zgjeruar në regjistrin gjyqësor penal në lidhje me shtetasit shqiptarë të dënuar jashtë Shqipërisë, duke miratuar procedura për marrjen në kohë dhe verifikimin e informacionit nga autoritetet përgjegjëse të huaja, duke siguruar cilësi dhe gjurmueshmëri të të dhënave dhe duke mundësuar akses të autorizuar për institucionet përgjegjëse, në respektim të plotë të konfidencialitetit dhe mbrojtjes së të dhënave personale. </w:t>
            </w:r>
          </w:p>
        </w:tc>
        <w:tc>
          <w:tcPr>
            <w:tcW w:w="0" w:type="auto"/>
            <w:tcBorders>
              <w:top w:val="nil"/>
              <w:left w:val="nil"/>
              <w:bottom w:val="single" w:sz="4" w:space="0" w:color="auto"/>
              <w:right w:val="single" w:sz="4" w:space="0" w:color="auto"/>
            </w:tcBorders>
            <w:shd w:val="clear" w:color="000000" w:fill="FFFFFF"/>
            <w:vAlign w:val="center"/>
            <w:hideMark/>
          </w:tcPr>
          <w:p w14:paraId="2F2EDF7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91401AA</w:t>
            </w:r>
          </w:p>
        </w:tc>
        <w:tc>
          <w:tcPr>
            <w:tcW w:w="0" w:type="auto"/>
            <w:tcBorders>
              <w:top w:val="nil"/>
              <w:left w:val="nil"/>
              <w:bottom w:val="single" w:sz="4" w:space="0" w:color="auto"/>
              <w:right w:val="single" w:sz="4" w:space="0" w:color="auto"/>
            </w:tcBorders>
            <w:shd w:val="clear" w:color="000000" w:fill="FFFFFF"/>
            <w:vAlign w:val="center"/>
            <w:hideMark/>
          </w:tcPr>
          <w:p w14:paraId="343F3A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Drejtësisë</w:t>
            </w:r>
          </w:p>
        </w:tc>
        <w:tc>
          <w:tcPr>
            <w:tcW w:w="0" w:type="auto"/>
            <w:tcBorders>
              <w:top w:val="nil"/>
              <w:left w:val="nil"/>
              <w:bottom w:val="single" w:sz="4" w:space="0" w:color="auto"/>
              <w:right w:val="single" w:sz="4" w:space="0" w:color="auto"/>
            </w:tcBorders>
            <w:shd w:val="clear" w:color="000000" w:fill="FFFFFF"/>
            <w:vAlign w:val="center"/>
            <w:hideMark/>
          </w:tcPr>
          <w:p w14:paraId="78A23D6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MEPJ</w:t>
            </w:r>
          </w:p>
        </w:tc>
        <w:tc>
          <w:tcPr>
            <w:tcW w:w="0" w:type="auto"/>
            <w:tcBorders>
              <w:top w:val="nil"/>
              <w:left w:val="nil"/>
              <w:bottom w:val="single" w:sz="4" w:space="0" w:color="auto"/>
              <w:right w:val="single" w:sz="4" w:space="0" w:color="auto"/>
            </w:tcBorders>
            <w:shd w:val="clear" w:color="000000" w:fill="FFFFFF"/>
            <w:vAlign w:val="center"/>
            <w:hideMark/>
          </w:tcPr>
          <w:p w14:paraId="031A022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7D1E13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69B9102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7BACD87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F85D1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43170BF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66323A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000D62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2B25A7C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5EA2944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E1F1B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2A6E975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B124B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79DA9C8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52B4DB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F4A888C"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9654C3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E297613"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w:t>
            </w:r>
          </w:p>
        </w:tc>
        <w:tc>
          <w:tcPr>
            <w:tcW w:w="0" w:type="auto"/>
            <w:tcBorders>
              <w:top w:val="nil"/>
              <w:left w:val="nil"/>
              <w:bottom w:val="single" w:sz="4" w:space="0" w:color="auto"/>
              <w:right w:val="single" w:sz="4" w:space="0" w:color="auto"/>
            </w:tcBorders>
            <w:shd w:val="clear" w:color="000000" w:fill="FFFFFF"/>
            <w:vAlign w:val="center"/>
            <w:hideMark/>
          </w:tcPr>
          <w:p w14:paraId="47A3BB8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F5DF0F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w:t>
            </w:r>
          </w:p>
        </w:tc>
        <w:tc>
          <w:tcPr>
            <w:tcW w:w="0" w:type="auto"/>
            <w:tcBorders>
              <w:top w:val="nil"/>
              <w:left w:val="nil"/>
              <w:bottom w:val="single" w:sz="4" w:space="0" w:color="auto"/>
              <w:right w:val="single" w:sz="4" w:space="0" w:color="auto"/>
            </w:tcBorders>
            <w:shd w:val="clear" w:color="000000" w:fill="FFFFFF"/>
            <w:noWrap/>
            <w:vAlign w:val="center"/>
            <w:hideMark/>
          </w:tcPr>
          <w:p w14:paraId="01F3675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w:t>
            </w:r>
          </w:p>
        </w:tc>
        <w:tc>
          <w:tcPr>
            <w:tcW w:w="0" w:type="auto"/>
            <w:tcBorders>
              <w:top w:val="nil"/>
              <w:left w:val="nil"/>
              <w:bottom w:val="single" w:sz="4" w:space="0" w:color="auto"/>
              <w:right w:val="single" w:sz="4" w:space="0" w:color="auto"/>
            </w:tcBorders>
            <w:shd w:val="clear" w:color="000000" w:fill="FFFFFF"/>
            <w:noWrap/>
            <w:vAlign w:val="center"/>
            <w:hideMark/>
          </w:tcPr>
          <w:p w14:paraId="71D1370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238ABA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w:t>
            </w:r>
          </w:p>
        </w:tc>
        <w:tc>
          <w:tcPr>
            <w:tcW w:w="0" w:type="auto"/>
            <w:tcBorders>
              <w:top w:val="nil"/>
              <w:left w:val="nil"/>
              <w:bottom w:val="single" w:sz="4" w:space="0" w:color="auto"/>
              <w:right w:val="single" w:sz="4" w:space="0" w:color="auto"/>
            </w:tcBorders>
            <w:shd w:val="clear" w:color="000000" w:fill="FFFFFF"/>
            <w:noWrap/>
            <w:vAlign w:val="center"/>
            <w:hideMark/>
          </w:tcPr>
          <w:p w14:paraId="531E521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D3FA16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D1F0E7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4B7A80E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5AF4AE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0D9298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61A0C6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705BDE9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20BDD11B"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auto" w:fill="auto"/>
            <w:vAlign w:val="center"/>
            <w:hideMark/>
          </w:tcPr>
          <w:p w14:paraId="071A35D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3.2.3</w:t>
            </w:r>
          </w:p>
        </w:tc>
        <w:tc>
          <w:tcPr>
            <w:tcW w:w="0" w:type="auto"/>
            <w:tcBorders>
              <w:top w:val="nil"/>
              <w:left w:val="nil"/>
              <w:bottom w:val="single" w:sz="4" w:space="0" w:color="auto"/>
              <w:right w:val="single" w:sz="4" w:space="0" w:color="auto"/>
            </w:tcBorders>
            <w:shd w:val="clear" w:color="000000" w:fill="FFFFFF"/>
            <w:vAlign w:val="center"/>
            <w:hideMark/>
          </w:tcPr>
          <w:p w14:paraId="139108BA"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Forcimi i mbështetjes për skuadrat e përbashkëta hetimore (përfshirë SPH-të dypalëshe dhe çështjet të mbështetura/koordinuara nga Eurojust), përfshirë përmes koordinimit ligjor dhe operacional në kohë, shkëmbimit të sigurt të informacionit, lehtësimit të takimeve të koordinimit dhe ndjekjes së vazhdueshme të çështjes, me qëllim përmirësimin e mbledhjes ndërkufitare të provave, efektivitetit hetimor dhe ekzekutimit të masave gjyqësore.</w:t>
            </w:r>
          </w:p>
        </w:tc>
        <w:tc>
          <w:tcPr>
            <w:tcW w:w="0" w:type="auto"/>
            <w:tcBorders>
              <w:top w:val="nil"/>
              <w:left w:val="nil"/>
              <w:bottom w:val="single" w:sz="4" w:space="0" w:color="auto"/>
              <w:right w:val="single" w:sz="4" w:space="0" w:color="auto"/>
            </w:tcBorders>
            <w:shd w:val="clear" w:color="000000" w:fill="FFFFFF"/>
            <w:vAlign w:val="center"/>
            <w:hideMark/>
          </w:tcPr>
          <w:p w14:paraId="3E08715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91401AA</w:t>
            </w:r>
          </w:p>
        </w:tc>
        <w:tc>
          <w:tcPr>
            <w:tcW w:w="0" w:type="auto"/>
            <w:tcBorders>
              <w:top w:val="nil"/>
              <w:left w:val="nil"/>
              <w:bottom w:val="single" w:sz="4" w:space="0" w:color="auto"/>
              <w:right w:val="single" w:sz="4" w:space="0" w:color="auto"/>
            </w:tcBorders>
            <w:shd w:val="clear" w:color="000000" w:fill="FFFFFF"/>
            <w:vAlign w:val="center"/>
            <w:hideMark/>
          </w:tcPr>
          <w:p w14:paraId="64F10DC7"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Ministria e Drejtësisë</w:t>
            </w:r>
          </w:p>
        </w:tc>
        <w:tc>
          <w:tcPr>
            <w:tcW w:w="0" w:type="auto"/>
            <w:tcBorders>
              <w:top w:val="nil"/>
              <w:left w:val="nil"/>
              <w:bottom w:val="single" w:sz="4" w:space="0" w:color="auto"/>
              <w:right w:val="single" w:sz="4" w:space="0" w:color="auto"/>
            </w:tcBorders>
            <w:shd w:val="clear" w:color="000000" w:fill="FFFFFF"/>
            <w:vAlign w:val="center"/>
            <w:hideMark/>
          </w:tcPr>
          <w:p w14:paraId="0EAA747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MEPJ; Prokuroria e Përgjithshme; SPAK.</w:t>
            </w:r>
          </w:p>
        </w:tc>
        <w:tc>
          <w:tcPr>
            <w:tcW w:w="0" w:type="auto"/>
            <w:tcBorders>
              <w:top w:val="nil"/>
              <w:left w:val="nil"/>
              <w:bottom w:val="single" w:sz="4" w:space="0" w:color="auto"/>
              <w:right w:val="single" w:sz="4" w:space="0" w:color="auto"/>
            </w:tcBorders>
            <w:shd w:val="clear" w:color="000000" w:fill="FFFFFF"/>
            <w:vAlign w:val="center"/>
            <w:hideMark/>
          </w:tcPr>
          <w:p w14:paraId="3C43E08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2026</w:t>
            </w:r>
          </w:p>
        </w:tc>
        <w:tc>
          <w:tcPr>
            <w:tcW w:w="0" w:type="auto"/>
            <w:tcBorders>
              <w:top w:val="nil"/>
              <w:left w:val="nil"/>
              <w:bottom w:val="single" w:sz="4" w:space="0" w:color="auto"/>
              <w:right w:val="single" w:sz="4" w:space="0" w:color="auto"/>
            </w:tcBorders>
            <w:shd w:val="clear" w:color="000000" w:fill="FFFFFF"/>
            <w:vAlign w:val="center"/>
            <w:hideMark/>
          </w:tcPr>
          <w:p w14:paraId="1308DA2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2028</w:t>
            </w:r>
          </w:p>
        </w:tc>
        <w:tc>
          <w:tcPr>
            <w:tcW w:w="0" w:type="auto"/>
            <w:tcBorders>
              <w:top w:val="nil"/>
              <w:left w:val="nil"/>
              <w:bottom w:val="single" w:sz="4" w:space="0" w:color="auto"/>
              <w:right w:val="single" w:sz="4" w:space="0" w:color="auto"/>
            </w:tcBorders>
            <w:shd w:val="clear" w:color="000000" w:fill="FFFFFF"/>
            <w:vAlign w:val="center"/>
            <w:hideMark/>
          </w:tcPr>
          <w:p w14:paraId="55A5FED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5C2E041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C60214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3EEA683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41AD709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35C4D31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5AE3778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636CF27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59DE4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1,500,000</w:t>
            </w:r>
          </w:p>
        </w:tc>
        <w:tc>
          <w:tcPr>
            <w:tcW w:w="0" w:type="auto"/>
            <w:tcBorders>
              <w:top w:val="nil"/>
              <w:left w:val="nil"/>
              <w:bottom w:val="single" w:sz="4" w:space="0" w:color="auto"/>
              <w:right w:val="single" w:sz="4" w:space="0" w:color="auto"/>
            </w:tcBorders>
            <w:shd w:val="clear" w:color="000000" w:fill="FFFFFF"/>
            <w:vAlign w:val="center"/>
            <w:hideMark/>
          </w:tcPr>
          <w:p w14:paraId="754251A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C43AE2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1B7D5F2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33B7D8C5"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F03DE9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27F760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2EE02B09"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w:t>
            </w:r>
          </w:p>
        </w:tc>
        <w:tc>
          <w:tcPr>
            <w:tcW w:w="0" w:type="auto"/>
            <w:tcBorders>
              <w:top w:val="nil"/>
              <w:left w:val="nil"/>
              <w:bottom w:val="single" w:sz="4" w:space="0" w:color="auto"/>
              <w:right w:val="single" w:sz="4" w:space="0" w:color="auto"/>
            </w:tcBorders>
            <w:shd w:val="clear" w:color="000000" w:fill="FFFFFF"/>
            <w:vAlign w:val="center"/>
            <w:hideMark/>
          </w:tcPr>
          <w:p w14:paraId="68DFC41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B72C60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w:t>
            </w:r>
          </w:p>
        </w:tc>
        <w:tc>
          <w:tcPr>
            <w:tcW w:w="0" w:type="auto"/>
            <w:tcBorders>
              <w:top w:val="nil"/>
              <w:left w:val="nil"/>
              <w:bottom w:val="single" w:sz="4" w:space="0" w:color="auto"/>
              <w:right w:val="single" w:sz="4" w:space="0" w:color="auto"/>
            </w:tcBorders>
            <w:shd w:val="clear" w:color="000000" w:fill="FFFFFF"/>
            <w:noWrap/>
            <w:vAlign w:val="center"/>
            <w:hideMark/>
          </w:tcPr>
          <w:p w14:paraId="2D23D74E"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w:t>
            </w:r>
          </w:p>
        </w:tc>
        <w:tc>
          <w:tcPr>
            <w:tcW w:w="0" w:type="auto"/>
            <w:tcBorders>
              <w:top w:val="nil"/>
              <w:left w:val="nil"/>
              <w:bottom w:val="single" w:sz="4" w:space="0" w:color="auto"/>
              <w:right w:val="single" w:sz="4" w:space="0" w:color="auto"/>
            </w:tcBorders>
            <w:shd w:val="clear" w:color="000000" w:fill="FFFFFF"/>
            <w:noWrap/>
            <w:vAlign w:val="center"/>
            <w:hideMark/>
          </w:tcPr>
          <w:p w14:paraId="5307A06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66A0894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4,500,000</w:t>
            </w:r>
          </w:p>
        </w:tc>
        <w:tc>
          <w:tcPr>
            <w:tcW w:w="0" w:type="auto"/>
            <w:tcBorders>
              <w:top w:val="nil"/>
              <w:left w:val="nil"/>
              <w:bottom w:val="single" w:sz="4" w:space="0" w:color="auto"/>
              <w:right w:val="single" w:sz="4" w:space="0" w:color="auto"/>
            </w:tcBorders>
            <w:shd w:val="clear" w:color="000000" w:fill="FFFFFF"/>
            <w:noWrap/>
            <w:vAlign w:val="center"/>
            <w:hideMark/>
          </w:tcPr>
          <w:p w14:paraId="37BFFD34"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5B619080"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48F16B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70C231A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64F7AFC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4" w:space="0" w:color="auto"/>
            </w:tcBorders>
            <w:shd w:val="clear" w:color="000000" w:fill="FFFFFF"/>
            <w:vAlign w:val="center"/>
            <w:hideMark/>
          </w:tcPr>
          <w:p w14:paraId="0D1E6219"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1A60A88"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c>
          <w:tcPr>
            <w:tcW w:w="0" w:type="auto"/>
            <w:tcBorders>
              <w:top w:val="nil"/>
              <w:left w:val="nil"/>
              <w:bottom w:val="single" w:sz="4" w:space="0" w:color="auto"/>
              <w:right w:val="single" w:sz="8" w:space="0" w:color="auto"/>
            </w:tcBorders>
            <w:shd w:val="clear" w:color="000000" w:fill="FFFFFF"/>
            <w:vAlign w:val="center"/>
            <w:hideMark/>
          </w:tcPr>
          <w:p w14:paraId="39EEFF1D"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0</w:t>
            </w:r>
          </w:p>
        </w:tc>
      </w:tr>
      <w:tr w:rsidR="00F54824" w:rsidRPr="002128A6" w14:paraId="071EC2E0"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9BC2E6"/>
            <w:vAlign w:val="center"/>
            <w:hideMark/>
          </w:tcPr>
          <w:p w14:paraId="365B617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6AB78AEA" w14:textId="2F4D2A66"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Objektivi specifik 3.2</w:t>
            </w:r>
          </w:p>
        </w:tc>
        <w:tc>
          <w:tcPr>
            <w:tcW w:w="0" w:type="auto"/>
            <w:tcBorders>
              <w:top w:val="nil"/>
              <w:left w:val="nil"/>
              <w:bottom w:val="single" w:sz="4" w:space="0" w:color="auto"/>
              <w:right w:val="single" w:sz="4" w:space="0" w:color="auto"/>
            </w:tcBorders>
            <w:shd w:val="clear" w:color="000000" w:fill="9BC2E6"/>
            <w:vAlign w:val="center"/>
            <w:hideMark/>
          </w:tcPr>
          <w:p w14:paraId="1E592E0B"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5E481936"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0EFC15D2"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77DDCDA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1327CB5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78AFFD9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103,000,000</w:t>
            </w:r>
          </w:p>
        </w:tc>
        <w:tc>
          <w:tcPr>
            <w:tcW w:w="0" w:type="auto"/>
            <w:tcBorders>
              <w:top w:val="nil"/>
              <w:left w:val="nil"/>
              <w:bottom w:val="single" w:sz="4" w:space="0" w:color="auto"/>
              <w:right w:val="single" w:sz="4" w:space="0" w:color="auto"/>
            </w:tcBorders>
            <w:shd w:val="clear" w:color="000000" w:fill="9BC2E6"/>
            <w:vAlign w:val="center"/>
            <w:hideMark/>
          </w:tcPr>
          <w:p w14:paraId="12A0DD9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4062431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103,000,000</w:t>
            </w:r>
          </w:p>
        </w:tc>
        <w:tc>
          <w:tcPr>
            <w:tcW w:w="0" w:type="auto"/>
            <w:tcBorders>
              <w:top w:val="nil"/>
              <w:left w:val="nil"/>
              <w:bottom w:val="single" w:sz="4" w:space="0" w:color="auto"/>
              <w:right w:val="single" w:sz="4" w:space="0" w:color="auto"/>
            </w:tcBorders>
            <w:shd w:val="clear" w:color="000000" w:fill="9BC2E6"/>
            <w:vAlign w:val="center"/>
            <w:hideMark/>
          </w:tcPr>
          <w:p w14:paraId="14B3F97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103,000,000</w:t>
            </w:r>
          </w:p>
        </w:tc>
        <w:tc>
          <w:tcPr>
            <w:tcW w:w="0" w:type="auto"/>
            <w:tcBorders>
              <w:top w:val="nil"/>
              <w:left w:val="nil"/>
              <w:bottom w:val="single" w:sz="4" w:space="0" w:color="auto"/>
              <w:right w:val="single" w:sz="4" w:space="0" w:color="auto"/>
            </w:tcBorders>
            <w:shd w:val="clear" w:color="000000" w:fill="9BC2E6"/>
            <w:vAlign w:val="center"/>
            <w:hideMark/>
          </w:tcPr>
          <w:p w14:paraId="5776CBC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0373B6C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103,000,000</w:t>
            </w:r>
          </w:p>
        </w:tc>
        <w:tc>
          <w:tcPr>
            <w:tcW w:w="0" w:type="auto"/>
            <w:tcBorders>
              <w:top w:val="nil"/>
              <w:left w:val="nil"/>
              <w:bottom w:val="single" w:sz="4" w:space="0" w:color="auto"/>
              <w:right w:val="single" w:sz="4" w:space="0" w:color="auto"/>
            </w:tcBorders>
            <w:shd w:val="clear" w:color="000000" w:fill="9BC2E6"/>
            <w:vAlign w:val="center"/>
            <w:hideMark/>
          </w:tcPr>
          <w:p w14:paraId="0937E05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103,000,000</w:t>
            </w:r>
          </w:p>
        </w:tc>
        <w:tc>
          <w:tcPr>
            <w:tcW w:w="0" w:type="auto"/>
            <w:tcBorders>
              <w:top w:val="nil"/>
              <w:left w:val="nil"/>
              <w:bottom w:val="single" w:sz="4" w:space="0" w:color="auto"/>
              <w:right w:val="single" w:sz="4" w:space="0" w:color="auto"/>
            </w:tcBorders>
            <w:shd w:val="clear" w:color="000000" w:fill="9BC2E6"/>
            <w:vAlign w:val="center"/>
            <w:hideMark/>
          </w:tcPr>
          <w:p w14:paraId="3FA525B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3DA5CB3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103,000,000</w:t>
            </w:r>
          </w:p>
        </w:tc>
        <w:tc>
          <w:tcPr>
            <w:tcW w:w="0" w:type="auto"/>
            <w:tcBorders>
              <w:top w:val="nil"/>
              <w:left w:val="nil"/>
              <w:bottom w:val="single" w:sz="4" w:space="0" w:color="auto"/>
              <w:right w:val="single" w:sz="4" w:space="0" w:color="auto"/>
            </w:tcBorders>
            <w:shd w:val="clear" w:color="000000" w:fill="9BC2E6"/>
            <w:vAlign w:val="center"/>
            <w:hideMark/>
          </w:tcPr>
          <w:p w14:paraId="1C717A4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486D07A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19CC6AC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5229934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2004317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5BE947F7"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1F7AA40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309,000,000</w:t>
            </w:r>
          </w:p>
        </w:tc>
        <w:tc>
          <w:tcPr>
            <w:tcW w:w="0" w:type="auto"/>
            <w:tcBorders>
              <w:top w:val="nil"/>
              <w:left w:val="nil"/>
              <w:bottom w:val="single" w:sz="4" w:space="0" w:color="auto"/>
              <w:right w:val="single" w:sz="4" w:space="0" w:color="auto"/>
            </w:tcBorders>
            <w:shd w:val="clear" w:color="000000" w:fill="9BC2E6"/>
            <w:vAlign w:val="center"/>
            <w:hideMark/>
          </w:tcPr>
          <w:p w14:paraId="3EF2629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73BD762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309,000,000</w:t>
            </w:r>
          </w:p>
        </w:tc>
        <w:tc>
          <w:tcPr>
            <w:tcW w:w="0" w:type="auto"/>
            <w:tcBorders>
              <w:top w:val="nil"/>
              <w:left w:val="nil"/>
              <w:bottom w:val="single" w:sz="4" w:space="0" w:color="auto"/>
              <w:right w:val="single" w:sz="4" w:space="0" w:color="auto"/>
            </w:tcBorders>
            <w:shd w:val="clear" w:color="000000" w:fill="9BC2E6"/>
            <w:vAlign w:val="center"/>
            <w:hideMark/>
          </w:tcPr>
          <w:p w14:paraId="466B7A1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309,000,000</w:t>
            </w:r>
          </w:p>
        </w:tc>
        <w:tc>
          <w:tcPr>
            <w:tcW w:w="0" w:type="auto"/>
            <w:tcBorders>
              <w:top w:val="nil"/>
              <w:left w:val="nil"/>
              <w:bottom w:val="single" w:sz="4" w:space="0" w:color="auto"/>
              <w:right w:val="single" w:sz="4" w:space="0" w:color="auto"/>
            </w:tcBorders>
            <w:shd w:val="clear" w:color="000000" w:fill="9BC2E6"/>
            <w:vAlign w:val="center"/>
            <w:hideMark/>
          </w:tcPr>
          <w:p w14:paraId="24375A7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7A962AB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309,000,000</w:t>
            </w:r>
          </w:p>
        </w:tc>
        <w:tc>
          <w:tcPr>
            <w:tcW w:w="0" w:type="auto"/>
            <w:tcBorders>
              <w:top w:val="nil"/>
              <w:left w:val="nil"/>
              <w:bottom w:val="single" w:sz="4" w:space="0" w:color="auto"/>
              <w:right w:val="single" w:sz="4" w:space="0" w:color="auto"/>
            </w:tcBorders>
            <w:shd w:val="clear" w:color="000000" w:fill="9BC2E6"/>
            <w:vAlign w:val="center"/>
            <w:hideMark/>
          </w:tcPr>
          <w:p w14:paraId="6DF2BEF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14952B5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39ACEDE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3A2F27A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3E10499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11E41A9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76DD12E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8" w:space="0" w:color="auto"/>
            </w:tcBorders>
            <w:shd w:val="clear" w:color="000000" w:fill="9BC2E6"/>
            <w:vAlign w:val="center"/>
            <w:hideMark/>
          </w:tcPr>
          <w:p w14:paraId="1A2B386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7413BFF2" w14:textId="77777777" w:rsidTr="005305FA">
        <w:trPr>
          <w:trHeight w:val="20"/>
          <w:jc w:val="center"/>
        </w:trPr>
        <w:tc>
          <w:tcPr>
            <w:tcW w:w="1245" w:type="dxa"/>
            <w:tcBorders>
              <w:top w:val="nil"/>
              <w:left w:val="single" w:sz="8" w:space="0" w:color="auto"/>
              <w:bottom w:val="single" w:sz="4" w:space="0" w:color="auto"/>
              <w:right w:val="single" w:sz="4" w:space="0" w:color="auto"/>
            </w:tcBorders>
            <w:shd w:val="clear" w:color="000000" w:fill="9BC2E6"/>
            <w:vAlign w:val="center"/>
            <w:hideMark/>
          </w:tcPr>
          <w:p w14:paraId="619A383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nil"/>
            </w:tcBorders>
            <w:shd w:val="clear" w:color="000000" w:fill="9BC2E6"/>
            <w:vAlign w:val="center"/>
            <w:hideMark/>
          </w:tcPr>
          <w:p w14:paraId="746B1813" w14:textId="695548A4"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Kosto</w:t>
            </w:r>
            <w:r w:rsidR="00CD6129" w:rsidRPr="002128A6">
              <w:rPr>
                <w:rFonts w:ascii="Garamond" w:eastAsia="Times New Roman" w:hAnsi="Garamond" w:cs="Times New Roman"/>
                <w:b/>
                <w:bCs/>
                <w:kern w:val="0"/>
                <w:sz w:val="4"/>
                <w:szCs w:val="8"/>
                <w14:ligatures w14:val="none"/>
              </w:rPr>
              <w:t>ja</w:t>
            </w:r>
            <w:r w:rsidRPr="002128A6">
              <w:rPr>
                <w:rFonts w:ascii="Garamond" w:eastAsia="Times New Roman" w:hAnsi="Garamond" w:cs="Times New Roman"/>
                <w:b/>
                <w:bCs/>
                <w:kern w:val="0"/>
                <w:sz w:val="4"/>
                <w:szCs w:val="8"/>
                <w14:ligatures w14:val="none"/>
              </w:rPr>
              <w:t xml:space="preserve"> totale Q</w:t>
            </w:r>
            <w:r w:rsidRPr="002128A6">
              <w:rPr>
                <w:rFonts w:ascii="Garamond" w:eastAsia="Times New Roman" w:hAnsi="Garamond" w:cs="Calibri"/>
                <w:b/>
                <w:bCs/>
                <w:kern w:val="0"/>
                <w:sz w:val="4"/>
                <w:szCs w:val="8"/>
                <w14:ligatures w14:val="none"/>
              </w:rPr>
              <w:t>ë</w:t>
            </w:r>
            <w:r w:rsidRPr="002128A6">
              <w:rPr>
                <w:rFonts w:ascii="Garamond" w:eastAsia="Times New Roman" w:hAnsi="Garamond" w:cs="Times New Roman"/>
                <w:b/>
                <w:bCs/>
                <w:kern w:val="0"/>
                <w:sz w:val="4"/>
                <w:szCs w:val="8"/>
                <w14:ligatures w14:val="none"/>
              </w:rPr>
              <w:t>llimi i Politik</w:t>
            </w:r>
            <w:r w:rsidRPr="002128A6">
              <w:rPr>
                <w:rFonts w:ascii="Garamond" w:eastAsia="Times New Roman" w:hAnsi="Garamond" w:cs="Calibri"/>
                <w:b/>
                <w:bCs/>
                <w:kern w:val="0"/>
                <w:sz w:val="4"/>
                <w:szCs w:val="8"/>
                <w14:ligatures w14:val="none"/>
              </w:rPr>
              <w:t>ë</w:t>
            </w:r>
            <w:r w:rsidRPr="002128A6">
              <w:rPr>
                <w:rFonts w:ascii="Garamond" w:eastAsia="Times New Roman" w:hAnsi="Garamond" w:cs="Times New Roman"/>
                <w:b/>
                <w:bCs/>
                <w:kern w:val="0"/>
                <w:sz w:val="4"/>
                <w:szCs w:val="8"/>
                <w14:ligatures w14:val="none"/>
              </w:rPr>
              <w:t>s III (objektiva specifik</w:t>
            </w:r>
            <w:r w:rsidR="00B76863" w:rsidRPr="002128A6">
              <w:rPr>
                <w:rFonts w:ascii="Garamond" w:eastAsia="Times New Roman" w:hAnsi="Garamond" w:cs="Times New Roman"/>
                <w:b/>
                <w:bCs/>
                <w:kern w:val="0"/>
                <w:sz w:val="4"/>
                <w:szCs w:val="8"/>
                <w14:ligatures w14:val="none"/>
              </w:rPr>
              <w:t>ë</w:t>
            </w:r>
            <w:r w:rsidRPr="002128A6">
              <w:rPr>
                <w:rFonts w:ascii="Garamond" w:eastAsia="Times New Roman" w:hAnsi="Garamond" w:cs="Times New Roman"/>
                <w:b/>
                <w:bCs/>
                <w:kern w:val="0"/>
                <w:sz w:val="4"/>
                <w:szCs w:val="8"/>
                <w14:ligatures w14:val="none"/>
              </w:rPr>
              <w:t xml:space="preserve"> 3.1+3.2)</w:t>
            </w:r>
          </w:p>
        </w:tc>
        <w:tc>
          <w:tcPr>
            <w:tcW w:w="0" w:type="auto"/>
            <w:tcBorders>
              <w:top w:val="nil"/>
              <w:left w:val="single" w:sz="4" w:space="0" w:color="auto"/>
              <w:bottom w:val="single" w:sz="4" w:space="0" w:color="auto"/>
              <w:right w:val="single" w:sz="4" w:space="0" w:color="auto"/>
            </w:tcBorders>
            <w:shd w:val="clear" w:color="000000" w:fill="9BC2E6"/>
            <w:vAlign w:val="center"/>
            <w:hideMark/>
          </w:tcPr>
          <w:p w14:paraId="4B879467" w14:textId="77777777" w:rsidR="00DB1B67" w:rsidRPr="002128A6" w:rsidRDefault="00DB1B67" w:rsidP="00DB1B67">
            <w:pPr>
              <w:spacing w:after="0" w:line="240" w:lineRule="auto"/>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2B5504D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77A87D2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15D55BF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3534F7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4" w:space="0" w:color="auto"/>
              <w:right w:val="single" w:sz="4" w:space="0" w:color="auto"/>
            </w:tcBorders>
            <w:shd w:val="clear" w:color="000000" w:fill="9BC2E6"/>
            <w:vAlign w:val="center"/>
            <w:hideMark/>
          </w:tcPr>
          <w:p w14:paraId="4BFE562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313,422,708</w:t>
            </w:r>
          </w:p>
        </w:tc>
        <w:tc>
          <w:tcPr>
            <w:tcW w:w="0" w:type="auto"/>
            <w:tcBorders>
              <w:top w:val="nil"/>
              <w:left w:val="nil"/>
              <w:bottom w:val="single" w:sz="4" w:space="0" w:color="auto"/>
              <w:right w:val="single" w:sz="4" w:space="0" w:color="auto"/>
            </w:tcBorders>
            <w:shd w:val="clear" w:color="000000" w:fill="9BC2E6"/>
            <w:vAlign w:val="center"/>
            <w:hideMark/>
          </w:tcPr>
          <w:p w14:paraId="773AD77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2769329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313,422,708</w:t>
            </w:r>
          </w:p>
        </w:tc>
        <w:tc>
          <w:tcPr>
            <w:tcW w:w="0" w:type="auto"/>
            <w:tcBorders>
              <w:top w:val="nil"/>
              <w:left w:val="nil"/>
              <w:bottom w:val="single" w:sz="4" w:space="0" w:color="auto"/>
              <w:right w:val="single" w:sz="4" w:space="0" w:color="auto"/>
            </w:tcBorders>
            <w:shd w:val="clear" w:color="000000" w:fill="9BC2E6"/>
            <w:vAlign w:val="center"/>
            <w:hideMark/>
          </w:tcPr>
          <w:p w14:paraId="09C6D1F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312,935,208</w:t>
            </w:r>
          </w:p>
        </w:tc>
        <w:tc>
          <w:tcPr>
            <w:tcW w:w="0" w:type="auto"/>
            <w:tcBorders>
              <w:top w:val="nil"/>
              <w:left w:val="nil"/>
              <w:bottom w:val="single" w:sz="4" w:space="0" w:color="auto"/>
              <w:right w:val="single" w:sz="4" w:space="0" w:color="auto"/>
            </w:tcBorders>
            <w:shd w:val="clear" w:color="000000" w:fill="9BC2E6"/>
            <w:vAlign w:val="center"/>
            <w:hideMark/>
          </w:tcPr>
          <w:p w14:paraId="2B71443A"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33531C9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312,935,208</w:t>
            </w:r>
          </w:p>
        </w:tc>
        <w:tc>
          <w:tcPr>
            <w:tcW w:w="0" w:type="auto"/>
            <w:tcBorders>
              <w:top w:val="nil"/>
              <w:left w:val="nil"/>
              <w:bottom w:val="single" w:sz="4" w:space="0" w:color="auto"/>
              <w:right w:val="single" w:sz="4" w:space="0" w:color="auto"/>
            </w:tcBorders>
            <w:shd w:val="clear" w:color="000000" w:fill="9BC2E6"/>
            <w:vAlign w:val="center"/>
            <w:hideMark/>
          </w:tcPr>
          <w:p w14:paraId="167CBD8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312,935,208</w:t>
            </w:r>
          </w:p>
        </w:tc>
        <w:tc>
          <w:tcPr>
            <w:tcW w:w="0" w:type="auto"/>
            <w:tcBorders>
              <w:top w:val="nil"/>
              <w:left w:val="nil"/>
              <w:bottom w:val="single" w:sz="4" w:space="0" w:color="auto"/>
              <w:right w:val="single" w:sz="4" w:space="0" w:color="auto"/>
            </w:tcBorders>
            <w:shd w:val="clear" w:color="000000" w:fill="9BC2E6"/>
            <w:vAlign w:val="center"/>
            <w:hideMark/>
          </w:tcPr>
          <w:p w14:paraId="4A8084E4"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3F77014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312,935,208</w:t>
            </w:r>
          </w:p>
        </w:tc>
        <w:tc>
          <w:tcPr>
            <w:tcW w:w="0" w:type="auto"/>
            <w:tcBorders>
              <w:top w:val="nil"/>
              <w:left w:val="nil"/>
              <w:bottom w:val="single" w:sz="4" w:space="0" w:color="auto"/>
              <w:right w:val="single" w:sz="4" w:space="0" w:color="auto"/>
            </w:tcBorders>
            <w:shd w:val="clear" w:color="000000" w:fill="9BC2E6"/>
            <w:vAlign w:val="center"/>
            <w:hideMark/>
          </w:tcPr>
          <w:p w14:paraId="53791AE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55,275,584</w:t>
            </w:r>
          </w:p>
        </w:tc>
        <w:tc>
          <w:tcPr>
            <w:tcW w:w="0" w:type="auto"/>
            <w:tcBorders>
              <w:top w:val="nil"/>
              <w:left w:val="nil"/>
              <w:bottom w:val="single" w:sz="4" w:space="0" w:color="auto"/>
              <w:right w:val="single" w:sz="4" w:space="0" w:color="auto"/>
            </w:tcBorders>
            <w:shd w:val="clear" w:color="000000" w:fill="9BC2E6"/>
            <w:vAlign w:val="center"/>
            <w:hideMark/>
          </w:tcPr>
          <w:p w14:paraId="680A9B8F"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79FEB64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55,275,584</w:t>
            </w:r>
          </w:p>
        </w:tc>
        <w:tc>
          <w:tcPr>
            <w:tcW w:w="0" w:type="auto"/>
            <w:tcBorders>
              <w:top w:val="nil"/>
              <w:left w:val="nil"/>
              <w:bottom w:val="single" w:sz="4" w:space="0" w:color="auto"/>
              <w:right w:val="single" w:sz="4" w:space="0" w:color="auto"/>
            </w:tcBorders>
            <w:shd w:val="clear" w:color="000000" w:fill="9BC2E6"/>
            <w:vAlign w:val="center"/>
            <w:hideMark/>
          </w:tcPr>
          <w:p w14:paraId="3BA2DEB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55,275,584</w:t>
            </w:r>
          </w:p>
        </w:tc>
        <w:tc>
          <w:tcPr>
            <w:tcW w:w="0" w:type="auto"/>
            <w:tcBorders>
              <w:top w:val="nil"/>
              <w:left w:val="nil"/>
              <w:bottom w:val="single" w:sz="4" w:space="0" w:color="auto"/>
              <w:right w:val="single" w:sz="4" w:space="0" w:color="auto"/>
            </w:tcBorders>
            <w:shd w:val="clear" w:color="000000" w:fill="9BC2E6"/>
            <w:vAlign w:val="center"/>
            <w:hideMark/>
          </w:tcPr>
          <w:p w14:paraId="7247CDB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47AB527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55,275,584</w:t>
            </w:r>
          </w:p>
        </w:tc>
        <w:tc>
          <w:tcPr>
            <w:tcW w:w="0" w:type="auto"/>
            <w:tcBorders>
              <w:top w:val="nil"/>
              <w:left w:val="nil"/>
              <w:bottom w:val="single" w:sz="4" w:space="0" w:color="auto"/>
              <w:right w:val="single" w:sz="4" w:space="0" w:color="auto"/>
            </w:tcBorders>
            <w:shd w:val="clear" w:color="000000" w:fill="9BC2E6"/>
            <w:vAlign w:val="center"/>
            <w:hideMark/>
          </w:tcPr>
          <w:p w14:paraId="1286DA86"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1,049,844,292</w:t>
            </w:r>
          </w:p>
        </w:tc>
        <w:tc>
          <w:tcPr>
            <w:tcW w:w="0" w:type="auto"/>
            <w:tcBorders>
              <w:top w:val="nil"/>
              <w:left w:val="nil"/>
              <w:bottom w:val="single" w:sz="4" w:space="0" w:color="auto"/>
              <w:right w:val="single" w:sz="4" w:space="0" w:color="auto"/>
            </w:tcBorders>
            <w:shd w:val="clear" w:color="000000" w:fill="9BC2E6"/>
            <w:vAlign w:val="center"/>
            <w:hideMark/>
          </w:tcPr>
          <w:p w14:paraId="5A7A0ADD"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16FFA55E"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1,049,844,292</w:t>
            </w:r>
          </w:p>
        </w:tc>
        <w:tc>
          <w:tcPr>
            <w:tcW w:w="0" w:type="auto"/>
            <w:tcBorders>
              <w:top w:val="nil"/>
              <w:left w:val="nil"/>
              <w:bottom w:val="single" w:sz="4" w:space="0" w:color="auto"/>
              <w:right w:val="single" w:sz="4" w:space="0" w:color="auto"/>
            </w:tcBorders>
            <w:shd w:val="clear" w:color="000000" w:fill="9BC2E6"/>
            <w:vAlign w:val="center"/>
            <w:hideMark/>
          </w:tcPr>
          <w:p w14:paraId="6877BBE5"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939,293,124</w:t>
            </w:r>
          </w:p>
        </w:tc>
        <w:tc>
          <w:tcPr>
            <w:tcW w:w="0" w:type="auto"/>
            <w:tcBorders>
              <w:top w:val="nil"/>
              <w:left w:val="nil"/>
              <w:bottom w:val="single" w:sz="4" w:space="0" w:color="auto"/>
              <w:right w:val="single" w:sz="4" w:space="0" w:color="auto"/>
            </w:tcBorders>
            <w:shd w:val="clear" w:color="000000" w:fill="9BC2E6"/>
            <w:vAlign w:val="center"/>
            <w:hideMark/>
          </w:tcPr>
          <w:p w14:paraId="54703B9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70AB3CA3"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939,293,124</w:t>
            </w:r>
          </w:p>
        </w:tc>
        <w:tc>
          <w:tcPr>
            <w:tcW w:w="0" w:type="auto"/>
            <w:tcBorders>
              <w:top w:val="nil"/>
              <w:left w:val="nil"/>
              <w:bottom w:val="single" w:sz="4" w:space="0" w:color="auto"/>
              <w:right w:val="single" w:sz="4" w:space="0" w:color="auto"/>
            </w:tcBorders>
            <w:shd w:val="clear" w:color="000000" w:fill="9BC2E6"/>
            <w:vAlign w:val="center"/>
            <w:hideMark/>
          </w:tcPr>
          <w:p w14:paraId="7442342B"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110,551,168</w:t>
            </w:r>
          </w:p>
        </w:tc>
        <w:tc>
          <w:tcPr>
            <w:tcW w:w="0" w:type="auto"/>
            <w:tcBorders>
              <w:top w:val="nil"/>
              <w:left w:val="nil"/>
              <w:bottom w:val="single" w:sz="4" w:space="0" w:color="auto"/>
              <w:right w:val="single" w:sz="4" w:space="0" w:color="auto"/>
            </w:tcBorders>
            <w:shd w:val="clear" w:color="000000" w:fill="9BC2E6"/>
            <w:vAlign w:val="center"/>
            <w:hideMark/>
          </w:tcPr>
          <w:p w14:paraId="2AD858A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48CE8C7C"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110,551,168</w:t>
            </w:r>
          </w:p>
        </w:tc>
        <w:tc>
          <w:tcPr>
            <w:tcW w:w="0" w:type="auto"/>
            <w:tcBorders>
              <w:top w:val="nil"/>
              <w:left w:val="nil"/>
              <w:bottom w:val="single" w:sz="4" w:space="0" w:color="auto"/>
              <w:right w:val="single" w:sz="4" w:space="0" w:color="auto"/>
            </w:tcBorders>
            <w:shd w:val="clear" w:color="000000" w:fill="9BC2E6"/>
            <w:vAlign w:val="center"/>
            <w:hideMark/>
          </w:tcPr>
          <w:p w14:paraId="36F04E42"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3BF71251"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10868D3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4" w:space="0" w:color="auto"/>
            </w:tcBorders>
            <w:shd w:val="clear" w:color="000000" w:fill="9BC2E6"/>
            <w:vAlign w:val="center"/>
            <w:hideMark/>
          </w:tcPr>
          <w:p w14:paraId="14E32329"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c>
          <w:tcPr>
            <w:tcW w:w="0" w:type="auto"/>
            <w:tcBorders>
              <w:top w:val="nil"/>
              <w:left w:val="nil"/>
              <w:bottom w:val="single" w:sz="4" w:space="0" w:color="auto"/>
              <w:right w:val="single" w:sz="8" w:space="0" w:color="auto"/>
            </w:tcBorders>
            <w:shd w:val="clear" w:color="000000" w:fill="9BC2E6"/>
            <w:vAlign w:val="center"/>
            <w:hideMark/>
          </w:tcPr>
          <w:p w14:paraId="68C8A2A0"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0</w:t>
            </w:r>
          </w:p>
        </w:tc>
      </w:tr>
      <w:tr w:rsidR="00F54824" w:rsidRPr="002128A6" w14:paraId="2DE7135F" w14:textId="77777777" w:rsidTr="005305FA">
        <w:trPr>
          <w:trHeight w:val="20"/>
          <w:jc w:val="center"/>
        </w:trPr>
        <w:tc>
          <w:tcPr>
            <w:tcW w:w="1245" w:type="dxa"/>
            <w:tcBorders>
              <w:top w:val="nil"/>
              <w:left w:val="single" w:sz="8" w:space="0" w:color="auto"/>
              <w:bottom w:val="single" w:sz="8" w:space="0" w:color="auto"/>
              <w:right w:val="single" w:sz="4" w:space="0" w:color="auto"/>
            </w:tcBorders>
            <w:shd w:val="clear" w:color="000000" w:fill="A9D08E"/>
            <w:noWrap/>
            <w:vAlign w:val="bottom"/>
            <w:hideMark/>
          </w:tcPr>
          <w:p w14:paraId="0103C4B8" w14:textId="77777777" w:rsidR="00DB1B67" w:rsidRPr="002128A6" w:rsidRDefault="00DB1B67" w:rsidP="00DB1B67">
            <w:pPr>
              <w:spacing w:after="0" w:line="240" w:lineRule="auto"/>
              <w:jc w:val="center"/>
              <w:rPr>
                <w:rFonts w:ascii="Garamond" w:eastAsia="Times New Roman" w:hAnsi="Garamond" w:cs="Times New Roman"/>
                <w:b/>
                <w:bCs/>
                <w:kern w:val="0"/>
                <w:sz w:val="4"/>
                <w:szCs w:val="8"/>
                <w14:ligatures w14:val="none"/>
              </w:rPr>
            </w:pPr>
            <w:r w:rsidRPr="002128A6">
              <w:rPr>
                <w:rFonts w:ascii="Garamond" w:eastAsia="Times New Roman" w:hAnsi="Garamond" w:cs="Times New Roman"/>
                <w:b/>
                <w:bCs/>
                <w:kern w:val="0"/>
                <w:sz w:val="4"/>
                <w:szCs w:val="8"/>
                <w14:ligatures w14:val="none"/>
              </w:rPr>
              <w:t> </w:t>
            </w:r>
          </w:p>
        </w:tc>
        <w:tc>
          <w:tcPr>
            <w:tcW w:w="0" w:type="auto"/>
            <w:tcBorders>
              <w:top w:val="nil"/>
              <w:left w:val="nil"/>
              <w:bottom w:val="single" w:sz="8" w:space="0" w:color="auto"/>
              <w:right w:val="single" w:sz="4" w:space="0" w:color="auto"/>
            </w:tcBorders>
            <w:shd w:val="clear" w:color="000000" w:fill="A9D08E"/>
            <w:noWrap/>
            <w:vAlign w:val="center"/>
            <w:hideMark/>
          </w:tcPr>
          <w:p w14:paraId="089E89D5" w14:textId="5791C44D" w:rsidR="00DB1B67" w:rsidRPr="002128A6" w:rsidRDefault="00DB1B67" w:rsidP="00DB1B67">
            <w:pPr>
              <w:spacing w:after="0" w:line="240" w:lineRule="auto"/>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KOSTO</w:t>
            </w:r>
            <w:r w:rsidR="00CD6129" w:rsidRPr="002128A6">
              <w:rPr>
                <w:rFonts w:ascii="Garamond" w:eastAsia="Times New Roman" w:hAnsi="Garamond" w:cs="Calibri"/>
                <w:b/>
                <w:bCs/>
                <w:kern w:val="0"/>
                <w:sz w:val="4"/>
                <w:szCs w:val="8"/>
                <w14:ligatures w14:val="none"/>
              </w:rPr>
              <w:t xml:space="preserve">JA </w:t>
            </w:r>
            <w:r w:rsidRPr="002128A6">
              <w:rPr>
                <w:rFonts w:ascii="Garamond" w:eastAsia="Times New Roman" w:hAnsi="Garamond" w:cs="Calibri"/>
                <w:b/>
                <w:bCs/>
                <w:kern w:val="0"/>
                <w:sz w:val="4"/>
                <w:szCs w:val="8"/>
                <w14:ligatures w14:val="none"/>
              </w:rPr>
              <w:t>TOTALE E PLANIT TË VEPRIMIT= QP I + QP II + QP III</w:t>
            </w:r>
          </w:p>
        </w:tc>
        <w:tc>
          <w:tcPr>
            <w:tcW w:w="0" w:type="auto"/>
            <w:tcBorders>
              <w:top w:val="nil"/>
              <w:left w:val="nil"/>
              <w:bottom w:val="single" w:sz="8" w:space="0" w:color="auto"/>
              <w:right w:val="single" w:sz="4" w:space="0" w:color="auto"/>
            </w:tcBorders>
            <w:shd w:val="clear" w:color="000000" w:fill="A9D08E"/>
            <w:noWrap/>
            <w:vAlign w:val="bottom"/>
            <w:hideMark/>
          </w:tcPr>
          <w:p w14:paraId="451A72B1" w14:textId="77777777" w:rsidR="00DB1B67" w:rsidRPr="002128A6" w:rsidRDefault="00DB1B67" w:rsidP="00DB1B67">
            <w:pPr>
              <w:spacing w:after="0" w:line="240" w:lineRule="auto"/>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8" w:space="0" w:color="auto"/>
              <w:right w:val="single" w:sz="4" w:space="0" w:color="auto"/>
            </w:tcBorders>
            <w:shd w:val="clear" w:color="000000" w:fill="A9D08E"/>
            <w:noWrap/>
            <w:vAlign w:val="bottom"/>
            <w:hideMark/>
          </w:tcPr>
          <w:p w14:paraId="22AECC21"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8" w:space="0" w:color="auto"/>
              <w:right w:val="single" w:sz="4" w:space="0" w:color="auto"/>
            </w:tcBorders>
            <w:shd w:val="clear" w:color="000000" w:fill="A9D08E"/>
            <w:noWrap/>
            <w:vAlign w:val="bottom"/>
            <w:hideMark/>
          </w:tcPr>
          <w:p w14:paraId="26D9C54A"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8" w:space="0" w:color="auto"/>
              <w:right w:val="single" w:sz="4" w:space="0" w:color="auto"/>
            </w:tcBorders>
            <w:shd w:val="clear" w:color="000000" w:fill="A9D08E"/>
            <w:noWrap/>
            <w:vAlign w:val="bottom"/>
            <w:hideMark/>
          </w:tcPr>
          <w:p w14:paraId="0B725D4F"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8" w:space="0" w:color="auto"/>
              <w:right w:val="single" w:sz="4" w:space="0" w:color="auto"/>
            </w:tcBorders>
            <w:shd w:val="clear" w:color="000000" w:fill="A9D08E"/>
            <w:noWrap/>
            <w:vAlign w:val="bottom"/>
            <w:hideMark/>
          </w:tcPr>
          <w:p w14:paraId="3D7266BB" w14:textId="77777777" w:rsidR="00DB1B67" w:rsidRPr="002128A6" w:rsidRDefault="00DB1B67" w:rsidP="00DB1B67">
            <w:pPr>
              <w:spacing w:after="0" w:line="240" w:lineRule="auto"/>
              <w:jc w:val="center"/>
              <w:rPr>
                <w:rFonts w:ascii="Garamond" w:eastAsia="Times New Roman" w:hAnsi="Garamond" w:cs="Times New Roman"/>
                <w:kern w:val="0"/>
                <w:sz w:val="4"/>
                <w:szCs w:val="8"/>
                <w14:ligatures w14:val="none"/>
              </w:rPr>
            </w:pPr>
            <w:r w:rsidRPr="002128A6">
              <w:rPr>
                <w:rFonts w:ascii="Garamond" w:eastAsia="Times New Roman" w:hAnsi="Garamond" w:cs="Times New Roman"/>
                <w:kern w:val="0"/>
                <w:sz w:val="4"/>
                <w:szCs w:val="8"/>
                <w14:ligatures w14:val="none"/>
              </w:rPr>
              <w:t> </w:t>
            </w:r>
          </w:p>
        </w:tc>
        <w:tc>
          <w:tcPr>
            <w:tcW w:w="0" w:type="auto"/>
            <w:tcBorders>
              <w:top w:val="nil"/>
              <w:left w:val="nil"/>
              <w:bottom w:val="single" w:sz="8" w:space="0" w:color="auto"/>
              <w:right w:val="single" w:sz="4" w:space="0" w:color="auto"/>
            </w:tcBorders>
            <w:shd w:val="clear" w:color="000000" w:fill="A9D08E"/>
            <w:noWrap/>
            <w:vAlign w:val="center"/>
            <w:hideMark/>
          </w:tcPr>
          <w:p w14:paraId="68DBF543"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12,863,779,749</w:t>
            </w:r>
          </w:p>
        </w:tc>
        <w:tc>
          <w:tcPr>
            <w:tcW w:w="0" w:type="auto"/>
            <w:tcBorders>
              <w:top w:val="nil"/>
              <w:left w:val="nil"/>
              <w:bottom w:val="single" w:sz="8" w:space="0" w:color="auto"/>
              <w:right w:val="single" w:sz="4" w:space="0" w:color="auto"/>
            </w:tcBorders>
            <w:shd w:val="clear" w:color="000000" w:fill="A9D08E"/>
            <w:noWrap/>
            <w:vAlign w:val="center"/>
            <w:hideMark/>
          </w:tcPr>
          <w:p w14:paraId="595D09AB"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2,921,788,127</w:t>
            </w:r>
          </w:p>
        </w:tc>
        <w:tc>
          <w:tcPr>
            <w:tcW w:w="0" w:type="auto"/>
            <w:tcBorders>
              <w:top w:val="nil"/>
              <w:left w:val="nil"/>
              <w:bottom w:val="single" w:sz="8" w:space="0" w:color="auto"/>
              <w:right w:val="single" w:sz="4" w:space="0" w:color="auto"/>
            </w:tcBorders>
            <w:shd w:val="clear" w:color="000000" w:fill="A9D08E"/>
            <w:noWrap/>
            <w:vAlign w:val="center"/>
            <w:hideMark/>
          </w:tcPr>
          <w:p w14:paraId="6148C866"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15,785,567,876</w:t>
            </w:r>
          </w:p>
        </w:tc>
        <w:tc>
          <w:tcPr>
            <w:tcW w:w="0" w:type="auto"/>
            <w:tcBorders>
              <w:top w:val="nil"/>
              <w:left w:val="nil"/>
              <w:bottom w:val="single" w:sz="8" w:space="0" w:color="auto"/>
              <w:right w:val="single" w:sz="4" w:space="0" w:color="auto"/>
            </w:tcBorders>
            <w:shd w:val="clear" w:color="000000" w:fill="A9D08E"/>
            <w:noWrap/>
            <w:vAlign w:val="center"/>
            <w:hideMark/>
          </w:tcPr>
          <w:p w14:paraId="403CE4BF"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3,788,808,146</w:t>
            </w:r>
          </w:p>
        </w:tc>
        <w:tc>
          <w:tcPr>
            <w:tcW w:w="0" w:type="auto"/>
            <w:tcBorders>
              <w:top w:val="nil"/>
              <w:left w:val="nil"/>
              <w:bottom w:val="single" w:sz="8" w:space="0" w:color="auto"/>
              <w:right w:val="single" w:sz="4" w:space="0" w:color="auto"/>
            </w:tcBorders>
            <w:shd w:val="clear" w:color="000000" w:fill="A9D08E"/>
            <w:noWrap/>
            <w:vAlign w:val="center"/>
            <w:hideMark/>
          </w:tcPr>
          <w:p w14:paraId="7B20383E"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4,433,529,219</w:t>
            </w:r>
          </w:p>
        </w:tc>
        <w:tc>
          <w:tcPr>
            <w:tcW w:w="0" w:type="auto"/>
            <w:tcBorders>
              <w:top w:val="nil"/>
              <w:left w:val="nil"/>
              <w:bottom w:val="single" w:sz="8" w:space="0" w:color="auto"/>
              <w:right w:val="single" w:sz="4" w:space="0" w:color="auto"/>
            </w:tcBorders>
            <w:shd w:val="clear" w:color="000000" w:fill="A9D08E"/>
            <w:noWrap/>
            <w:vAlign w:val="center"/>
            <w:hideMark/>
          </w:tcPr>
          <w:p w14:paraId="1E1A9FF5"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8,222,337,365</w:t>
            </w:r>
          </w:p>
        </w:tc>
        <w:tc>
          <w:tcPr>
            <w:tcW w:w="0" w:type="auto"/>
            <w:tcBorders>
              <w:top w:val="nil"/>
              <w:left w:val="nil"/>
              <w:bottom w:val="single" w:sz="8" w:space="0" w:color="auto"/>
              <w:right w:val="single" w:sz="4" w:space="0" w:color="auto"/>
            </w:tcBorders>
            <w:shd w:val="clear" w:color="000000" w:fill="A9D08E"/>
            <w:noWrap/>
            <w:vAlign w:val="center"/>
            <w:hideMark/>
          </w:tcPr>
          <w:p w14:paraId="7E77302C"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3,785,200,523</w:t>
            </w:r>
          </w:p>
        </w:tc>
        <w:tc>
          <w:tcPr>
            <w:tcW w:w="0" w:type="auto"/>
            <w:tcBorders>
              <w:top w:val="nil"/>
              <w:left w:val="nil"/>
              <w:bottom w:val="single" w:sz="8" w:space="0" w:color="auto"/>
              <w:right w:val="single" w:sz="4" w:space="0" w:color="auto"/>
            </w:tcBorders>
            <w:shd w:val="clear" w:color="000000" w:fill="A9D08E"/>
            <w:noWrap/>
            <w:vAlign w:val="center"/>
            <w:hideMark/>
          </w:tcPr>
          <w:p w14:paraId="3D8014B3"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4,514,370,060</w:t>
            </w:r>
          </w:p>
        </w:tc>
        <w:tc>
          <w:tcPr>
            <w:tcW w:w="0" w:type="auto"/>
            <w:tcBorders>
              <w:top w:val="nil"/>
              <w:left w:val="nil"/>
              <w:bottom w:val="single" w:sz="8" w:space="0" w:color="auto"/>
              <w:right w:val="single" w:sz="4" w:space="0" w:color="auto"/>
            </w:tcBorders>
            <w:shd w:val="clear" w:color="000000" w:fill="A9D08E"/>
            <w:noWrap/>
            <w:vAlign w:val="center"/>
            <w:hideMark/>
          </w:tcPr>
          <w:p w14:paraId="75A6F5A9"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8,299,570,583</w:t>
            </w:r>
          </w:p>
        </w:tc>
        <w:tc>
          <w:tcPr>
            <w:tcW w:w="0" w:type="auto"/>
            <w:tcBorders>
              <w:top w:val="nil"/>
              <w:left w:val="nil"/>
              <w:bottom w:val="single" w:sz="8" w:space="0" w:color="auto"/>
              <w:right w:val="single" w:sz="4" w:space="0" w:color="auto"/>
            </w:tcBorders>
            <w:shd w:val="clear" w:color="000000" w:fill="A9D08E"/>
            <w:noWrap/>
            <w:vAlign w:val="center"/>
            <w:hideMark/>
          </w:tcPr>
          <w:p w14:paraId="212B3E0C"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2,611,672,999</w:t>
            </w:r>
          </w:p>
        </w:tc>
        <w:tc>
          <w:tcPr>
            <w:tcW w:w="0" w:type="auto"/>
            <w:tcBorders>
              <w:top w:val="nil"/>
              <w:left w:val="nil"/>
              <w:bottom w:val="single" w:sz="8" w:space="0" w:color="auto"/>
              <w:right w:val="single" w:sz="4" w:space="0" w:color="auto"/>
            </w:tcBorders>
            <w:shd w:val="clear" w:color="000000" w:fill="A9D08E"/>
            <w:noWrap/>
            <w:vAlign w:val="center"/>
            <w:hideMark/>
          </w:tcPr>
          <w:p w14:paraId="12F80A55"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2,470,145,000</w:t>
            </w:r>
          </w:p>
        </w:tc>
        <w:tc>
          <w:tcPr>
            <w:tcW w:w="0" w:type="auto"/>
            <w:tcBorders>
              <w:top w:val="nil"/>
              <w:left w:val="nil"/>
              <w:bottom w:val="single" w:sz="8" w:space="0" w:color="auto"/>
              <w:right w:val="single" w:sz="4" w:space="0" w:color="auto"/>
            </w:tcBorders>
            <w:shd w:val="clear" w:color="000000" w:fill="A9D08E"/>
            <w:noWrap/>
            <w:vAlign w:val="center"/>
            <w:hideMark/>
          </w:tcPr>
          <w:p w14:paraId="50B12CA7"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5,081,817,999</w:t>
            </w:r>
          </w:p>
        </w:tc>
        <w:tc>
          <w:tcPr>
            <w:tcW w:w="0" w:type="auto"/>
            <w:tcBorders>
              <w:top w:val="nil"/>
              <w:left w:val="nil"/>
              <w:bottom w:val="single" w:sz="8" w:space="0" w:color="auto"/>
              <w:right w:val="single" w:sz="4" w:space="0" w:color="auto"/>
            </w:tcBorders>
            <w:shd w:val="clear" w:color="000000" w:fill="A9D08E"/>
            <w:noWrap/>
            <w:vAlign w:val="center"/>
            <w:hideMark/>
          </w:tcPr>
          <w:p w14:paraId="380AF156"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2,611,672,999</w:t>
            </w:r>
          </w:p>
        </w:tc>
        <w:tc>
          <w:tcPr>
            <w:tcW w:w="0" w:type="auto"/>
            <w:tcBorders>
              <w:top w:val="nil"/>
              <w:left w:val="nil"/>
              <w:bottom w:val="single" w:sz="8" w:space="0" w:color="auto"/>
              <w:right w:val="single" w:sz="4" w:space="0" w:color="auto"/>
            </w:tcBorders>
            <w:shd w:val="clear" w:color="000000" w:fill="A9D08E"/>
            <w:noWrap/>
            <w:vAlign w:val="center"/>
            <w:hideMark/>
          </w:tcPr>
          <w:p w14:paraId="16D954F3"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2,470,145,000</w:t>
            </w:r>
          </w:p>
        </w:tc>
        <w:tc>
          <w:tcPr>
            <w:tcW w:w="0" w:type="auto"/>
            <w:tcBorders>
              <w:top w:val="nil"/>
              <w:left w:val="nil"/>
              <w:bottom w:val="single" w:sz="8" w:space="0" w:color="auto"/>
              <w:right w:val="single" w:sz="4" w:space="0" w:color="auto"/>
            </w:tcBorders>
            <w:shd w:val="clear" w:color="000000" w:fill="A9D08E"/>
            <w:noWrap/>
            <w:vAlign w:val="center"/>
            <w:hideMark/>
          </w:tcPr>
          <w:p w14:paraId="2A9CA68D"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5,081,817,999</w:t>
            </w:r>
          </w:p>
        </w:tc>
        <w:tc>
          <w:tcPr>
            <w:tcW w:w="0" w:type="auto"/>
            <w:tcBorders>
              <w:top w:val="nil"/>
              <w:left w:val="nil"/>
              <w:bottom w:val="single" w:sz="8" w:space="0" w:color="auto"/>
              <w:right w:val="single" w:sz="4" w:space="0" w:color="auto"/>
            </w:tcBorders>
            <w:shd w:val="clear" w:color="000000" w:fill="A9D08E"/>
            <w:noWrap/>
            <w:vAlign w:val="center"/>
            <w:hideMark/>
          </w:tcPr>
          <w:p w14:paraId="56AE3282"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25,661,134,416</w:t>
            </w:r>
          </w:p>
        </w:tc>
        <w:tc>
          <w:tcPr>
            <w:tcW w:w="0" w:type="auto"/>
            <w:tcBorders>
              <w:top w:val="nil"/>
              <w:left w:val="nil"/>
              <w:bottom w:val="single" w:sz="8" w:space="0" w:color="auto"/>
              <w:right w:val="single" w:sz="4" w:space="0" w:color="auto"/>
            </w:tcBorders>
            <w:shd w:val="clear" w:color="000000" w:fill="A9D08E"/>
            <w:noWrap/>
            <w:vAlign w:val="center"/>
            <w:hideMark/>
          </w:tcPr>
          <w:p w14:paraId="73D48369"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11,869,687,406</w:t>
            </w:r>
          </w:p>
        </w:tc>
        <w:tc>
          <w:tcPr>
            <w:tcW w:w="0" w:type="auto"/>
            <w:tcBorders>
              <w:top w:val="nil"/>
              <w:left w:val="nil"/>
              <w:bottom w:val="single" w:sz="8" w:space="0" w:color="auto"/>
              <w:right w:val="single" w:sz="4" w:space="0" w:color="auto"/>
            </w:tcBorders>
            <w:shd w:val="clear" w:color="000000" w:fill="A9D08E"/>
            <w:noWrap/>
            <w:vAlign w:val="center"/>
            <w:hideMark/>
          </w:tcPr>
          <w:p w14:paraId="3AC23959"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37,530,821,822</w:t>
            </w:r>
          </w:p>
        </w:tc>
        <w:tc>
          <w:tcPr>
            <w:tcW w:w="0" w:type="auto"/>
            <w:tcBorders>
              <w:top w:val="nil"/>
              <w:left w:val="nil"/>
              <w:bottom w:val="single" w:sz="8" w:space="0" w:color="auto"/>
              <w:right w:val="single" w:sz="4" w:space="0" w:color="auto"/>
            </w:tcBorders>
            <w:shd w:val="clear" w:color="000000" w:fill="A9D08E"/>
            <w:noWrap/>
            <w:vAlign w:val="center"/>
            <w:hideMark/>
          </w:tcPr>
          <w:p w14:paraId="481EDBE1"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20,437,788,418</w:t>
            </w:r>
          </w:p>
        </w:tc>
        <w:tc>
          <w:tcPr>
            <w:tcW w:w="0" w:type="auto"/>
            <w:tcBorders>
              <w:top w:val="nil"/>
              <w:left w:val="nil"/>
              <w:bottom w:val="single" w:sz="8" w:space="0" w:color="auto"/>
              <w:right w:val="single" w:sz="4" w:space="0" w:color="auto"/>
            </w:tcBorders>
            <w:shd w:val="clear" w:color="000000" w:fill="A9D08E"/>
            <w:noWrap/>
            <w:vAlign w:val="center"/>
            <w:hideMark/>
          </w:tcPr>
          <w:p w14:paraId="62E62AB1"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2,201,627,998</w:t>
            </w:r>
          </w:p>
        </w:tc>
        <w:tc>
          <w:tcPr>
            <w:tcW w:w="0" w:type="auto"/>
            <w:tcBorders>
              <w:top w:val="nil"/>
              <w:left w:val="nil"/>
              <w:bottom w:val="single" w:sz="8" w:space="0" w:color="auto"/>
              <w:right w:val="single" w:sz="4" w:space="0" w:color="auto"/>
            </w:tcBorders>
            <w:shd w:val="clear" w:color="000000" w:fill="A9D08E"/>
            <w:noWrap/>
            <w:vAlign w:val="center"/>
            <w:hideMark/>
          </w:tcPr>
          <w:p w14:paraId="3300ADFB"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22,639,416,416</w:t>
            </w:r>
          </w:p>
        </w:tc>
        <w:tc>
          <w:tcPr>
            <w:tcW w:w="0" w:type="auto"/>
            <w:tcBorders>
              <w:top w:val="nil"/>
              <w:left w:val="nil"/>
              <w:bottom w:val="single" w:sz="8" w:space="0" w:color="auto"/>
              <w:right w:val="single" w:sz="4" w:space="0" w:color="auto"/>
            </w:tcBorders>
            <w:shd w:val="clear" w:color="000000" w:fill="A9D08E"/>
            <w:noWrap/>
            <w:vAlign w:val="center"/>
            <w:hideMark/>
          </w:tcPr>
          <w:p w14:paraId="3C1F3C51"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5,223,345,998</w:t>
            </w:r>
          </w:p>
        </w:tc>
        <w:tc>
          <w:tcPr>
            <w:tcW w:w="0" w:type="auto"/>
            <w:tcBorders>
              <w:top w:val="nil"/>
              <w:left w:val="nil"/>
              <w:bottom w:val="single" w:sz="8" w:space="0" w:color="auto"/>
              <w:right w:val="single" w:sz="4" w:space="0" w:color="auto"/>
            </w:tcBorders>
            <w:shd w:val="clear" w:color="000000" w:fill="A9D08E"/>
            <w:noWrap/>
            <w:vAlign w:val="center"/>
            <w:hideMark/>
          </w:tcPr>
          <w:p w14:paraId="1559C9DE"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2,701,050,000</w:t>
            </w:r>
          </w:p>
        </w:tc>
        <w:tc>
          <w:tcPr>
            <w:tcW w:w="0" w:type="auto"/>
            <w:tcBorders>
              <w:top w:val="nil"/>
              <w:left w:val="nil"/>
              <w:bottom w:val="single" w:sz="8" w:space="0" w:color="auto"/>
              <w:right w:val="single" w:sz="4" w:space="0" w:color="auto"/>
            </w:tcBorders>
            <w:shd w:val="clear" w:color="000000" w:fill="A9D08E"/>
            <w:noWrap/>
            <w:vAlign w:val="center"/>
            <w:hideMark/>
          </w:tcPr>
          <w:p w14:paraId="30A20657"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7,924,395,998</w:t>
            </w:r>
          </w:p>
        </w:tc>
        <w:tc>
          <w:tcPr>
            <w:tcW w:w="0" w:type="auto"/>
            <w:tcBorders>
              <w:top w:val="nil"/>
              <w:left w:val="nil"/>
              <w:bottom w:val="single" w:sz="8" w:space="0" w:color="auto"/>
              <w:right w:val="single" w:sz="4" w:space="0" w:color="auto"/>
            </w:tcBorders>
            <w:shd w:val="clear" w:color="000000" w:fill="A9D08E"/>
            <w:noWrap/>
            <w:vAlign w:val="center"/>
            <w:hideMark/>
          </w:tcPr>
          <w:p w14:paraId="52DA1664"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0</w:t>
            </w:r>
          </w:p>
        </w:tc>
        <w:tc>
          <w:tcPr>
            <w:tcW w:w="0" w:type="auto"/>
            <w:tcBorders>
              <w:top w:val="nil"/>
              <w:left w:val="nil"/>
              <w:bottom w:val="single" w:sz="8" w:space="0" w:color="auto"/>
              <w:right w:val="single" w:sz="4" w:space="0" w:color="auto"/>
            </w:tcBorders>
            <w:shd w:val="clear" w:color="000000" w:fill="A9D08E"/>
            <w:noWrap/>
            <w:vAlign w:val="center"/>
            <w:hideMark/>
          </w:tcPr>
          <w:p w14:paraId="1399CB8E"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3,974,455,408</w:t>
            </w:r>
          </w:p>
        </w:tc>
        <w:tc>
          <w:tcPr>
            <w:tcW w:w="0" w:type="auto"/>
            <w:tcBorders>
              <w:top w:val="nil"/>
              <w:left w:val="nil"/>
              <w:bottom w:val="single" w:sz="8" w:space="0" w:color="auto"/>
              <w:right w:val="single" w:sz="4" w:space="0" w:color="auto"/>
            </w:tcBorders>
            <w:shd w:val="clear" w:color="000000" w:fill="A9D08E"/>
            <w:noWrap/>
            <w:vAlign w:val="center"/>
            <w:hideMark/>
          </w:tcPr>
          <w:p w14:paraId="0E22B62B"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0</w:t>
            </w:r>
          </w:p>
        </w:tc>
        <w:tc>
          <w:tcPr>
            <w:tcW w:w="0" w:type="auto"/>
            <w:tcBorders>
              <w:top w:val="nil"/>
              <w:left w:val="nil"/>
              <w:bottom w:val="single" w:sz="8" w:space="0" w:color="auto"/>
              <w:right w:val="single" w:sz="4" w:space="0" w:color="auto"/>
            </w:tcBorders>
            <w:shd w:val="clear" w:color="000000" w:fill="A9D08E"/>
            <w:noWrap/>
            <w:vAlign w:val="center"/>
            <w:hideMark/>
          </w:tcPr>
          <w:p w14:paraId="64B35035"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3,974,455,408</w:t>
            </w:r>
          </w:p>
        </w:tc>
        <w:tc>
          <w:tcPr>
            <w:tcW w:w="0" w:type="auto"/>
            <w:tcBorders>
              <w:top w:val="nil"/>
              <w:left w:val="nil"/>
              <w:bottom w:val="single" w:sz="8" w:space="0" w:color="auto"/>
              <w:right w:val="single" w:sz="8" w:space="0" w:color="auto"/>
            </w:tcBorders>
            <w:shd w:val="clear" w:color="000000" w:fill="A9D08E"/>
            <w:noWrap/>
            <w:vAlign w:val="center"/>
            <w:hideMark/>
          </w:tcPr>
          <w:p w14:paraId="4E18F11F" w14:textId="77777777" w:rsidR="00DB1B67" w:rsidRPr="002128A6" w:rsidRDefault="00DB1B67" w:rsidP="00DB1B67">
            <w:pPr>
              <w:spacing w:after="0" w:line="240" w:lineRule="auto"/>
              <w:jc w:val="center"/>
              <w:rPr>
                <w:rFonts w:ascii="Garamond" w:eastAsia="Times New Roman" w:hAnsi="Garamond" w:cs="Calibri"/>
                <w:b/>
                <w:bCs/>
                <w:kern w:val="0"/>
                <w:sz w:val="4"/>
                <w:szCs w:val="8"/>
                <w14:ligatures w14:val="none"/>
              </w:rPr>
            </w:pPr>
            <w:r w:rsidRPr="002128A6">
              <w:rPr>
                <w:rFonts w:ascii="Garamond" w:eastAsia="Times New Roman" w:hAnsi="Garamond" w:cs="Calibri"/>
                <w:b/>
                <w:bCs/>
                <w:kern w:val="0"/>
                <w:sz w:val="4"/>
                <w:szCs w:val="8"/>
                <w14:ligatures w14:val="none"/>
              </w:rPr>
              <w:t>2,992,554,000</w:t>
            </w:r>
          </w:p>
        </w:tc>
      </w:tr>
    </w:tbl>
    <w:p w14:paraId="57403C88" w14:textId="7F422D6C" w:rsidR="00DB1B67" w:rsidRPr="002128A6" w:rsidRDefault="00DB1B67" w:rsidP="00C42826">
      <w:pPr>
        <w:spacing w:after="0"/>
        <w:jc w:val="center"/>
        <w:rPr>
          <w:rFonts w:ascii="Garamond" w:hAnsi="Garamond" w:cstheme="majorBidi"/>
          <w:b/>
          <w:bCs/>
        </w:rPr>
      </w:pPr>
    </w:p>
    <w:tbl>
      <w:tblPr>
        <w:tblW w:w="13801" w:type="dxa"/>
        <w:tblInd w:w="-861" w:type="dxa"/>
        <w:tblLook w:val="04A0" w:firstRow="1" w:lastRow="0" w:firstColumn="1" w:lastColumn="0" w:noHBand="0" w:noVBand="1"/>
      </w:tblPr>
      <w:tblGrid>
        <w:gridCol w:w="1554"/>
        <w:gridCol w:w="922"/>
        <w:gridCol w:w="767"/>
        <w:gridCol w:w="445"/>
        <w:gridCol w:w="531"/>
        <w:gridCol w:w="680"/>
        <w:gridCol w:w="680"/>
        <w:gridCol w:w="686"/>
        <w:gridCol w:w="686"/>
        <w:gridCol w:w="648"/>
        <w:gridCol w:w="680"/>
        <w:gridCol w:w="654"/>
        <w:gridCol w:w="648"/>
        <w:gridCol w:w="654"/>
        <w:gridCol w:w="512"/>
        <w:gridCol w:w="654"/>
        <w:gridCol w:w="502"/>
        <w:gridCol w:w="654"/>
        <w:gridCol w:w="654"/>
        <w:gridCol w:w="590"/>
      </w:tblGrid>
      <w:tr w:rsidR="00F54824" w:rsidRPr="002128A6" w14:paraId="0186E493" w14:textId="77777777" w:rsidTr="00152EE7">
        <w:trPr>
          <w:trHeight w:val="20"/>
        </w:trPr>
        <w:tc>
          <w:tcPr>
            <w:tcW w:w="13801" w:type="dxa"/>
            <w:gridSpan w:val="20"/>
            <w:tcBorders>
              <w:top w:val="single" w:sz="8" w:space="0" w:color="auto"/>
              <w:left w:val="single" w:sz="8" w:space="0" w:color="auto"/>
              <w:bottom w:val="single" w:sz="8" w:space="0" w:color="auto"/>
              <w:right w:val="single" w:sz="8" w:space="0" w:color="000000"/>
            </w:tcBorders>
            <w:shd w:val="clear" w:color="auto" w:fill="auto"/>
            <w:vAlign w:val="bottom"/>
            <w:hideMark/>
          </w:tcPr>
          <w:p w14:paraId="1C0EDED2" w14:textId="5D2E7656"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Qëllimi i Politikës I: PARANDALIMI I KRIMIT TË ORGANIZUAR DHE KRIMEVE TË RËNDA</w:t>
            </w:r>
            <w:r w:rsidR="00F54824" w:rsidRPr="002128A6">
              <w:rPr>
                <w:rFonts w:ascii="Garamond" w:eastAsia="Times New Roman" w:hAnsi="Garamond" w:cs="Times New Roman"/>
                <w:b/>
                <w:bCs/>
                <w:kern w:val="0"/>
                <w:sz w:val="8"/>
                <w:szCs w:val="14"/>
                <w14:ligatures w14:val="none"/>
              </w:rPr>
              <w:t xml:space="preserve"> </w:t>
            </w:r>
          </w:p>
        </w:tc>
      </w:tr>
      <w:tr w:rsidR="00F54824" w:rsidRPr="002128A6" w14:paraId="58CEEA74" w14:textId="77777777" w:rsidTr="00152EE7">
        <w:trPr>
          <w:trHeight w:val="20"/>
        </w:trPr>
        <w:tc>
          <w:tcPr>
            <w:tcW w:w="2275" w:type="dxa"/>
            <w:vMerge w:val="restart"/>
            <w:tcBorders>
              <w:top w:val="nil"/>
              <w:left w:val="single" w:sz="8" w:space="0" w:color="auto"/>
              <w:bottom w:val="single" w:sz="8" w:space="0" w:color="auto"/>
              <w:right w:val="single" w:sz="8" w:space="0" w:color="auto"/>
            </w:tcBorders>
            <w:shd w:val="clear" w:color="auto" w:fill="auto"/>
            <w:vAlign w:val="center"/>
            <w:hideMark/>
          </w:tcPr>
          <w:p w14:paraId="2EFB9D6A" w14:textId="2DF2BD2D"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Objektivat </w:t>
            </w:r>
            <w:r w:rsidR="00D44D49" w:rsidRPr="002128A6">
              <w:rPr>
                <w:rFonts w:ascii="Garamond" w:eastAsia="Times New Roman" w:hAnsi="Garamond" w:cs="Times New Roman"/>
                <w:b/>
                <w:bCs/>
                <w:kern w:val="0"/>
                <w:sz w:val="8"/>
                <w:szCs w:val="14"/>
                <w14:ligatures w14:val="none"/>
              </w:rPr>
              <w:t>specifik</w:t>
            </w:r>
            <w:r w:rsidR="00D44D49">
              <w:rPr>
                <w:rFonts w:ascii="Garamond" w:eastAsia="Times New Roman" w:hAnsi="Garamond" w:cs="Times New Roman"/>
                <w:b/>
                <w:bCs/>
                <w:kern w:val="0"/>
                <w:sz w:val="8"/>
                <w:szCs w:val="14"/>
                <w14:ligatures w14:val="none"/>
              </w:rPr>
              <w:t>ë</w:t>
            </w:r>
          </w:p>
        </w:tc>
        <w:tc>
          <w:tcPr>
            <w:tcW w:w="1580" w:type="dxa"/>
            <w:gridSpan w:val="2"/>
            <w:tcBorders>
              <w:top w:val="single" w:sz="8" w:space="0" w:color="auto"/>
              <w:left w:val="nil"/>
              <w:bottom w:val="single" w:sz="8" w:space="0" w:color="auto"/>
              <w:right w:val="single" w:sz="8" w:space="0" w:color="auto"/>
            </w:tcBorders>
            <w:shd w:val="clear" w:color="000000" w:fill="FFFFFF"/>
            <w:vAlign w:val="center"/>
            <w:hideMark/>
          </w:tcPr>
          <w:p w14:paraId="05D2C653" w14:textId="67699729"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Institucionet përgjegjëse</w:t>
            </w:r>
          </w:p>
        </w:tc>
        <w:tc>
          <w:tcPr>
            <w:tcW w:w="954" w:type="dxa"/>
            <w:gridSpan w:val="2"/>
            <w:tcBorders>
              <w:top w:val="single" w:sz="8" w:space="0" w:color="auto"/>
              <w:left w:val="nil"/>
              <w:bottom w:val="single" w:sz="8" w:space="0" w:color="auto"/>
              <w:right w:val="single" w:sz="8" w:space="0" w:color="auto"/>
            </w:tcBorders>
            <w:shd w:val="clear" w:color="000000" w:fill="FFFFFF"/>
            <w:vAlign w:val="center"/>
            <w:hideMark/>
          </w:tcPr>
          <w:p w14:paraId="020F22D4" w14:textId="515F0C25"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Afati i </w:t>
            </w:r>
            <w:r w:rsidR="004D6D07" w:rsidRPr="002128A6">
              <w:rPr>
                <w:rFonts w:ascii="Garamond" w:eastAsia="Times New Roman" w:hAnsi="Garamond" w:cs="Times New Roman"/>
                <w:b/>
                <w:bCs/>
                <w:kern w:val="0"/>
                <w:sz w:val="8"/>
                <w:szCs w:val="14"/>
                <w14:ligatures w14:val="none"/>
              </w:rPr>
              <w:t xml:space="preserve">zbatimit </w:t>
            </w:r>
          </w:p>
        </w:tc>
        <w:tc>
          <w:tcPr>
            <w:tcW w:w="1922"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9B7D17C" w14:textId="229FDF32"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Kosto</w:t>
            </w:r>
            <w:r w:rsidR="00B77BA6" w:rsidRPr="002128A6">
              <w:rPr>
                <w:rFonts w:ascii="Garamond" w:eastAsia="Times New Roman" w:hAnsi="Garamond" w:cs="Times New Roman"/>
                <w:b/>
                <w:bCs/>
                <w:kern w:val="0"/>
                <w:sz w:val="8"/>
                <w:szCs w:val="14"/>
                <w14:ligatures w14:val="none"/>
              </w:rPr>
              <w:t>ja</w:t>
            </w:r>
            <w:r w:rsidRPr="002128A6">
              <w:rPr>
                <w:rFonts w:ascii="Garamond" w:eastAsia="Times New Roman" w:hAnsi="Garamond" w:cs="Times New Roman"/>
                <w:b/>
                <w:bCs/>
                <w:kern w:val="0"/>
                <w:sz w:val="8"/>
                <w:szCs w:val="14"/>
                <w14:ligatures w14:val="none"/>
              </w:rPr>
              <w:t xml:space="preserve"> </w:t>
            </w:r>
            <w:r w:rsidR="00B77BA6" w:rsidRPr="002128A6">
              <w:rPr>
                <w:rFonts w:ascii="Garamond" w:eastAsia="Times New Roman" w:hAnsi="Garamond" w:cs="Times New Roman"/>
                <w:b/>
                <w:bCs/>
                <w:kern w:val="0"/>
                <w:sz w:val="8"/>
                <w:szCs w:val="14"/>
                <w14:ligatures w14:val="none"/>
              </w:rPr>
              <w:t>indiktive totale</w:t>
            </w:r>
          </w:p>
        </w:tc>
        <w:tc>
          <w:tcPr>
            <w:tcW w:w="5899" w:type="dxa"/>
            <w:gridSpan w:val="10"/>
            <w:tcBorders>
              <w:top w:val="single" w:sz="8" w:space="0" w:color="auto"/>
              <w:left w:val="nil"/>
              <w:bottom w:val="single" w:sz="8" w:space="0" w:color="auto"/>
              <w:right w:val="nil"/>
            </w:tcBorders>
            <w:shd w:val="clear" w:color="auto" w:fill="auto"/>
            <w:vAlign w:val="center"/>
            <w:hideMark/>
          </w:tcPr>
          <w:p w14:paraId="3BEC2F32" w14:textId="66557A0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Burimi i mbulimit deri </w:t>
            </w:r>
            <w:r w:rsidR="008A598F" w:rsidRPr="002128A6">
              <w:rPr>
                <w:rFonts w:ascii="Garamond" w:eastAsia="Times New Roman" w:hAnsi="Garamond" w:cs="Times New Roman"/>
                <w:b/>
                <w:bCs/>
                <w:kern w:val="0"/>
                <w:sz w:val="8"/>
                <w:szCs w:val="14"/>
                <w14:ligatures w14:val="none"/>
              </w:rPr>
              <w:t>më</w:t>
            </w:r>
            <w:r w:rsidRPr="002128A6">
              <w:rPr>
                <w:rFonts w:ascii="Garamond" w:eastAsia="Times New Roman" w:hAnsi="Garamond" w:cs="Times New Roman"/>
                <w:b/>
                <w:bCs/>
                <w:kern w:val="0"/>
                <w:sz w:val="8"/>
                <w:szCs w:val="14"/>
                <w14:ligatures w14:val="none"/>
              </w:rPr>
              <w:t xml:space="preserve"> 2030</w:t>
            </w:r>
          </w:p>
        </w:tc>
        <w:tc>
          <w:tcPr>
            <w:tcW w:w="615" w:type="dxa"/>
            <w:vMerge w:val="restart"/>
            <w:tcBorders>
              <w:top w:val="nil"/>
              <w:left w:val="single" w:sz="8" w:space="0" w:color="auto"/>
              <w:bottom w:val="single" w:sz="4" w:space="0" w:color="auto"/>
              <w:right w:val="single" w:sz="8" w:space="0" w:color="auto"/>
            </w:tcBorders>
            <w:shd w:val="clear" w:color="auto" w:fill="auto"/>
            <w:vAlign w:val="center"/>
            <w:hideMark/>
          </w:tcPr>
          <w:p w14:paraId="6EDB5948" w14:textId="0AC5DB2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Hendeku financiar</w:t>
            </w:r>
            <w:r w:rsidRPr="002128A6">
              <w:rPr>
                <w:rFonts w:ascii="Garamond" w:eastAsia="Times New Roman" w:hAnsi="Garamond" w:cs="Times New Roman"/>
                <w:b/>
                <w:bCs/>
                <w:kern w:val="0"/>
                <w:sz w:val="8"/>
                <w:szCs w:val="14"/>
                <w14:ligatures w14:val="none"/>
              </w:rPr>
              <w:br/>
              <w:t>2026</w:t>
            </w:r>
            <w:r w:rsidR="00B77BA6" w:rsidRPr="002128A6">
              <w:rPr>
                <w:rFonts w:ascii="Garamond" w:eastAsia="Times New Roman" w:hAnsi="Garamond" w:cs="Times New Roman"/>
                <w:b/>
                <w:bCs/>
                <w:kern w:val="0"/>
                <w:sz w:val="8"/>
                <w:szCs w:val="14"/>
                <w14:ligatures w14:val="none"/>
              </w:rPr>
              <w:t>–</w:t>
            </w:r>
            <w:r w:rsidRPr="002128A6">
              <w:rPr>
                <w:rFonts w:ascii="Garamond" w:eastAsia="Times New Roman" w:hAnsi="Garamond" w:cs="Times New Roman"/>
                <w:b/>
                <w:bCs/>
                <w:kern w:val="0"/>
                <w:sz w:val="8"/>
                <w:szCs w:val="14"/>
                <w14:ligatures w14:val="none"/>
              </w:rPr>
              <w:t>2030</w:t>
            </w:r>
            <w:r w:rsidRPr="002128A6">
              <w:rPr>
                <w:rFonts w:ascii="Garamond" w:eastAsia="Times New Roman" w:hAnsi="Garamond" w:cs="Times New Roman"/>
                <w:b/>
                <w:bCs/>
                <w:kern w:val="0"/>
                <w:sz w:val="8"/>
                <w:szCs w:val="14"/>
                <w14:ligatures w14:val="none"/>
              </w:rPr>
              <w:br/>
              <w:t xml:space="preserve">(në </w:t>
            </w:r>
            <w:r w:rsidR="00B77BA6"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556" w:type="dxa"/>
            <w:vMerge w:val="restart"/>
            <w:tcBorders>
              <w:top w:val="nil"/>
              <w:left w:val="single" w:sz="8" w:space="0" w:color="auto"/>
              <w:bottom w:val="nil"/>
              <w:right w:val="single" w:sz="8" w:space="0" w:color="auto"/>
            </w:tcBorders>
            <w:shd w:val="clear" w:color="auto" w:fill="auto"/>
            <w:vAlign w:val="center"/>
            <w:hideMark/>
          </w:tcPr>
          <w:p w14:paraId="6FFD05A8" w14:textId="69224A8A"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Kosto</w:t>
            </w:r>
            <w:r w:rsidR="00CD6129" w:rsidRPr="002128A6">
              <w:rPr>
                <w:rFonts w:ascii="Garamond" w:eastAsia="Times New Roman" w:hAnsi="Garamond" w:cs="Times New Roman"/>
                <w:b/>
                <w:bCs/>
                <w:kern w:val="0"/>
                <w:sz w:val="8"/>
                <w:szCs w:val="14"/>
                <w14:ligatures w14:val="none"/>
              </w:rPr>
              <w:t>ja</w:t>
            </w:r>
            <w:r w:rsidRPr="002128A6">
              <w:rPr>
                <w:rFonts w:ascii="Garamond" w:eastAsia="Times New Roman" w:hAnsi="Garamond" w:cs="Times New Roman"/>
                <w:b/>
                <w:bCs/>
                <w:kern w:val="0"/>
                <w:sz w:val="8"/>
                <w:szCs w:val="14"/>
                <w14:ligatures w14:val="none"/>
              </w:rPr>
              <w:t xml:space="preserve"> totale n</w:t>
            </w:r>
            <w:r w:rsidR="008A598F" w:rsidRPr="002128A6">
              <w:rPr>
                <w:rFonts w:ascii="Garamond" w:eastAsia="Times New Roman" w:hAnsi="Garamond" w:cs="Times New Roman"/>
                <w:b/>
                <w:bCs/>
                <w:kern w:val="0"/>
                <w:sz w:val="8"/>
                <w:szCs w:val="14"/>
                <w14:ligatures w14:val="none"/>
              </w:rPr>
              <w:t>ë</w:t>
            </w:r>
            <w:r w:rsidRPr="002128A6">
              <w:rPr>
                <w:rFonts w:ascii="Garamond" w:eastAsia="Times New Roman" w:hAnsi="Garamond" w:cs="Times New Roman"/>
                <w:b/>
                <w:bCs/>
                <w:kern w:val="0"/>
                <w:sz w:val="8"/>
                <w:szCs w:val="14"/>
                <w14:ligatures w14:val="none"/>
              </w:rPr>
              <w:t xml:space="preserve"> EUR</w:t>
            </w:r>
            <w:r w:rsidRPr="002128A6">
              <w:rPr>
                <w:rFonts w:ascii="Garamond" w:eastAsia="Times New Roman" w:hAnsi="Garamond" w:cs="Times New Roman"/>
                <w:b/>
                <w:bCs/>
                <w:kern w:val="0"/>
                <w:sz w:val="8"/>
                <w:szCs w:val="14"/>
                <w14:ligatures w14:val="none"/>
              </w:rPr>
              <w:br/>
              <w:t xml:space="preserve">(kursi </w:t>
            </w:r>
            <w:r w:rsidR="00FC5887" w:rsidRPr="002128A6">
              <w:rPr>
                <w:rFonts w:ascii="Garamond" w:eastAsia="Times New Roman" w:hAnsi="Garamond" w:cs="Times New Roman"/>
                <w:b/>
                <w:bCs/>
                <w:kern w:val="0"/>
                <w:sz w:val="8"/>
                <w:szCs w:val="14"/>
                <w14:ligatures w14:val="none"/>
              </w:rPr>
              <w:t>këmbimit</w:t>
            </w:r>
            <w:r w:rsidRPr="002128A6">
              <w:rPr>
                <w:rFonts w:ascii="Garamond" w:eastAsia="Times New Roman" w:hAnsi="Garamond" w:cs="Times New Roman"/>
                <w:b/>
                <w:bCs/>
                <w:kern w:val="0"/>
                <w:sz w:val="8"/>
                <w:szCs w:val="14"/>
                <w14:ligatures w14:val="none"/>
              </w:rPr>
              <w:t>: 1 EUR = 93.1ALL)</w:t>
            </w:r>
          </w:p>
        </w:tc>
      </w:tr>
      <w:tr w:rsidR="00F54824" w:rsidRPr="002128A6" w14:paraId="4B9590CA" w14:textId="77777777" w:rsidTr="00152EE7">
        <w:trPr>
          <w:trHeight w:val="20"/>
        </w:trPr>
        <w:tc>
          <w:tcPr>
            <w:tcW w:w="2275" w:type="dxa"/>
            <w:vMerge/>
            <w:tcBorders>
              <w:top w:val="nil"/>
              <w:left w:val="single" w:sz="8" w:space="0" w:color="auto"/>
              <w:bottom w:val="single" w:sz="8" w:space="0" w:color="auto"/>
              <w:right w:val="single" w:sz="8" w:space="0" w:color="auto"/>
            </w:tcBorders>
            <w:vAlign w:val="center"/>
            <w:hideMark/>
          </w:tcPr>
          <w:p w14:paraId="150537B0"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861" w:type="dxa"/>
            <w:vMerge w:val="restart"/>
            <w:tcBorders>
              <w:top w:val="nil"/>
              <w:left w:val="single" w:sz="8" w:space="0" w:color="auto"/>
              <w:bottom w:val="single" w:sz="8" w:space="0" w:color="auto"/>
              <w:right w:val="single" w:sz="8" w:space="0" w:color="auto"/>
            </w:tcBorders>
            <w:shd w:val="clear" w:color="000000" w:fill="FFFFFF"/>
            <w:vAlign w:val="center"/>
            <w:hideMark/>
          </w:tcPr>
          <w:p w14:paraId="043622B9"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Institucioni përgjegjës</w:t>
            </w:r>
          </w:p>
        </w:tc>
        <w:tc>
          <w:tcPr>
            <w:tcW w:w="719" w:type="dxa"/>
            <w:vMerge w:val="restart"/>
            <w:tcBorders>
              <w:top w:val="nil"/>
              <w:left w:val="single" w:sz="8" w:space="0" w:color="auto"/>
              <w:bottom w:val="single" w:sz="8" w:space="0" w:color="auto"/>
              <w:right w:val="single" w:sz="8" w:space="0" w:color="auto"/>
            </w:tcBorders>
            <w:shd w:val="clear" w:color="000000" w:fill="FFFFFF"/>
            <w:vAlign w:val="center"/>
            <w:hideMark/>
          </w:tcPr>
          <w:p w14:paraId="2BDEC72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Institucioni mbështetës</w:t>
            </w:r>
          </w:p>
        </w:tc>
        <w:tc>
          <w:tcPr>
            <w:tcW w:w="445" w:type="dxa"/>
            <w:vMerge w:val="restart"/>
            <w:tcBorders>
              <w:top w:val="nil"/>
              <w:left w:val="single" w:sz="8" w:space="0" w:color="auto"/>
              <w:bottom w:val="single" w:sz="8" w:space="0" w:color="auto"/>
              <w:right w:val="single" w:sz="8" w:space="0" w:color="auto"/>
            </w:tcBorders>
            <w:shd w:val="clear" w:color="000000" w:fill="FFFFFF"/>
            <w:vAlign w:val="center"/>
            <w:hideMark/>
          </w:tcPr>
          <w:p w14:paraId="1C8A3879" w14:textId="2D4BA42F" w:rsidR="00152EE7" w:rsidRPr="002128A6" w:rsidRDefault="00CD6129"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Afati i fillimit</w:t>
            </w:r>
          </w:p>
        </w:tc>
        <w:tc>
          <w:tcPr>
            <w:tcW w:w="5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7DA53A9E" w14:textId="7EC64A80" w:rsidR="00152EE7" w:rsidRPr="002128A6" w:rsidRDefault="00CD6129"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Afati i mbarimit</w:t>
            </w:r>
          </w:p>
        </w:tc>
        <w:tc>
          <w:tcPr>
            <w:tcW w:w="1922" w:type="dxa"/>
            <w:gridSpan w:val="3"/>
            <w:vMerge/>
            <w:tcBorders>
              <w:top w:val="nil"/>
              <w:left w:val="single" w:sz="8" w:space="0" w:color="auto"/>
              <w:bottom w:val="single" w:sz="8" w:space="0" w:color="auto"/>
              <w:right w:val="single" w:sz="8" w:space="0" w:color="auto"/>
            </w:tcBorders>
            <w:vAlign w:val="center"/>
            <w:hideMark/>
          </w:tcPr>
          <w:p w14:paraId="46C6B63C"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1893" w:type="dxa"/>
            <w:gridSpan w:val="3"/>
            <w:tcBorders>
              <w:top w:val="single" w:sz="8" w:space="0" w:color="auto"/>
              <w:left w:val="nil"/>
              <w:bottom w:val="single" w:sz="8" w:space="0" w:color="auto"/>
              <w:right w:val="single" w:sz="8" w:space="0" w:color="000000"/>
            </w:tcBorders>
            <w:shd w:val="clear" w:color="auto" w:fill="auto"/>
            <w:vAlign w:val="center"/>
            <w:hideMark/>
          </w:tcPr>
          <w:p w14:paraId="5049F8EF" w14:textId="66D1520A"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PBA 2026</w:t>
            </w:r>
            <w:r w:rsidR="00B77BA6" w:rsidRPr="002128A6">
              <w:rPr>
                <w:rFonts w:ascii="Garamond" w:eastAsia="Times New Roman" w:hAnsi="Garamond" w:cs="Times New Roman"/>
                <w:b/>
                <w:bCs/>
                <w:kern w:val="0"/>
                <w:sz w:val="8"/>
                <w:szCs w:val="14"/>
                <w14:ligatures w14:val="none"/>
              </w:rPr>
              <w:t>–</w:t>
            </w:r>
            <w:r w:rsidRPr="002128A6">
              <w:rPr>
                <w:rFonts w:ascii="Garamond" w:eastAsia="Times New Roman" w:hAnsi="Garamond" w:cs="Times New Roman"/>
                <w:b/>
                <w:bCs/>
                <w:kern w:val="0"/>
                <w:sz w:val="8"/>
                <w:szCs w:val="14"/>
                <w14:ligatures w14:val="none"/>
              </w:rPr>
              <w:t xml:space="preserve">2028 (në </w:t>
            </w:r>
            <w:r w:rsidR="00B77BA6"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1840" w:type="dxa"/>
            <w:gridSpan w:val="3"/>
            <w:tcBorders>
              <w:top w:val="single" w:sz="8" w:space="0" w:color="auto"/>
              <w:left w:val="nil"/>
              <w:bottom w:val="single" w:sz="8" w:space="0" w:color="auto"/>
              <w:right w:val="single" w:sz="8" w:space="0" w:color="000000"/>
            </w:tcBorders>
            <w:shd w:val="clear" w:color="auto" w:fill="auto"/>
            <w:vAlign w:val="center"/>
            <w:hideMark/>
          </w:tcPr>
          <w:p w14:paraId="40DFBA32" w14:textId="71403F8D" w:rsidR="00152EE7" w:rsidRPr="002128A6" w:rsidRDefault="00152EE7" w:rsidP="00B77BA6">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PBA 2028</w:t>
            </w:r>
            <w:r w:rsidR="00B77BA6" w:rsidRPr="002128A6">
              <w:rPr>
                <w:rFonts w:ascii="Garamond" w:eastAsia="Times New Roman" w:hAnsi="Garamond" w:cs="Times New Roman"/>
                <w:b/>
                <w:bCs/>
                <w:kern w:val="0"/>
                <w:sz w:val="8"/>
                <w:szCs w:val="14"/>
                <w14:ligatures w14:val="none"/>
              </w:rPr>
              <w:t>–</w:t>
            </w:r>
            <w:r w:rsidRPr="002128A6">
              <w:rPr>
                <w:rFonts w:ascii="Garamond" w:eastAsia="Times New Roman" w:hAnsi="Garamond" w:cs="Times New Roman"/>
                <w:b/>
                <w:bCs/>
                <w:kern w:val="0"/>
                <w:sz w:val="8"/>
                <w:szCs w:val="14"/>
                <w14:ligatures w14:val="none"/>
              </w:rPr>
              <w:t xml:space="preserve">2030 (në </w:t>
            </w:r>
            <w:r w:rsidR="00B77BA6"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2166" w:type="dxa"/>
            <w:gridSpan w:val="4"/>
            <w:tcBorders>
              <w:top w:val="single" w:sz="8" w:space="0" w:color="auto"/>
              <w:left w:val="nil"/>
              <w:bottom w:val="single" w:sz="8" w:space="0" w:color="auto"/>
              <w:right w:val="nil"/>
            </w:tcBorders>
            <w:shd w:val="clear" w:color="auto" w:fill="auto"/>
            <w:vAlign w:val="center"/>
            <w:hideMark/>
          </w:tcPr>
          <w:p w14:paraId="61F6F40B" w14:textId="1C885F55"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Financim i </w:t>
            </w:r>
            <w:r w:rsidR="003411E9" w:rsidRPr="002128A6">
              <w:rPr>
                <w:rFonts w:ascii="Garamond" w:eastAsia="Times New Roman" w:hAnsi="Garamond" w:cs="Times New Roman"/>
                <w:b/>
                <w:bCs/>
                <w:kern w:val="0"/>
                <w:sz w:val="8"/>
                <w:szCs w:val="14"/>
                <w14:ligatures w14:val="none"/>
              </w:rPr>
              <w:t xml:space="preserve">huaj </w:t>
            </w:r>
            <w:r w:rsidRPr="002128A6">
              <w:rPr>
                <w:rFonts w:ascii="Garamond" w:eastAsia="Times New Roman" w:hAnsi="Garamond" w:cs="Times New Roman"/>
                <w:b/>
                <w:bCs/>
                <w:kern w:val="0"/>
                <w:sz w:val="8"/>
                <w:szCs w:val="14"/>
                <w14:ligatures w14:val="none"/>
              </w:rPr>
              <w:t>(në lekë)</w:t>
            </w:r>
          </w:p>
        </w:tc>
        <w:tc>
          <w:tcPr>
            <w:tcW w:w="615" w:type="dxa"/>
            <w:vMerge/>
            <w:tcBorders>
              <w:top w:val="nil"/>
              <w:left w:val="single" w:sz="8" w:space="0" w:color="auto"/>
              <w:bottom w:val="single" w:sz="4" w:space="0" w:color="auto"/>
              <w:right w:val="single" w:sz="8" w:space="0" w:color="auto"/>
            </w:tcBorders>
            <w:vAlign w:val="center"/>
            <w:hideMark/>
          </w:tcPr>
          <w:p w14:paraId="59FD28B4"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556" w:type="dxa"/>
            <w:vMerge/>
            <w:tcBorders>
              <w:top w:val="nil"/>
              <w:left w:val="single" w:sz="8" w:space="0" w:color="auto"/>
              <w:bottom w:val="nil"/>
              <w:right w:val="single" w:sz="8" w:space="0" w:color="auto"/>
            </w:tcBorders>
            <w:vAlign w:val="center"/>
            <w:hideMark/>
          </w:tcPr>
          <w:p w14:paraId="600F7202"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r>
      <w:tr w:rsidR="00F54824" w:rsidRPr="002128A6" w14:paraId="12029D8B" w14:textId="77777777" w:rsidTr="00152EE7">
        <w:trPr>
          <w:trHeight w:val="20"/>
        </w:trPr>
        <w:tc>
          <w:tcPr>
            <w:tcW w:w="2275" w:type="dxa"/>
            <w:vMerge/>
            <w:tcBorders>
              <w:top w:val="nil"/>
              <w:left w:val="single" w:sz="8" w:space="0" w:color="auto"/>
              <w:bottom w:val="single" w:sz="8" w:space="0" w:color="auto"/>
              <w:right w:val="single" w:sz="8" w:space="0" w:color="auto"/>
            </w:tcBorders>
            <w:vAlign w:val="center"/>
            <w:hideMark/>
          </w:tcPr>
          <w:p w14:paraId="43E07BF6"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861" w:type="dxa"/>
            <w:vMerge/>
            <w:tcBorders>
              <w:top w:val="nil"/>
              <w:left w:val="single" w:sz="8" w:space="0" w:color="auto"/>
              <w:bottom w:val="single" w:sz="8" w:space="0" w:color="auto"/>
              <w:right w:val="single" w:sz="8" w:space="0" w:color="auto"/>
            </w:tcBorders>
            <w:vAlign w:val="center"/>
            <w:hideMark/>
          </w:tcPr>
          <w:p w14:paraId="16005965"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719" w:type="dxa"/>
            <w:vMerge/>
            <w:tcBorders>
              <w:top w:val="nil"/>
              <w:left w:val="single" w:sz="8" w:space="0" w:color="auto"/>
              <w:bottom w:val="single" w:sz="8" w:space="0" w:color="auto"/>
              <w:right w:val="single" w:sz="8" w:space="0" w:color="auto"/>
            </w:tcBorders>
            <w:vAlign w:val="center"/>
            <w:hideMark/>
          </w:tcPr>
          <w:p w14:paraId="2672470B"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445" w:type="dxa"/>
            <w:vMerge/>
            <w:tcBorders>
              <w:top w:val="nil"/>
              <w:left w:val="single" w:sz="8" w:space="0" w:color="auto"/>
              <w:bottom w:val="single" w:sz="8" w:space="0" w:color="auto"/>
              <w:right w:val="single" w:sz="8" w:space="0" w:color="auto"/>
            </w:tcBorders>
            <w:vAlign w:val="center"/>
            <w:hideMark/>
          </w:tcPr>
          <w:p w14:paraId="091C3230"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509" w:type="dxa"/>
            <w:vMerge/>
            <w:tcBorders>
              <w:top w:val="nil"/>
              <w:left w:val="single" w:sz="8" w:space="0" w:color="auto"/>
              <w:bottom w:val="single" w:sz="8" w:space="0" w:color="auto"/>
              <w:right w:val="single" w:sz="8" w:space="0" w:color="auto"/>
            </w:tcBorders>
            <w:vAlign w:val="center"/>
            <w:hideMark/>
          </w:tcPr>
          <w:p w14:paraId="19BE0FF7"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639" w:type="dxa"/>
            <w:tcBorders>
              <w:top w:val="nil"/>
              <w:left w:val="nil"/>
              <w:bottom w:val="single" w:sz="8" w:space="0" w:color="auto"/>
              <w:right w:val="single" w:sz="8" w:space="0" w:color="auto"/>
            </w:tcBorders>
            <w:shd w:val="clear" w:color="000000" w:fill="FFFFFF"/>
            <w:vAlign w:val="center"/>
            <w:hideMark/>
          </w:tcPr>
          <w:p w14:paraId="2B7736DF" w14:textId="6CBB5A1A"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39" w:type="dxa"/>
            <w:tcBorders>
              <w:top w:val="nil"/>
              <w:left w:val="nil"/>
              <w:bottom w:val="single" w:sz="8" w:space="0" w:color="auto"/>
              <w:right w:val="single" w:sz="8" w:space="0" w:color="auto"/>
            </w:tcBorders>
            <w:shd w:val="clear" w:color="000000" w:fill="FFFFFF"/>
            <w:vAlign w:val="center"/>
            <w:hideMark/>
          </w:tcPr>
          <w:p w14:paraId="1780CF1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44" w:type="dxa"/>
            <w:tcBorders>
              <w:top w:val="nil"/>
              <w:left w:val="nil"/>
              <w:bottom w:val="single" w:sz="8" w:space="0" w:color="auto"/>
              <w:right w:val="single" w:sz="8" w:space="0" w:color="auto"/>
            </w:tcBorders>
            <w:shd w:val="clear" w:color="000000" w:fill="FFFFFF"/>
            <w:vAlign w:val="center"/>
            <w:hideMark/>
          </w:tcPr>
          <w:p w14:paraId="4394B90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Kosto</w:t>
            </w:r>
          </w:p>
        </w:tc>
        <w:tc>
          <w:tcPr>
            <w:tcW w:w="644" w:type="dxa"/>
            <w:tcBorders>
              <w:top w:val="nil"/>
              <w:left w:val="nil"/>
              <w:bottom w:val="single" w:sz="8" w:space="0" w:color="auto"/>
              <w:right w:val="nil"/>
            </w:tcBorders>
            <w:shd w:val="clear" w:color="auto" w:fill="auto"/>
            <w:vAlign w:val="center"/>
            <w:hideMark/>
          </w:tcPr>
          <w:p w14:paraId="3B8A68E7" w14:textId="47F816E1"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0" w:type="dxa"/>
            <w:tcBorders>
              <w:top w:val="nil"/>
              <w:left w:val="single" w:sz="8" w:space="0" w:color="auto"/>
              <w:bottom w:val="single" w:sz="8" w:space="0" w:color="auto"/>
              <w:right w:val="single" w:sz="8" w:space="0" w:color="auto"/>
            </w:tcBorders>
            <w:shd w:val="clear" w:color="auto" w:fill="auto"/>
            <w:vAlign w:val="center"/>
            <w:hideMark/>
          </w:tcPr>
          <w:p w14:paraId="47E7445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39" w:type="dxa"/>
            <w:tcBorders>
              <w:top w:val="nil"/>
              <w:left w:val="nil"/>
              <w:bottom w:val="single" w:sz="8" w:space="0" w:color="auto"/>
              <w:right w:val="single" w:sz="8" w:space="0" w:color="auto"/>
            </w:tcBorders>
            <w:shd w:val="clear" w:color="auto" w:fill="auto"/>
            <w:vAlign w:val="center"/>
            <w:hideMark/>
          </w:tcPr>
          <w:p w14:paraId="0E351F4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BSH</w:t>
            </w:r>
          </w:p>
        </w:tc>
        <w:tc>
          <w:tcPr>
            <w:tcW w:w="615" w:type="dxa"/>
            <w:tcBorders>
              <w:top w:val="nil"/>
              <w:left w:val="nil"/>
              <w:bottom w:val="single" w:sz="8" w:space="0" w:color="auto"/>
              <w:right w:val="nil"/>
            </w:tcBorders>
            <w:shd w:val="clear" w:color="auto" w:fill="auto"/>
            <w:vAlign w:val="center"/>
            <w:hideMark/>
          </w:tcPr>
          <w:p w14:paraId="26FD1187" w14:textId="7A867C52"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0" w:type="dxa"/>
            <w:tcBorders>
              <w:top w:val="nil"/>
              <w:left w:val="single" w:sz="8" w:space="0" w:color="auto"/>
              <w:bottom w:val="single" w:sz="8" w:space="0" w:color="auto"/>
              <w:right w:val="single" w:sz="8" w:space="0" w:color="auto"/>
            </w:tcBorders>
            <w:shd w:val="clear" w:color="auto" w:fill="auto"/>
            <w:vAlign w:val="center"/>
            <w:hideMark/>
          </w:tcPr>
          <w:p w14:paraId="559626C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15" w:type="dxa"/>
            <w:tcBorders>
              <w:top w:val="nil"/>
              <w:left w:val="nil"/>
              <w:bottom w:val="single" w:sz="8" w:space="0" w:color="auto"/>
              <w:right w:val="single" w:sz="8" w:space="0" w:color="auto"/>
            </w:tcBorders>
            <w:shd w:val="clear" w:color="auto" w:fill="auto"/>
            <w:vAlign w:val="center"/>
            <w:hideMark/>
          </w:tcPr>
          <w:p w14:paraId="7C59BB96"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BSH</w:t>
            </w:r>
          </w:p>
        </w:tc>
        <w:tc>
          <w:tcPr>
            <w:tcW w:w="460" w:type="dxa"/>
            <w:tcBorders>
              <w:top w:val="nil"/>
              <w:left w:val="nil"/>
              <w:bottom w:val="single" w:sz="8" w:space="0" w:color="auto"/>
              <w:right w:val="nil"/>
            </w:tcBorders>
            <w:shd w:val="clear" w:color="auto" w:fill="auto"/>
            <w:vAlign w:val="center"/>
            <w:hideMark/>
          </w:tcPr>
          <w:p w14:paraId="197E64E7" w14:textId="332B3C2A"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5" w:type="dxa"/>
            <w:tcBorders>
              <w:top w:val="nil"/>
              <w:left w:val="single" w:sz="8" w:space="0" w:color="auto"/>
              <w:bottom w:val="single" w:sz="8" w:space="0" w:color="auto"/>
              <w:right w:val="single" w:sz="8" w:space="0" w:color="auto"/>
            </w:tcBorders>
            <w:shd w:val="clear" w:color="auto" w:fill="auto"/>
            <w:vAlign w:val="center"/>
            <w:hideMark/>
          </w:tcPr>
          <w:p w14:paraId="20F1ABB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476" w:type="dxa"/>
            <w:tcBorders>
              <w:top w:val="nil"/>
              <w:left w:val="nil"/>
              <w:bottom w:val="single" w:sz="8" w:space="0" w:color="auto"/>
              <w:right w:val="single" w:sz="8" w:space="0" w:color="auto"/>
            </w:tcBorders>
            <w:shd w:val="clear" w:color="auto" w:fill="auto"/>
            <w:vAlign w:val="center"/>
            <w:hideMark/>
          </w:tcPr>
          <w:p w14:paraId="72545A7F"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donatori</w:t>
            </w:r>
          </w:p>
        </w:tc>
        <w:tc>
          <w:tcPr>
            <w:tcW w:w="615" w:type="dxa"/>
            <w:tcBorders>
              <w:top w:val="nil"/>
              <w:left w:val="nil"/>
              <w:bottom w:val="single" w:sz="8" w:space="0" w:color="auto"/>
              <w:right w:val="single" w:sz="8" w:space="0" w:color="auto"/>
            </w:tcBorders>
            <w:shd w:val="clear" w:color="auto" w:fill="auto"/>
            <w:vAlign w:val="center"/>
            <w:hideMark/>
          </w:tcPr>
          <w:p w14:paraId="2920B8F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FH</w:t>
            </w:r>
          </w:p>
        </w:tc>
        <w:tc>
          <w:tcPr>
            <w:tcW w:w="615" w:type="dxa"/>
            <w:tcBorders>
              <w:top w:val="single" w:sz="8" w:space="0" w:color="auto"/>
              <w:left w:val="nil"/>
              <w:bottom w:val="single" w:sz="8" w:space="0" w:color="auto"/>
              <w:right w:val="single" w:sz="8" w:space="0" w:color="auto"/>
            </w:tcBorders>
            <w:shd w:val="clear" w:color="auto" w:fill="auto"/>
            <w:vAlign w:val="center"/>
            <w:hideMark/>
          </w:tcPr>
          <w:p w14:paraId="6765AFA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556" w:type="dxa"/>
            <w:tcBorders>
              <w:top w:val="single" w:sz="8" w:space="0" w:color="auto"/>
              <w:left w:val="nil"/>
              <w:bottom w:val="single" w:sz="8" w:space="0" w:color="auto"/>
              <w:right w:val="single" w:sz="8" w:space="0" w:color="auto"/>
            </w:tcBorders>
            <w:shd w:val="clear" w:color="auto" w:fill="auto"/>
            <w:vAlign w:val="center"/>
            <w:hideMark/>
          </w:tcPr>
          <w:p w14:paraId="4311840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r>
      <w:tr w:rsidR="00F54824" w:rsidRPr="002128A6" w14:paraId="5405D016" w14:textId="77777777" w:rsidTr="00152EE7">
        <w:trPr>
          <w:trHeight w:val="20"/>
        </w:trPr>
        <w:tc>
          <w:tcPr>
            <w:tcW w:w="227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9629C4A"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Rritja e qëndrueshmërisë publike dhe institucionale ndaj krimit të organizuar përmes përmirësimit të ndërgjegjësimit, njohurive dhe angazhimit proaktiv</w:t>
            </w:r>
          </w:p>
        </w:tc>
        <w:tc>
          <w:tcPr>
            <w:tcW w:w="861" w:type="dxa"/>
            <w:tcBorders>
              <w:top w:val="nil"/>
              <w:left w:val="nil"/>
              <w:bottom w:val="single" w:sz="4" w:space="0" w:color="auto"/>
              <w:right w:val="single" w:sz="4" w:space="0" w:color="auto"/>
            </w:tcBorders>
            <w:shd w:val="clear" w:color="auto" w:fill="auto"/>
            <w:vAlign w:val="center"/>
            <w:hideMark/>
          </w:tcPr>
          <w:p w14:paraId="27127E9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Shtetit/Akademia e Sigurisë; Ministria e Turizmit, Kulturës dhe Sportit/Instituti Kombëtar i Regjistrimit të Trashëgimisë Kulturore</w:t>
            </w:r>
          </w:p>
        </w:tc>
        <w:tc>
          <w:tcPr>
            <w:tcW w:w="719" w:type="dxa"/>
            <w:tcBorders>
              <w:top w:val="nil"/>
              <w:left w:val="nil"/>
              <w:bottom w:val="single" w:sz="4" w:space="0" w:color="auto"/>
              <w:right w:val="single" w:sz="4" w:space="0" w:color="auto"/>
            </w:tcBorders>
            <w:shd w:val="clear" w:color="auto" w:fill="auto"/>
            <w:vAlign w:val="center"/>
            <w:hideMark/>
          </w:tcPr>
          <w:p w14:paraId="0B8FAAD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Institucionet e Arsimit të Lartë; EU4LEA; EUDA; OJF; MA/AKAP; Prefekti i Qarkut;</w:t>
            </w:r>
          </w:p>
        </w:tc>
        <w:tc>
          <w:tcPr>
            <w:tcW w:w="445" w:type="dxa"/>
            <w:tcBorders>
              <w:top w:val="nil"/>
              <w:left w:val="nil"/>
              <w:bottom w:val="single" w:sz="4" w:space="0" w:color="auto"/>
              <w:right w:val="single" w:sz="4" w:space="0" w:color="auto"/>
            </w:tcBorders>
            <w:shd w:val="clear" w:color="auto" w:fill="auto"/>
            <w:vAlign w:val="center"/>
            <w:hideMark/>
          </w:tcPr>
          <w:p w14:paraId="219AE71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4E9FE1B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66A27E6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82,507,705</w:t>
            </w:r>
          </w:p>
        </w:tc>
        <w:tc>
          <w:tcPr>
            <w:tcW w:w="639" w:type="dxa"/>
            <w:tcBorders>
              <w:top w:val="nil"/>
              <w:left w:val="nil"/>
              <w:bottom w:val="single" w:sz="4" w:space="0" w:color="auto"/>
              <w:right w:val="single" w:sz="4" w:space="0" w:color="auto"/>
            </w:tcBorders>
            <w:shd w:val="clear" w:color="auto" w:fill="auto"/>
            <w:vAlign w:val="center"/>
            <w:hideMark/>
          </w:tcPr>
          <w:p w14:paraId="02D7D7E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44" w:type="dxa"/>
            <w:tcBorders>
              <w:top w:val="nil"/>
              <w:left w:val="nil"/>
              <w:bottom w:val="single" w:sz="4" w:space="0" w:color="auto"/>
              <w:right w:val="single" w:sz="4" w:space="0" w:color="auto"/>
            </w:tcBorders>
            <w:shd w:val="clear" w:color="auto" w:fill="auto"/>
            <w:vAlign w:val="center"/>
            <w:hideMark/>
          </w:tcPr>
          <w:p w14:paraId="2D81E83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82,507,705</w:t>
            </w:r>
          </w:p>
        </w:tc>
        <w:tc>
          <w:tcPr>
            <w:tcW w:w="644" w:type="dxa"/>
            <w:tcBorders>
              <w:top w:val="nil"/>
              <w:left w:val="nil"/>
              <w:bottom w:val="single" w:sz="4" w:space="0" w:color="auto"/>
              <w:right w:val="single" w:sz="4" w:space="0" w:color="auto"/>
            </w:tcBorders>
            <w:shd w:val="clear" w:color="auto" w:fill="auto"/>
            <w:vAlign w:val="center"/>
            <w:hideMark/>
          </w:tcPr>
          <w:p w14:paraId="6BB6947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49,864,623</w:t>
            </w:r>
          </w:p>
        </w:tc>
        <w:tc>
          <w:tcPr>
            <w:tcW w:w="610" w:type="dxa"/>
            <w:tcBorders>
              <w:top w:val="nil"/>
              <w:left w:val="nil"/>
              <w:bottom w:val="single" w:sz="4" w:space="0" w:color="auto"/>
              <w:right w:val="single" w:sz="4" w:space="0" w:color="auto"/>
            </w:tcBorders>
            <w:shd w:val="clear" w:color="auto" w:fill="auto"/>
            <w:vAlign w:val="center"/>
            <w:hideMark/>
          </w:tcPr>
          <w:p w14:paraId="566BA90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7B41143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49,864,623</w:t>
            </w:r>
          </w:p>
        </w:tc>
        <w:tc>
          <w:tcPr>
            <w:tcW w:w="615" w:type="dxa"/>
            <w:tcBorders>
              <w:top w:val="nil"/>
              <w:left w:val="nil"/>
              <w:bottom w:val="single" w:sz="4" w:space="0" w:color="auto"/>
              <w:right w:val="single" w:sz="4" w:space="0" w:color="auto"/>
            </w:tcBorders>
            <w:shd w:val="clear" w:color="auto" w:fill="auto"/>
            <w:vAlign w:val="center"/>
            <w:hideMark/>
          </w:tcPr>
          <w:p w14:paraId="0AB065A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32,643,082</w:t>
            </w:r>
          </w:p>
        </w:tc>
        <w:tc>
          <w:tcPr>
            <w:tcW w:w="610" w:type="dxa"/>
            <w:tcBorders>
              <w:top w:val="nil"/>
              <w:left w:val="nil"/>
              <w:bottom w:val="single" w:sz="4" w:space="0" w:color="auto"/>
              <w:right w:val="single" w:sz="4" w:space="0" w:color="auto"/>
            </w:tcBorders>
            <w:shd w:val="clear" w:color="auto" w:fill="auto"/>
            <w:vAlign w:val="center"/>
            <w:hideMark/>
          </w:tcPr>
          <w:p w14:paraId="2C39A1F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A06A3A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32,643,082</w:t>
            </w:r>
          </w:p>
        </w:tc>
        <w:tc>
          <w:tcPr>
            <w:tcW w:w="460" w:type="dxa"/>
            <w:tcBorders>
              <w:top w:val="nil"/>
              <w:left w:val="nil"/>
              <w:bottom w:val="single" w:sz="4" w:space="0" w:color="auto"/>
              <w:right w:val="single" w:sz="4" w:space="0" w:color="auto"/>
            </w:tcBorders>
            <w:shd w:val="clear" w:color="auto" w:fill="auto"/>
            <w:vAlign w:val="center"/>
            <w:hideMark/>
          </w:tcPr>
          <w:p w14:paraId="2BC1C06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42FEC46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42C1518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0D606A2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46D60F8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1D1F477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886,227</w:t>
            </w:r>
          </w:p>
        </w:tc>
      </w:tr>
      <w:tr w:rsidR="00F54824" w:rsidRPr="002128A6" w14:paraId="0FCDA318" w14:textId="77777777" w:rsidTr="00152EE7">
        <w:trPr>
          <w:trHeight w:val="20"/>
        </w:trPr>
        <w:tc>
          <w:tcPr>
            <w:tcW w:w="2275" w:type="dxa"/>
            <w:tcBorders>
              <w:top w:val="nil"/>
              <w:left w:val="single" w:sz="8" w:space="0" w:color="auto"/>
              <w:bottom w:val="single" w:sz="4" w:space="0" w:color="auto"/>
              <w:right w:val="single" w:sz="8" w:space="0" w:color="auto"/>
            </w:tcBorders>
            <w:shd w:val="clear" w:color="auto" w:fill="auto"/>
            <w:vAlign w:val="center"/>
            <w:hideMark/>
          </w:tcPr>
          <w:p w14:paraId="7E0CC1BE"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Reduktimi i cenueshmërisë së komuniteteve me rrezik duke përmirësuar aksesin në mekanizmat e </w:t>
            </w:r>
            <w:r w:rsidRPr="002128A6">
              <w:rPr>
                <w:rFonts w:ascii="Garamond" w:eastAsia="Times New Roman" w:hAnsi="Garamond" w:cs="Times New Roman"/>
                <w:b/>
                <w:bCs/>
                <w:kern w:val="0"/>
                <w:sz w:val="8"/>
                <w:szCs w:val="14"/>
                <w14:ligatures w14:val="none"/>
              </w:rPr>
              <w:lastRenderedPageBreak/>
              <w:t>mbështetjes sociale, ekonomike dhe të riintegrimit</w:t>
            </w:r>
          </w:p>
        </w:tc>
        <w:tc>
          <w:tcPr>
            <w:tcW w:w="861" w:type="dxa"/>
            <w:tcBorders>
              <w:top w:val="nil"/>
              <w:left w:val="nil"/>
              <w:bottom w:val="single" w:sz="4" w:space="0" w:color="auto"/>
              <w:right w:val="single" w:sz="4" w:space="0" w:color="auto"/>
            </w:tcBorders>
            <w:shd w:val="clear" w:color="auto" w:fill="auto"/>
            <w:vAlign w:val="center"/>
            <w:hideMark/>
          </w:tcPr>
          <w:p w14:paraId="4A71897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lastRenderedPageBreak/>
              <w:t xml:space="preserve">Policia e Shtetit; Agjencia e Pasurive të Sekuestruara dhe </w:t>
            </w:r>
            <w:r w:rsidRPr="002128A6">
              <w:rPr>
                <w:rFonts w:ascii="Garamond" w:eastAsia="Times New Roman" w:hAnsi="Garamond" w:cs="Times New Roman"/>
                <w:kern w:val="0"/>
                <w:sz w:val="8"/>
                <w:szCs w:val="14"/>
                <w14:ligatures w14:val="none"/>
              </w:rPr>
              <w:lastRenderedPageBreak/>
              <w:t>Konfiskuara; Ministria e Punëve të Brendshme</w:t>
            </w:r>
          </w:p>
        </w:tc>
        <w:tc>
          <w:tcPr>
            <w:tcW w:w="719" w:type="dxa"/>
            <w:tcBorders>
              <w:top w:val="nil"/>
              <w:left w:val="nil"/>
              <w:bottom w:val="single" w:sz="4" w:space="0" w:color="auto"/>
              <w:right w:val="single" w:sz="4" w:space="0" w:color="auto"/>
            </w:tcBorders>
            <w:shd w:val="clear" w:color="auto" w:fill="auto"/>
            <w:vAlign w:val="center"/>
            <w:hideMark/>
          </w:tcPr>
          <w:p w14:paraId="00B456C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lastRenderedPageBreak/>
              <w:t xml:space="preserve">Bashkitë; Prefekti i Qarkut Ministria e </w:t>
            </w:r>
            <w:r w:rsidRPr="002128A6">
              <w:rPr>
                <w:rFonts w:ascii="Garamond" w:eastAsia="Times New Roman" w:hAnsi="Garamond" w:cs="Times New Roman"/>
                <w:kern w:val="0"/>
                <w:sz w:val="8"/>
                <w:szCs w:val="14"/>
                <w14:ligatures w14:val="none"/>
              </w:rPr>
              <w:lastRenderedPageBreak/>
              <w:t>Punëve të Brendshme; Ministria e Drejtësisë; Ministria e Shëndetësisë dhe Mirëqenies Sociale; Ministritë relevante të linjës;</w:t>
            </w:r>
          </w:p>
        </w:tc>
        <w:tc>
          <w:tcPr>
            <w:tcW w:w="445" w:type="dxa"/>
            <w:tcBorders>
              <w:top w:val="nil"/>
              <w:left w:val="nil"/>
              <w:bottom w:val="single" w:sz="4" w:space="0" w:color="auto"/>
              <w:right w:val="single" w:sz="4" w:space="0" w:color="auto"/>
            </w:tcBorders>
            <w:shd w:val="clear" w:color="auto" w:fill="auto"/>
            <w:vAlign w:val="center"/>
            <w:hideMark/>
          </w:tcPr>
          <w:p w14:paraId="2172E0DF"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lastRenderedPageBreak/>
              <w:t>2026</w:t>
            </w:r>
          </w:p>
        </w:tc>
        <w:tc>
          <w:tcPr>
            <w:tcW w:w="509" w:type="dxa"/>
            <w:tcBorders>
              <w:top w:val="nil"/>
              <w:left w:val="nil"/>
              <w:bottom w:val="single" w:sz="4" w:space="0" w:color="auto"/>
              <w:right w:val="single" w:sz="4" w:space="0" w:color="auto"/>
            </w:tcBorders>
            <w:shd w:val="clear" w:color="auto" w:fill="auto"/>
            <w:vAlign w:val="center"/>
            <w:hideMark/>
          </w:tcPr>
          <w:p w14:paraId="4F29A22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0B3EA10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8,942,506,653</w:t>
            </w:r>
          </w:p>
        </w:tc>
        <w:tc>
          <w:tcPr>
            <w:tcW w:w="639" w:type="dxa"/>
            <w:tcBorders>
              <w:top w:val="nil"/>
              <w:left w:val="nil"/>
              <w:bottom w:val="single" w:sz="4" w:space="0" w:color="auto"/>
              <w:right w:val="single" w:sz="4" w:space="0" w:color="auto"/>
            </w:tcBorders>
            <w:shd w:val="clear" w:color="auto" w:fill="auto"/>
            <w:vAlign w:val="center"/>
            <w:hideMark/>
          </w:tcPr>
          <w:p w14:paraId="7CB4461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1,024,287,000</w:t>
            </w:r>
          </w:p>
        </w:tc>
        <w:tc>
          <w:tcPr>
            <w:tcW w:w="644" w:type="dxa"/>
            <w:tcBorders>
              <w:top w:val="nil"/>
              <w:left w:val="nil"/>
              <w:bottom w:val="single" w:sz="4" w:space="0" w:color="auto"/>
              <w:right w:val="single" w:sz="4" w:space="0" w:color="auto"/>
            </w:tcBorders>
            <w:shd w:val="clear" w:color="auto" w:fill="auto"/>
            <w:vAlign w:val="center"/>
            <w:hideMark/>
          </w:tcPr>
          <w:p w14:paraId="2AF18AD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9,966,793,653</w:t>
            </w:r>
          </w:p>
        </w:tc>
        <w:tc>
          <w:tcPr>
            <w:tcW w:w="644" w:type="dxa"/>
            <w:tcBorders>
              <w:top w:val="nil"/>
              <w:left w:val="nil"/>
              <w:bottom w:val="single" w:sz="4" w:space="0" w:color="auto"/>
              <w:right w:val="single" w:sz="4" w:space="0" w:color="auto"/>
            </w:tcBorders>
            <w:shd w:val="clear" w:color="auto" w:fill="auto"/>
            <w:vAlign w:val="center"/>
            <w:hideMark/>
          </w:tcPr>
          <w:p w14:paraId="0F6833A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8,936,909,463</w:t>
            </w:r>
          </w:p>
        </w:tc>
        <w:tc>
          <w:tcPr>
            <w:tcW w:w="610" w:type="dxa"/>
            <w:tcBorders>
              <w:top w:val="nil"/>
              <w:left w:val="nil"/>
              <w:bottom w:val="single" w:sz="4" w:space="0" w:color="auto"/>
              <w:right w:val="single" w:sz="4" w:space="0" w:color="auto"/>
            </w:tcBorders>
            <w:shd w:val="clear" w:color="auto" w:fill="auto"/>
            <w:vAlign w:val="center"/>
            <w:hideMark/>
          </w:tcPr>
          <w:p w14:paraId="2B921D1B"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1,018,287,000</w:t>
            </w:r>
          </w:p>
        </w:tc>
        <w:tc>
          <w:tcPr>
            <w:tcW w:w="639" w:type="dxa"/>
            <w:tcBorders>
              <w:top w:val="nil"/>
              <w:left w:val="nil"/>
              <w:bottom w:val="single" w:sz="4" w:space="0" w:color="auto"/>
              <w:right w:val="single" w:sz="4" w:space="0" w:color="auto"/>
            </w:tcBorders>
            <w:shd w:val="clear" w:color="auto" w:fill="auto"/>
            <w:vAlign w:val="center"/>
            <w:hideMark/>
          </w:tcPr>
          <w:p w14:paraId="1F73585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9,955,196,463</w:t>
            </w:r>
          </w:p>
        </w:tc>
        <w:tc>
          <w:tcPr>
            <w:tcW w:w="615" w:type="dxa"/>
            <w:tcBorders>
              <w:top w:val="nil"/>
              <w:left w:val="nil"/>
              <w:bottom w:val="single" w:sz="4" w:space="0" w:color="auto"/>
              <w:right w:val="single" w:sz="4" w:space="0" w:color="auto"/>
            </w:tcBorders>
            <w:shd w:val="clear" w:color="auto" w:fill="auto"/>
            <w:vAlign w:val="center"/>
            <w:hideMark/>
          </w:tcPr>
          <w:p w14:paraId="27100E8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5,597,190</w:t>
            </w:r>
          </w:p>
        </w:tc>
        <w:tc>
          <w:tcPr>
            <w:tcW w:w="610" w:type="dxa"/>
            <w:tcBorders>
              <w:top w:val="nil"/>
              <w:left w:val="nil"/>
              <w:bottom w:val="single" w:sz="4" w:space="0" w:color="auto"/>
              <w:right w:val="single" w:sz="4" w:space="0" w:color="auto"/>
            </w:tcBorders>
            <w:shd w:val="clear" w:color="auto" w:fill="auto"/>
            <w:vAlign w:val="center"/>
            <w:hideMark/>
          </w:tcPr>
          <w:p w14:paraId="2E09B7CB"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45DCB86B"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5,597,190</w:t>
            </w:r>
          </w:p>
        </w:tc>
        <w:tc>
          <w:tcPr>
            <w:tcW w:w="460" w:type="dxa"/>
            <w:tcBorders>
              <w:top w:val="nil"/>
              <w:left w:val="nil"/>
              <w:bottom w:val="single" w:sz="4" w:space="0" w:color="auto"/>
              <w:right w:val="single" w:sz="4" w:space="0" w:color="auto"/>
            </w:tcBorders>
            <w:shd w:val="clear" w:color="auto" w:fill="auto"/>
            <w:vAlign w:val="center"/>
            <w:hideMark/>
          </w:tcPr>
          <w:p w14:paraId="3F9BBA4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4456A9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6,000,000</w:t>
            </w:r>
          </w:p>
        </w:tc>
        <w:tc>
          <w:tcPr>
            <w:tcW w:w="476" w:type="dxa"/>
            <w:tcBorders>
              <w:top w:val="nil"/>
              <w:left w:val="nil"/>
              <w:bottom w:val="single" w:sz="4" w:space="0" w:color="auto"/>
              <w:right w:val="single" w:sz="4" w:space="0" w:color="auto"/>
            </w:tcBorders>
            <w:shd w:val="clear" w:color="auto" w:fill="auto"/>
            <w:vAlign w:val="center"/>
            <w:hideMark/>
          </w:tcPr>
          <w:p w14:paraId="0616086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164E2FF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6,000,000</w:t>
            </w:r>
          </w:p>
        </w:tc>
        <w:tc>
          <w:tcPr>
            <w:tcW w:w="615" w:type="dxa"/>
            <w:tcBorders>
              <w:top w:val="nil"/>
              <w:left w:val="nil"/>
              <w:bottom w:val="single" w:sz="4" w:space="0" w:color="auto"/>
              <w:right w:val="single" w:sz="4" w:space="0" w:color="auto"/>
            </w:tcBorders>
            <w:shd w:val="clear" w:color="auto" w:fill="auto"/>
            <w:vAlign w:val="center"/>
            <w:hideMark/>
          </w:tcPr>
          <w:p w14:paraId="5091EB1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08F3E610"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107,054,712</w:t>
            </w:r>
          </w:p>
        </w:tc>
      </w:tr>
      <w:tr w:rsidR="00F54824" w:rsidRPr="002128A6" w14:paraId="4F3E199D" w14:textId="77777777" w:rsidTr="00152EE7">
        <w:trPr>
          <w:trHeight w:val="20"/>
        </w:trPr>
        <w:tc>
          <w:tcPr>
            <w:tcW w:w="2275" w:type="dxa"/>
            <w:tcBorders>
              <w:top w:val="nil"/>
              <w:left w:val="single" w:sz="8" w:space="0" w:color="auto"/>
              <w:bottom w:val="single" w:sz="4" w:space="0" w:color="auto"/>
              <w:right w:val="single" w:sz="8" w:space="0" w:color="auto"/>
            </w:tcBorders>
            <w:shd w:val="clear" w:color="auto" w:fill="auto"/>
            <w:vAlign w:val="center"/>
            <w:hideMark/>
          </w:tcPr>
          <w:p w14:paraId="5EF69ACC"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Forcimi i sigurisë dhe i mbrojtjes së individëve me rrezik, përfshirë dëshmitarët, bashkëpunëtorët e drejtësisë, përmes standardeve të mbrojtjes të harmonizuara me ato të BE-së</w:t>
            </w:r>
          </w:p>
        </w:tc>
        <w:tc>
          <w:tcPr>
            <w:tcW w:w="861" w:type="dxa"/>
            <w:tcBorders>
              <w:top w:val="nil"/>
              <w:left w:val="nil"/>
              <w:bottom w:val="single" w:sz="4" w:space="0" w:color="auto"/>
              <w:right w:val="single" w:sz="4" w:space="0" w:color="auto"/>
            </w:tcBorders>
            <w:shd w:val="clear" w:color="auto" w:fill="auto"/>
            <w:vAlign w:val="center"/>
            <w:hideMark/>
          </w:tcPr>
          <w:p w14:paraId="359D5E1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w:t>
            </w:r>
          </w:p>
        </w:tc>
        <w:tc>
          <w:tcPr>
            <w:tcW w:w="719" w:type="dxa"/>
            <w:tcBorders>
              <w:top w:val="nil"/>
              <w:left w:val="nil"/>
              <w:bottom w:val="single" w:sz="4" w:space="0" w:color="auto"/>
              <w:right w:val="single" w:sz="4" w:space="0" w:color="auto"/>
            </w:tcBorders>
            <w:shd w:val="clear" w:color="auto" w:fill="auto"/>
            <w:vAlign w:val="center"/>
            <w:hideMark/>
          </w:tcPr>
          <w:p w14:paraId="712FC4B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445" w:type="dxa"/>
            <w:tcBorders>
              <w:top w:val="nil"/>
              <w:left w:val="nil"/>
              <w:bottom w:val="single" w:sz="4" w:space="0" w:color="auto"/>
              <w:right w:val="single" w:sz="4" w:space="0" w:color="auto"/>
            </w:tcBorders>
            <w:shd w:val="clear" w:color="auto" w:fill="auto"/>
            <w:vAlign w:val="center"/>
            <w:hideMark/>
          </w:tcPr>
          <w:p w14:paraId="50998B7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2D8789D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43BF55B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195,800,000</w:t>
            </w:r>
          </w:p>
        </w:tc>
        <w:tc>
          <w:tcPr>
            <w:tcW w:w="639" w:type="dxa"/>
            <w:tcBorders>
              <w:top w:val="nil"/>
              <w:left w:val="nil"/>
              <w:bottom w:val="single" w:sz="4" w:space="0" w:color="auto"/>
              <w:right w:val="single" w:sz="4" w:space="0" w:color="auto"/>
            </w:tcBorders>
            <w:shd w:val="clear" w:color="auto" w:fill="auto"/>
            <w:vAlign w:val="center"/>
            <w:hideMark/>
          </w:tcPr>
          <w:p w14:paraId="1E4752A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44" w:type="dxa"/>
            <w:tcBorders>
              <w:top w:val="nil"/>
              <w:left w:val="nil"/>
              <w:bottom w:val="single" w:sz="4" w:space="0" w:color="auto"/>
              <w:right w:val="single" w:sz="4" w:space="0" w:color="auto"/>
            </w:tcBorders>
            <w:shd w:val="clear" w:color="auto" w:fill="auto"/>
            <w:vAlign w:val="center"/>
            <w:hideMark/>
          </w:tcPr>
          <w:p w14:paraId="313B757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195,800,000</w:t>
            </w:r>
          </w:p>
        </w:tc>
        <w:tc>
          <w:tcPr>
            <w:tcW w:w="644" w:type="dxa"/>
            <w:tcBorders>
              <w:top w:val="nil"/>
              <w:left w:val="nil"/>
              <w:bottom w:val="single" w:sz="4" w:space="0" w:color="auto"/>
              <w:right w:val="single" w:sz="4" w:space="0" w:color="auto"/>
            </w:tcBorders>
            <w:shd w:val="clear" w:color="auto" w:fill="auto"/>
            <w:vAlign w:val="center"/>
            <w:hideMark/>
          </w:tcPr>
          <w:p w14:paraId="5117108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195,800,000</w:t>
            </w:r>
          </w:p>
        </w:tc>
        <w:tc>
          <w:tcPr>
            <w:tcW w:w="610" w:type="dxa"/>
            <w:tcBorders>
              <w:top w:val="nil"/>
              <w:left w:val="nil"/>
              <w:bottom w:val="single" w:sz="4" w:space="0" w:color="auto"/>
              <w:right w:val="single" w:sz="4" w:space="0" w:color="auto"/>
            </w:tcBorders>
            <w:shd w:val="clear" w:color="auto" w:fill="auto"/>
            <w:vAlign w:val="center"/>
            <w:hideMark/>
          </w:tcPr>
          <w:p w14:paraId="7CE2F0B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293AD56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195,800,000</w:t>
            </w:r>
          </w:p>
        </w:tc>
        <w:tc>
          <w:tcPr>
            <w:tcW w:w="615" w:type="dxa"/>
            <w:tcBorders>
              <w:top w:val="nil"/>
              <w:left w:val="nil"/>
              <w:bottom w:val="single" w:sz="4" w:space="0" w:color="auto"/>
              <w:right w:val="single" w:sz="4" w:space="0" w:color="auto"/>
            </w:tcBorders>
            <w:shd w:val="clear" w:color="auto" w:fill="auto"/>
            <w:vAlign w:val="center"/>
            <w:hideMark/>
          </w:tcPr>
          <w:p w14:paraId="511ADB8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0" w:type="dxa"/>
            <w:tcBorders>
              <w:top w:val="nil"/>
              <w:left w:val="nil"/>
              <w:bottom w:val="single" w:sz="4" w:space="0" w:color="auto"/>
              <w:right w:val="single" w:sz="4" w:space="0" w:color="auto"/>
            </w:tcBorders>
            <w:shd w:val="clear" w:color="auto" w:fill="auto"/>
            <w:vAlign w:val="center"/>
            <w:hideMark/>
          </w:tcPr>
          <w:p w14:paraId="0E6428C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37D1B4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60" w:type="dxa"/>
            <w:tcBorders>
              <w:top w:val="nil"/>
              <w:left w:val="nil"/>
              <w:bottom w:val="single" w:sz="4" w:space="0" w:color="auto"/>
              <w:right w:val="single" w:sz="4" w:space="0" w:color="auto"/>
            </w:tcBorders>
            <w:shd w:val="clear" w:color="auto" w:fill="auto"/>
            <w:vAlign w:val="center"/>
            <w:hideMark/>
          </w:tcPr>
          <w:p w14:paraId="618B78F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EAC41D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7167CCF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62E3DF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270B6B9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7C2C6C2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2,103,115</w:t>
            </w:r>
          </w:p>
        </w:tc>
      </w:tr>
      <w:tr w:rsidR="00F54824" w:rsidRPr="002128A6" w14:paraId="192F3A7F" w14:textId="77777777" w:rsidTr="00152EE7">
        <w:trPr>
          <w:trHeight w:val="20"/>
        </w:trPr>
        <w:tc>
          <w:tcPr>
            <w:tcW w:w="2275" w:type="dxa"/>
            <w:tcBorders>
              <w:top w:val="nil"/>
              <w:left w:val="single" w:sz="8" w:space="0" w:color="auto"/>
              <w:bottom w:val="single" w:sz="4" w:space="0" w:color="auto"/>
              <w:right w:val="single" w:sz="8" w:space="0" w:color="auto"/>
            </w:tcBorders>
            <w:shd w:val="clear" w:color="auto" w:fill="auto"/>
            <w:vAlign w:val="center"/>
            <w:hideMark/>
          </w:tcPr>
          <w:p w14:paraId="1C698935"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Rritja e profesionalizmit, kapacitetit teknologjik dhe efikasitetit operacional të institucioneve ligjzbatuese dhe të drejtësisë</w:t>
            </w:r>
          </w:p>
        </w:tc>
        <w:tc>
          <w:tcPr>
            <w:tcW w:w="861" w:type="dxa"/>
            <w:tcBorders>
              <w:top w:val="nil"/>
              <w:left w:val="nil"/>
              <w:bottom w:val="single" w:sz="4" w:space="0" w:color="auto"/>
              <w:right w:val="single" w:sz="4" w:space="0" w:color="auto"/>
            </w:tcBorders>
            <w:shd w:val="clear" w:color="auto" w:fill="auto"/>
            <w:vAlign w:val="center"/>
            <w:hideMark/>
          </w:tcPr>
          <w:p w14:paraId="17C182A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 Byroja Kombëtare e Hetimit; Struktura e Posaçme Kundër Korrupsionit dhe Krimit të Organizuar; Prokuroria e Përgjithshme; Akademia e Sigurisë</w:t>
            </w:r>
          </w:p>
        </w:tc>
        <w:tc>
          <w:tcPr>
            <w:tcW w:w="719" w:type="dxa"/>
            <w:tcBorders>
              <w:top w:val="nil"/>
              <w:left w:val="nil"/>
              <w:bottom w:val="single" w:sz="4" w:space="0" w:color="auto"/>
              <w:right w:val="single" w:sz="4" w:space="0" w:color="auto"/>
            </w:tcBorders>
            <w:shd w:val="clear" w:color="auto" w:fill="auto"/>
            <w:vAlign w:val="center"/>
            <w:hideMark/>
          </w:tcPr>
          <w:p w14:paraId="75BF318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Ministria e Punëve të Brendshme; Prokuroria e Përgjithshme; Prokuroria e Posaçme kundër Korrupsionit dhe Krimit të Organizuar; Byroja Kombëtare e Hetimit; Policia e Shtetit/Akademia e Sigurisë; Ministria e Drejtësisë;</w:t>
            </w:r>
          </w:p>
        </w:tc>
        <w:tc>
          <w:tcPr>
            <w:tcW w:w="445" w:type="dxa"/>
            <w:tcBorders>
              <w:top w:val="nil"/>
              <w:left w:val="nil"/>
              <w:bottom w:val="single" w:sz="4" w:space="0" w:color="auto"/>
              <w:right w:val="single" w:sz="4" w:space="0" w:color="auto"/>
            </w:tcBorders>
            <w:shd w:val="clear" w:color="auto" w:fill="auto"/>
            <w:vAlign w:val="center"/>
            <w:hideMark/>
          </w:tcPr>
          <w:p w14:paraId="42DC5D4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1AF3B7E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12E3C2F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3,152,620,441</w:t>
            </w:r>
          </w:p>
        </w:tc>
        <w:tc>
          <w:tcPr>
            <w:tcW w:w="639" w:type="dxa"/>
            <w:tcBorders>
              <w:top w:val="nil"/>
              <w:left w:val="nil"/>
              <w:bottom w:val="single" w:sz="4" w:space="0" w:color="auto"/>
              <w:right w:val="single" w:sz="4" w:space="0" w:color="auto"/>
            </w:tcBorders>
            <w:shd w:val="clear" w:color="auto" w:fill="auto"/>
            <w:vAlign w:val="center"/>
            <w:hideMark/>
          </w:tcPr>
          <w:p w14:paraId="46BC06C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768,168,600</w:t>
            </w:r>
          </w:p>
        </w:tc>
        <w:tc>
          <w:tcPr>
            <w:tcW w:w="644" w:type="dxa"/>
            <w:tcBorders>
              <w:top w:val="nil"/>
              <w:left w:val="nil"/>
              <w:bottom w:val="single" w:sz="4" w:space="0" w:color="auto"/>
              <w:right w:val="single" w:sz="4" w:space="0" w:color="auto"/>
            </w:tcBorders>
            <w:shd w:val="clear" w:color="auto" w:fill="auto"/>
            <w:vAlign w:val="center"/>
            <w:hideMark/>
          </w:tcPr>
          <w:p w14:paraId="365BDF5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3,920,789,041</w:t>
            </w:r>
          </w:p>
        </w:tc>
        <w:tc>
          <w:tcPr>
            <w:tcW w:w="644" w:type="dxa"/>
            <w:tcBorders>
              <w:top w:val="nil"/>
              <w:left w:val="nil"/>
              <w:bottom w:val="single" w:sz="4" w:space="0" w:color="auto"/>
              <w:right w:val="single" w:sz="4" w:space="0" w:color="auto"/>
            </w:tcBorders>
            <w:shd w:val="clear" w:color="auto" w:fill="auto"/>
            <w:vAlign w:val="center"/>
            <w:hideMark/>
          </w:tcPr>
          <w:p w14:paraId="7D942CE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2,474,496,951</w:t>
            </w:r>
          </w:p>
        </w:tc>
        <w:tc>
          <w:tcPr>
            <w:tcW w:w="610" w:type="dxa"/>
            <w:tcBorders>
              <w:top w:val="nil"/>
              <w:left w:val="nil"/>
              <w:bottom w:val="single" w:sz="4" w:space="0" w:color="auto"/>
              <w:right w:val="single" w:sz="4" w:space="0" w:color="auto"/>
            </w:tcBorders>
            <w:shd w:val="clear" w:color="auto" w:fill="auto"/>
            <w:vAlign w:val="center"/>
            <w:hideMark/>
          </w:tcPr>
          <w:p w14:paraId="388A7B8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40,680,000</w:t>
            </w:r>
          </w:p>
        </w:tc>
        <w:tc>
          <w:tcPr>
            <w:tcW w:w="639" w:type="dxa"/>
            <w:tcBorders>
              <w:top w:val="nil"/>
              <w:left w:val="nil"/>
              <w:bottom w:val="single" w:sz="4" w:space="0" w:color="auto"/>
              <w:right w:val="single" w:sz="4" w:space="0" w:color="auto"/>
            </w:tcBorders>
            <w:shd w:val="clear" w:color="auto" w:fill="auto"/>
            <w:vAlign w:val="center"/>
            <w:hideMark/>
          </w:tcPr>
          <w:p w14:paraId="33B177C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2,515,176,951</w:t>
            </w:r>
          </w:p>
        </w:tc>
        <w:tc>
          <w:tcPr>
            <w:tcW w:w="615" w:type="dxa"/>
            <w:tcBorders>
              <w:top w:val="nil"/>
              <w:left w:val="nil"/>
              <w:bottom w:val="single" w:sz="4" w:space="0" w:color="auto"/>
              <w:right w:val="single" w:sz="4" w:space="0" w:color="auto"/>
            </w:tcBorders>
            <w:shd w:val="clear" w:color="auto" w:fill="auto"/>
            <w:vAlign w:val="center"/>
            <w:hideMark/>
          </w:tcPr>
          <w:p w14:paraId="3A4C0A2B"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678,123,490</w:t>
            </w:r>
          </w:p>
        </w:tc>
        <w:tc>
          <w:tcPr>
            <w:tcW w:w="610" w:type="dxa"/>
            <w:tcBorders>
              <w:top w:val="nil"/>
              <w:left w:val="nil"/>
              <w:bottom w:val="single" w:sz="4" w:space="0" w:color="auto"/>
              <w:right w:val="single" w:sz="4" w:space="0" w:color="auto"/>
            </w:tcBorders>
            <w:shd w:val="clear" w:color="auto" w:fill="auto"/>
            <w:vAlign w:val="center"/>
            <w:hideMark/>
          </w:tcPr>
          <w:p w14:paraId="122EF26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2E16510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678,123,490</w:t>
            </w:r>
          </w:p>
        </w:tc>
        <w:tc>
          <w:tcPr>
            <w:tcW w:w="460" w:type="dxa"/>
            <w:tcBorders>
              <w:top w:val="nil"/>
              <w:left w:val="nil"/>
              <w:bottom w:val="single" w:sz="4" w:space="0" w:color="auto"/>
              <w:right w:val="single" w:sz="4" w:space="0" w:color="auto"/>
            </w:tcBorders>
            <w:shd w:val="clear" w:color="auto" w:fill="auto"/>
            <w:vAlign w:val="center"/>
            <w:hideMark/>
          </w:tcPr>
          <w:p w14:paraId="292E694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748ABC4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727,488,600</w:t>
            </w:r>
          </w:p>
        </w:tc>
        <w:tc>
          <w:tcPr>
            <w:tcW w:w="476" w:type="dxa"/>
            <w:tcBorders>
              <w:top w:val="nil"/>
              <w:left w:val="nil"/>
              <w:bottom w:val="single" w:sz="4" w:space="0" w:color="auto"/>
              <w:right w:val="single" w:sz="4" w:space="0" w:color="auto"/>
            </w:tcBorders>
            <w:shd w:val="clear" w:color="auto" w:fill="auto"/>
            <w:vAlign w:val="center"/>
            <w:hideMark/>
          </w:tcPr>
          <w:p w14:paraId="09662C6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2FC1B32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727,488,600</w:t>
            </w:r>
          </w:p>
        </w:tc>
        <w:tc>
          <w:tcPr>
            <w:tcW w:w="615" w:type="dxa"/>
            <w:tcBorders>
              <w:top w:val="nil"/>
              <w:left w:val="nil"/>
              <w:bottom w:val="single" w:sz="4" w:space="0" w:color="auto"/>
              <w:right w:val="single" w:sz="4" w:space="0" w:color="auto"/>
            </w:tcBorders>
            <w:shd w:val="clear" w:color="auto" w:fill="auto"/>
            <w:vAlign w:val="center"/>
            <w:hideMark/>
          </w:tcPr>
          <w:p w14:paraId="350282D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3C6210E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42,113,738</w:t>
            </w:r>
          </w:p>
        </w:tc>
      </w:tr>
      <w:tr w:rsidR="00F54824" w:rsidRPr="002128A6" w14:paraId="4D013E56" w14:textId="77777777" w:rsidTr="00152EE7">
        <w:trPr>
          <w:trHeight w:val="20"/>
        </w:trPr>
        <w:tc>
          <w:tcPr>
            <w:tcW w:w="2275" w:type="dxa"/>
            <w:tcBorders>
              <w:top w:val="nil"/>
              <w:left w:val="single" w:sz="8" w:space="0" w:color="auto"/>
              <w:bottom w:val="single" w:sz="4" w:space="0" w:color="auto"/>
              <w:right w:val="single" w:sz="8" w:space="0" w:color="auto"/>
            </w:tcBorders>
            <w:shd w:val="clear" w:color="auto" w:fill="auto"/>
            <w:vAlign w:val="center"/>
            <w:hideMark/>
          </w:tcPr>
          <w:p w14:paraId="43E3E60A"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Reduktimi i stimujve dhe mundësive financiare për krimin e organizuar nëpërmjet forcimit të kontrolleve ekonomike dhe ndërprerjes së burimeve të financimit</w:t>
            </w:r>
          </w:p>
        </w:tc>
        <w:tc>
          <w:tcPr>
            <w:tcW w:w="861" w:type="dxa"/>
            <w:tcBorders>
              <w:top w:val="nil"/>
              <w:left w:val="nil"/>
              <w:bottom w:val="nil"/>
              <w:right w:val="single" w:sz="4" w:space="0" w:color="auto"/>
            </w:tcBorders>
            <w:shd w:val="clear" w:color="auto" w:fill="auto"/>
            <w:vAlign w:val="center"/>
            <w:hideMark/>
          </w:tcPr>
          <w:p w14:paraId="18FCE78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Drejtoria e Përgjithshme e Tatimeve; Ministria e Punëve të Brendshme;</w:t>
            </w:r>
          </w:p>
        </w:tc>
        <w:tc>
          <w:tcPr>
            <w:tcW w:w="719" w:type="dxa"/>
            <w:tcBorders>
              <w:top w:val="nil"/>
              <w:left w:val="nil"/>
              <w:bottom w:val="single" w:sz="4" w:space="0" w:color="auto"/>
              <w:right w:val="single" w:sz="4" w:space="0" w:color="auto"/>
            </w:tcBorders>
            <w:shd w:val="clear" w:color="auto" w:fill="auto"/>
            <w:vAlign w:val="center"/>
            <w:hideMark/>
          </w:tcPr>
          <w:p w14:paraId="394BBE8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Ministritë relevante të linjës; Policia e Shtetit, Agjencia e Inteligjencës Financiare, Shërbimi Informativ i Shtetit, Autoriteti Kombëtar për Sigurinë Kibernetike; Prokuroria e Përgjithshme; Prokuroria e Posaçme; Byroja Kombëtare e Hetimit; Policia e Shtetit</w:t>
            </w:r>
          </w:p>
        </w:tc>
        <w:tc>
          <w:tcPr>
            <w:tcW w:w="445" w:type="dxa"/>
            <w:tcBorders>
              <w:top w:val="nil"/>
              <w:left w:val="nil"/>
              <w:bottom w:val="single" w:sz="4" w:space="0" w:color="auto"/>
              <w:right w:val="single" w:sz="4" w:space="0" w:color="auto"/>
            </w:tcBorders>
            <w:shd w:val="clear" w:color="auto" w:fill="auto"/>
            <w:vAlign w:val="center"/>
            <w:hideMark/>
          </w:tcPr>
          <w:p w14:paraId="29D809C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5FFB992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522FCED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493,336,980</w:t>
            </w:r>
          </w:p>
        </w:tc>
        <w:tc>
          <w:tcPr>
            <w:tcW w:w="639" w:type="dxa"/>
            <w:tcBorders>
              <w:top w:val="nil"/>
              <w:left w:val="nil"/>
              <w:bottom w:val="single" w:sz="4" w:space="0" w:color="auto"/>
              <w:right w:val="single" w:sz="4" w:space="0" w:color="auto"/>
            </w:tcBorders>
            <w:shd w:val="clear" w:color="auto" w:fill="auto"/>
            <w:vAlign w:val="center"/>
            <w:hideMark/>
          </w:tcPr>
          <w:p w14:paraId="0F1F5EE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50,000,000</w:t>
            </w:r>
          </w:p>
        </w:tc>
        <w:tc>
          <w:tcPr>
            <w:tcW w:w="644" w:type="dxa"/>
            <w:tcBorders>
              <w:top w:val="nil"/>
              <w:left w:val="nil"/>
              <w:bottom w:val="single" w:sz="4" w:space="0" w:color="auto"/>
              <w:right w:val="single" w:sz="4" w:space="0" w:color="auto"/>
            </w:tcBorders>
            <w:shd w:val="clear" w:color="auto" w:fill="auto"/>
            <w:vAlign w:val="center"/>
            <w:hideMark/>
          </w:tcPr>
          <w:p w14:paraId="4189B33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543,336,980</w:t>
            </w:r>
          </w:p>
        </w:tc>
        <w:tc>
          <w:tcPr>
            <w:tcW w:w="644" w:type="dxa"/>
            <w:tcBorders>
              <w:top w:val="nil"/>
              <w:left w:val="nil"/>
              <w:bottom w:val="single" w:sz="4" w:space="0" w:color="auto"/>
              <w:right w:val="single" w:sz="4" w:space="0" w:color="auto"/>
            </w:tcBorders>
            <w:shd w:val="clear" w:color="auto" w:fill="auto"/>
            <w:vAlign w:val="center"/>
            <w:hideMark/>
          </w:tcPr>
          <w:p w14:paraId="5AAD2E4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492,856,980</w:t>
            </w:r>
          </w:p>
        </w:tc>
        <w:tc>
          <w:tcPr>
            <w:tcW w:w="610" w:type="dxa"/>
            <w:tcBorders>
              <w:top w:val="nil"/>
              <w:left w:val="nil"/>
              <w:bottom w:val="single" w:sz="4" w:space="0" w:color="auto"/>
              <w:right w:val="single" w:sz="4" w:space="0" w:color="auto"/>
            </w:tcBorders>
            <w:shd w:val="clear" w:color="auto" w:fill="auto"/>
            <w:vAlign w:val="center"/>
            <w:hideMark/>
          </w:tcPr>
          <w:p w14:paraId="40D4555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50,000,000</w:t>
            </w:r>
          </w:p>
        </w:tc>
        <w:tc>
          <w:tcPr>
            <w:tcW w:w="639" w:type="dxa"/>
            <w:tcBorders>
              <w:top w:val="nil"/>
              <w:left w:val="nil"/>
              <w:bottom w:val="single" w:sz="4" w:space="0" w:color="auto"/>
              <w:right w:val="single" w:sz="4" w:space="0" w:color="auto"/>
            </w:tcBorders>
            <w:shd w:val="clear" w:color="auto" w:fill="auto"/>
            <w:vAlign w:val="center"/>
            <w:hideMark/>
          </w:tcPr>
          <w:p w14:paraId="2CD9FF3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542,856,980</w:t>
            </w:r>
          </w:p>
        </w:tc>
        <w:tc>
          <w:tcPr>
            <w:tcW w:w="615" w:type="dxa"/>
            <w:tcBorders>
              <w:top w:val="nil"/>
              <w:left w:val="nil"/>
              <w:bottom w:val="single" w:sz="4" w:space="0" w:color="auto"/>
              <w:right w:val="single" w:sz="4" w:space="0" w:color="auto"/>
            </w:tcBorders>
            <w:shd w:val="clear" w:color="auto" w:fill="auto"/>
            <w:vAlign w:val="center"/>
            <w:hideMark/>
          </w:tcPr>
          <w:p w14:paraId="42216F7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480,000</w:t>
            </w:r>
          </w:p>
        </w:tc>
        <w:tc>
          <w:tcPr>
            <w:tcW w:w="610" w:type="dxa"/>
            <w:tcBorders>
              <w:top w:val="nil"/>
              <w:left w:val="nil"/>
              <w:bottom w:val="single" w:sz="4" w:space="0" w:color="auto"/>
              <w:right w:val="single" w:sz="4" w:space="0" w:color="auto"/>
            </w:tcBorders>
            <w:shd w:val="clear" w:color="auto" w:fill="auto"/>
            <w:vAlign w:val="center"/>
            <w:hideMark/>
          </w:tcPr>
          <w:p w14:paraId="17BE442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79498C2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480,000</w:t>
            </w:r>
          </w:p>
        </w:tc>
        <w:tc>
          <w:tcPr>
            <w:tcW w:w="460" w:type="dxa"/>
            <w:tcBorders>
              <w:top w:val="nil"/>
              <w:left w:val="nil"/>
              <w:bottom w:val="single" w:sz="4" w:space="0" w:color="auto"/>
              <w:right w:val="single" w:sz="4" w:space="0" w:color="auto"/>
            </w:tcBorders>
            <w:shd w:val="clear" w:color="auto" w:fill="auto"/>
            <w:vAlign w:val="center"/>
            <w:hideMark/>
          </w:tcPr>
          <w:p w14:paraId="15924A9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2843A8D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46B220B8"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A9E050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B34347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7CCC846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5,836,058</w:t>
            </w:r>
          </w:p>
        </w:tc>
      </w:tr>
      <w:tr w:rsidR="00F54824" w:rsidRPr="002128A6" w14:paraId="0E712073" w14:textId="77777777" w:rsidTr="00152EE7">
        <w:trPr>
          <w:trHeight w:val="20"/>
        </w:trPr>
        <w:tc>
          <w:tcPr>
            <w:tcW w:w="2275" w:type="dxa"/>
            <w:tcBorders>
              <w:top w:val="nil"/>
              <w:left w:val="single" w:sz="8" w:space="0" w:color="auto"/>
              <w:bottom w:val="single" w:sz="8" w:space="0" w:color="auto"/>
              <w:right w:val="single" w:sz="8" w:space="0" w:color="auto"/>
            </w:tcBorders>
            <w:shd w:val="clear" w:color="auto" w:fill="auto"/>
            <w:vAlign w:val="center"/>
            <w:hideMark/>
          </w:tcPr>
          <w:p w14:paraId="43C14315"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Zbatimi i efektshëm i qasjes administrative për të parandaluar infiltrimin e krimit të organizuar në ekonomi dhe në administratën publike</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74E4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Ministria e Punëve të Brendshme</w:t>
            </w:r>
          </w:p>
        </w:tc>
        <w:tc>
          <w:tcPr>
            <w:tcW w:w="719" w:type="dxa"/>
            <w:tcBorders>
              <w:top w:val="nil"/>
              <w:left w:val="nil"/>
              <w:bottom w:val="single" w:sz="4" w:space="0" w:color="auto"/>
              <w:right w:val="single" w:sz="4" w:space="0" w:color="auto"/>
            </w:tcBorders>
            <w:shd w:val="clear" w:color="auto" w:fill="auto"/>
            <w:vAlign w:val="center"/>
            <w:hideMark/>
          </w:tcPr>
          <w:p w14:paraId="2CC3B95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Qendra për Studimin e Demokracisë dhe Qeverisjes; Agjencia e Inteligjencës Financiare; Drejtoria e Përgjithshme e Doganave; Drejtoria e Përgjithshme e Tatimeve; Kontrolli i Lartë i Shtetit; ASIG; Bashkitë; Agjencia Kombëtare e Shoqërisë së Informacionit; Shkolla Shqiptare e Administratës Publike; Ministria e Financave;</w:t>
            </w:r>
          </w:p>
        </w:tc>
        <w:tc>
          <w:tcPr>
            <w:tcW w:w="445" w:type="dxa"/>
            <w:tcBorders>
              <w:top w:val="nil"/>
              <w:left w:val="nil"/>
              <w:bottom w:val="single" w:sz="4" w:space="0" w:color="auto"/>
              <w:right w:val="single" w:sz="4" w:space="0" w:color="auto"/>
            </w:tcBorders>
            <w:shd w:val="clear" w:color="auto" w:fill="auto"/>
            <w:vAlign w:val="center"/>
            <w:hideMark/>
          </w:tcPr>
          <w:p w14:paraId="6BAAF30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183985D8"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71D07B8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661F852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2,031,808</w:t>
            </w:r>
          </w:p>
        </w:tc>
        <w:tc>
          <w:tcPr>
            <w:tcW w:w="644" w:type="dxa"/>
            <w:tcBorders>
              <w:top w:val="nil"/>
              <w:left w:val="nil"/>
              <w:bottom w:val="single" w:sz="4" w:space="0" w:color="auto"/>
              <w:right w:val="single" w:sz="4" w:space="0" w:color="auto"/>
            </w:tcBorders>
            <w:shd w:val="clear" w:color="auto" w:fill="auto"/>
            <w:vAlign w:val="center"/>
            <w:hideMark/>
          </w:tcPr>
          <w:p w14:paraId="6244932B"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2,031,808</w:t>
            </w:r>
          </w:p>
        </w:tc>
        <w:tc>
          <w:tcPr>
            <w:tcW w:w="644" w:type="dxa"/>
            <w:tcBorders>
              <w:top w:val="nil"/>
              <w:left w:val="nil"/>
              <w:bottom w:val="single" w:sz="4" w:space="0" w:color="auto"/>
              <w:right w:val="single" w:sz="4" w:space="0" w:color="auto"/>
            </w:tcBorders>
            <w:shd w:val="clear" w:color="auto" w:fill="auto"/>
            <w:vAlign w:val="center"/>
            <w:hideMark/>
          </w:tcPr>
          <w:p w14:paraId="7BCEBC9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0" w:type="dxa"/>
            <w:tcBorders>
              <w:top w:val="nil"/>
              <w:left w:val="nil"/>
              <w:bottom w:val="single" w:sz="4" w:space="0" w:color="auto"/>
              <w:right w:val="single" w:sz="4" w:space="0" w:color="auto"/>
            </w:tcBorders>
            <w:shd w:val="clear" w:color="auto" w:fill="auto"/>
            <w:vAlign w:val="center"/>
            <w:hideMark/>
          </w:tcPr>
          <w:p w14:paraId="4525391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400BA0D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1926132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0" w:type="dxa"/>
            <w:tcBorders>
              <w:top w:val="nil"/>
              <w:left w:val="nil"/>
              <w:bottom w:val="single" w:sz="4" w:space="0" w:color="auto"/>
              <w:right w:val="single" w:sz="4" w:space="0" w:color="auto"/>
            </w:tcBorders>
            <w:shd w:val="clear" w:color="auto" w:fill="auto"/>
            <w:vAlign w:val="center"/>
            <w:hideMark/>
          </w:tcPr>
          <w:p w14:paraId="64B977B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A336CD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60" w:type="dxa"/>
            <w:tcBorders>
              <w:top w:val="nil"/>
              <w:left w:val="nil"/>
              <w:bottom w:val="single" w:sz="4" w:space="0" w:color="auto"/>
              <w:right w:val="single" w:sz="4" w:space="0" w:color="auto"/>
            </w:tcBorders>
            <w:shd w:val="clear" w:color="auto" w:fill="auto"/>
            <w:vAlign w:val="center"/>
            <w:hideMark/>
          </w:tcPr>
          <w:p w14:paraId="61E281F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49A1AE9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2,031,808</w:t>
            </w:r>
          </w:p>
        </w:tc>
        <w:tc>
          <w:tcPr>
            <w:tcW w:w="476" w:type="dxa"/>
            <w:tcBorders>
              <w:top w:val="nil"/>
              <w:left w:val="nil"/>
              <w:bottom w:val="single" w:sz="4" w:space="0" w:color="auto"/>
              <w:right w:val="single" w:sz="4" w:space="0" w:color="auto"/>
            </w:tcBorders>
            <w:shd w:val="clear" w:color="auto" w:fill="auto"/>
            <w:vAlign w:val="center"/>
            <w:hideMark/>
          </w:tcPr>
          <w:p w14:paraId="5AB47F7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98C096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2,031,808</w:t>
            </w:r>
          </w:p>
        </w:tc>
        <w:tc>
          <w:tcPr>
            <w:tcW w:w="615" w:type="dxa"/>
            <w:tcBorders>
              <w:top w:val="nil"/>
              <w:left w:val="nil"/>
              <w:bottom w:val="single" w:sz="4" w:space="0" w:color="auto"/>
              <w:right w:val="single" w:sz="4" w:space="0" w:color="auto"/>
            </w:tcBorders>
            <w:shd w:val="clear" w:color="auto" w:fill="auto"/>
            <w:vAlign w:val="center"/>
            <w:hideMark/>
          </w:tcPr>
          <w:p w14:paraId="6C5154D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07316EB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21,824</w:t>
            </w:r>
          </w:p>
        </w:tc>
      </w:tr>
      <w:tr w:rsidR="00F54824" w:rsidRPr="002128A6" w14:paraId="4B19297C" w14:textId="77777777" w:rsidTr="00152EE7">
        <w:trPr>
          <w:trHeight w:val="20"/>
        </w:trPr>
        <w:tc>
          <w:tcPr>
            <w:tcW w:w="2275" w:type="dxa"/>
            <w:tcBorders>
              <w:top w:val="nil"/>
              <w:left w:val="single" w:sz="8" w:space="0" w:color="auto"/>
              <w:bottom w:val="single" w:sz="8" w:space="0" w:color="auto"/>
              <w:right w:val="single" w:sz="4" w:space="0" w:color="auto"/>
            </w:tcBorders>
            <w:shd w:val="clear" w:color="000000" w:fill="E2EFDA"/>
            <w:vAlign w:val="center"/>
            <w:hideMark/>
          </w:tcPr>
          <w:p w14:paraId="24F69792" w14:textId="76AE337B"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b/>
                <w:bCs/>
                <w:kern w:val="0"/>
                <w:sz w:val="8"/>
                <w:szCs w:val="14"/>
                <w14:ligatures w14:val="none"/>
              </w:rPr>
              <w:t>Kosto</w:t>
            </w:r>
            <w:r w:rsidR="00CD6129" w:rsidRPr="002128A6">
              <w:rPr>
                <w:rFonts w:ascii="Garamond" w:eastAsia="Times New Roman" w:hAnsi="Garamond" w:cs="Times New Roman"/>
                <w:b/>
                <w:bCs/>
                <w:kern w:val="0"/>
                <w:sz w:val="8"/>
                <w:szCs w:val="14"/>
                <w14:ligatures w14:val="none"/>
              </w:rPr>
              <w:t>ja</w:t>
            </w:r>
            <w:r w:rsidRPr="002128A6">
              <w:rPr>
                <w:rFonts w:ascii="Garamond" w:eastAsia="Times New Roman" w:hAnsi="Garamond" w:cs="Times New Roman"/>
                <w:b/>
                <w:bCs/>
                <w:kern w:val="0"/>
                <w:sz w:val="8"/>
                <w:szCs w:val="14"/>
                <w14:ligatures w14:val="none"/>
              </w:rPr>
              <w:t xml:space="preserve"> totale Qëllimi i Politikës I </w:t>
            </w:r>
            <w:r w:rsidRPr="002128A6">
              <w:rPr>
                <w:rFonts w:ascii="Garamond" w:eastAsia="Times New Roman" w:hAnsi="Garamond" w:cs="Times New Roman"/>
                <w:kern w:val="0"/>
                <w:sz w:val="8"/>
                <w:szCs w:val="14"/>
                <w14:ligatures w14:val="none"/>
              </w:rPr>
              <w:br/>
            </w:r>
            <w:r w:rsidRPr="002128A6">
              <w:rPr>
                <w:rFonts w:ascii="Garamond" w:eastAsia="Times New Roman" w:hAnsi="Garamond" w:cs="Times New Roman"/>
                <w:b/>
                <w:bCs/>
                <w:kern w:val="0"/>
                <w:sz w:val="8"/>
                <w:szCs w:val="14"/>
                <w14:ligatures w14:val="none"/>
              </w:rPr>
              <w:t>(</w:t>
            </w:r>
            <w:r w:rsidR="00B76863" w:rsidRPr="002128A6">
              <w:rPr>
                <w:rFonts w:ascii="Garamond" w:eastAsia="Times New Roman" w:hAnsi="Garamond" w:cs="Times New Roman"/>
                <w:b/>
                <w:bCs/>
                <w:kern w:val="0"/>
                <w:sz w:val="8"/>
                <w:szCs w:val="14"/>
                <w14:ligatures w14:val="none"/>
              </w:rPr>
              <w:t xml:space="preserve">objektiva specifikë </w:t>
            </w:r>
            <w:r w:rsidRPr="002128A6">
              <w:rPr>
                <w:rFonts w:ascii="Garamond" w:eastAsia="Times New Roman" w:hAnsi="Garamond" w:cs="Times New Roman"/>
                <w:b/>
                <w:bCs/>
                <w:kern w:val="0"/>
                <w:sz w:val="8"/>
                <w:szCs w:val="14"/>
                <w14:ligatures w14:val="none"/>
              </w:rPr>
              <w:t>1.1+1.2+1.3+1.4+1.5+1.6)</w:t>
            </w:r>
          </w:p>
        </w:tc>
        <w:tc>
          <w:tcPr>
            <w:tcW w:w="861" w:type="dxa"/>
            <w:tcBorders>
              <w:top w:val="nil"/>
              <w:left w:val="nil"/>
              <w:bottom w:val="single" w:sz="8" w:space="0" w:color="auto"/>
              <w:right w:val="single" w:sz="4" w:space="0" w:color="auto"/>
            </w:tcBorders>
            <w:shd w:val="clear" w:color="000000" w:fill="E2EFDA"/>
            <w:noWrap/>
            <w:vAlign w:val="bottom"/>
            <w:hideMark/>
          </w:tcPr>
          <w:p w14:paraId="232193EF"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719" w:type="dxa"/>
            <w:tcBorders>
              <w:top w:val="nil"/>
              <w:left w:val="nil"/>
              <w:bottom w:val="single" w:sz="8" w:space="0" w:color="auto"/>
              <w:right w:val="single" w:sz="4" w:space="0" w:color="auto"/>
            </w:tcBorders>
            <w:shd w:val="clear" w:color="000000" w:fill="E2EFDA"/>
            <w:noWrap/>
            <w:vAlign w:val="bottom"/>
            <w:hideMark/>
          </w:tcPr>
          <w:p w14:paraId="5A34EDC5"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445" w:type="dxa"/>
            <w:tcBorders>
              <w:top w:val="nil"/>
              <w:left w:val="nil"/>
              <w:bottom w:val="single" w:sz="8" w:space="0" w:color="auto"/>
              <w:right w:val="single" w:sz="4" w:space="0" w:color="auto"/>
            </w:tcBorders>
            <w:shd w:val="clear" w:color="000000" w:fill="E2EFDA"/>
            <w:noWrap/>
            <w:vAlign w:val="bottom"/>
            <w:hideMark/>
          </w:tcPr>
          <w:p w14:paraId="3B929661"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509" w:type="dxa"/>
            <w:tcBorders>
              <w:top w:val="nil"/>
              <w:left w:val="nil"/>
              <w:bottom w:val="single" w:sz="8" w:space="0" w:color="auto"/>
              <w:right w:val="single" w:sz="4" w:space="0" w:color="auto"/>
            </w:tcBorders>
            <w:shd w:val="clear" w:color="000000" w:fill="E2EFDA"/>
            <w:noWrap/>
            <w:vAlign w:val="bottom"/>
            <w:hideMark/>
          </w:tcPr>
          <w:p w14:paraId="019FCBBA"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639" w:type="dxa"/>
            <w:tcBorders>
              <w:top w:val="nil"/>
              <w:left w:val="nil"/>
              <w:bottom w:val="single" w:sz="8" w:space="0" w:color="auto"/>
              <w:right w:val="single" w:sz="4" w:space="0" w:color="auto"/>
            </w:tcBorders>
            <w:shd w:val="clear" w:color="000000" w:fill="E2EFDA"/>
            <w:noWrap/>
            <w:vAlign w:val="center"/>
            <w:hideMark/>
          </w:tcPr>
          <w:p w14:paraId="6A5752C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12,866,771,779</w:t>
            </w:r>
          </w:p>
        </w:tc>
        <w:tc>
          <w:tcPr>
            <w:tcW w:w="639" w:type="dxa"/>
            <w:tcBorders>
              <w:top w:val="nil"/>
              <w:left w:val="nil"/>
              <w:bottom w:val="single" w:sz="8" w:space="0" w:color="auto"/>
              <w:right w:val="single" w:sz="4" w:space="0" w:color="auto"/>
            </w:tcBorders>
            <w:shd w:val="clear" w:color="000000" w:fill="E2EFDA"/>
            <w:noWrap/>
            <w:vAlign w:val="center"/>
            <w:hideMark/>
          </w:tcPr>
          <w:p w14:paraId="331026B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1,844,487,408</w:t>
            </w:r>
          </w:p>
        </w:tc>
        <w:tc>
          <w:tcPr>
            <w:tcW w:w="644" w:type="dxa"/>
            <w:tcBorders>
              <w:top w:val="nil"/>
              <w:left w:val="nil"/>
              <w:bottom w:val="single" w:sz="8" w:space="0" w:color="auto"/>
              <w:right w:val="single" w:sz="4" w:space="0" w:color="auto"/>
            </w:tcBorders>
            <w:shd w:val="clear" w:color="000000" w:fill="E2EFDA"/>
            <w:noWrap/>
            <w:vAlign w:val="center"/>
            <w:hideMark/>
          </w:tcPr>
          <w:p w14:paraId="0DAB02A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14,711,259,187</w:t>
            </w:r>
          </w:p>
        </w:tc>
        <w:tc>
          <w:tcPr>
            <w:tcW w:w="644" w:type="dxa"/>
            <w:tcBorders>
              <w:top w:val="nil"/>
              <w:left w:val="nil"/>
              <w:bottom w:val="single" w:sz="8" w:space="0" w:color="auto"/>
              <w:right w:val="single" w:sz="4" w:space="0" w:color="auto"/>
            </w:tcBorders>
            <w:shd w:val="clear" w:color="000000" w:fill="E2EFDA"/>
            <w:noWrap/>
            <w:vAlign w:val="center"/>
            <w:hideMark/>
          </w:tcPr>
          <w:p w14:paraId="7492241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12,149,928,017</w:t>
            </w:r>
          </w:p>
        </w:tc>
        <w:tc>
          <w:tcPr>
            <w:tcW w:w="610" w:type="dxa"/>
            <w:tcBorders>
              <w:top w:val="nil"/>
              <w:left w:val="nil"/>
              <w:bottom w:val="single" w:sz="8" w:space="0" w:color="auto"/>
              <w:right w:val="single" w:sz="4" w:space="0" w:color="auto"/>
            </w:tcBorders>
            <w:shd w:val="clear" w:color="000000" w:fill="E2EFDA"/>
            <w:noWrap/>
            <w:vAlign w:val="center"/>
            <w:hideMark/>
          </w:tcPr>
          <w:p w14:paraId="257ED17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1,108,967,000</w:t>
            </w:r>
          </w:p>
        </w:tc>
        <w:tc>
          <w:tcPr>
            <w:tcW w:w="639" w:type="dxa"/>
            <w:tcBorders>
              <w:top w:val="nil"/>
              <w:left w:val="nil"/>
              <w:bottom w:val="single" w:sz="8" w:space="0" w:color="auto"/>
              <w:right w:val="single" w:sz="4" w:space="0" w:color="auto"/>
            </w:tcBorders>
            <w:shd w:val="clear" w:color="000000" w:fill="E2EFDA"/>
            <w:noWrap/>
            <w:vAlign w:val="center"/>
            <w:hideMark/>
          </w:tcPr>
          <w:p w14:paraId="0D36465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13,258,895,017</w:t>
            </w:r>
          </w:p>
        </w:tc>
        <w:tc>
          <w:tcPr>
            <w:tcW w:w="615" w:type="dxa"/>
            <w:tcBorders>
              <w:top w:val="nil"/>
              <w:left w:val="nil"/>
              <w:bottom w:val="single" w:sz="8" w:space="0" w:color="auto"/>
              <w:right w:val="single" w:sz="4" w:space="0" w:color="auto"/>
            </w:tcBorders>
            <w:shd w:val="clear" w:color="000000" w:fill="E2EFDA"/>
            <w:noWrap/>
            <w:vAlign w:val="center"/>
            <w:hideMark/>
          </w:tcPr>
          <w:p w14:paraId="7635C428"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716,843,762</w:t>
            </w:r>
          </w:p>
        </w:tc>
        <w:tc>
          <w:tcPr>
            <w:tcW w:w="610" w:type="dxa"/>
            <w:tcBorders>
              <w:top w:val="nil"/>
              <w:left w:val="nil"/>
              <w:bottom w:val="single" w:sz="8" w:space="0" w:color="auto"/>
              <w:right w:val="single" w:sz="4" w:space="0" w:color="auto"/>
            </w:tcBorders>
            <w:shd w:val="clear" w:color="000000" w:fill="E2EFDA"/>
            <w:noWrap/>
            <w:vAlign w:val="center"/>
            <w:hideMark/>
          </w:tcPr>
          <w:p w14:paraId="07B32E1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7FFBF00F"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716,843,762</w:t>
            </w:r>
          </w:p>
        </w:tc>
        <w:tc>
          <w:tcPr>
            <w:tcW w:w="460" w:type="dxa"/>
            <w:tcBorders>
              <w:top w:val="nil"/>
              <w:left w:val="nil"/>
              <w:bottom w:val="single" w:sz="8" w:space="0" w:color="auto"/>
              <w:right w:val="single" w:sz="4" w:space="0" w:color="auto"/>
            </w:tcBorders>
            <w:shd w:val="clear" w:color="000000" w:fill="E2EFDA"/>
            <w:noWrap/>
            <w:vAlign w:val="center"/>
            <w:hideMark/>
          </w:tcPr>
          <w:p w14:paraId="7F35692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3F0F169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735,520,408</w:t>
            </w:r>
          </w:p>
        </w:tc>
        <w:tc>
          <w:tcPr>
            <w:tcW w:w="476" w:type="dxa"/>
            <w:tcBorders>
              <w:top w:val="nil"/>
              <w:left w:val="nil"/>
              <w:bottom w:val="single" w:sz="8" w:space="0" w:color="auto"/>
              <w:right w:val="single" w:sz="4" w:space="0" w:color="auto"/>
            </w:tcBorders>
            <w:shd w:val="clear" w:color="000000" w:fill="E2EFDA"/>
            <w:noWrap/>
            <w:vAlign w:val="center"/>
            <w:hideMark/>
          </w:tcPr>
          <w:p w14:paraId="40E2859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4D2B801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735,520,408</w:t>
            </w:r>
          </w:p>
        </w:tc>
        <w:tc>
          <w:tcPr>
            <w:tcW w:w="615" w:type="dxa"/>
            <w:tcBorders>
              <w:top w:val="nil"/>
              <w:left w:val="nil"/>
              <w:bottom w:val="single" w:sz="8" w:space="0" w:color="auto"/>
              <w:right w:val="single" w:sz="4" w:space="0" w:color="auto"/>
            </w:tcBorders>
            <w:shd w:val="clear" w:color="000000" w:fill="E2EFDA"/>
            <w:noWrap/>
            <w:vAlign w:val="center"/>
            <w:hideMark/>
          </w:tcPr>
          <w:p w14:paraId="18DDDFD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556" w:type="dxa"/>
            <w:tcBorders>
              <w:top w:val="nil"/>
              <w:left w:val="nil"/>
              <w:bottom w:val="single" w:sz="8" w:space="0" w:color="auto"/>
              <w:right w:val="single" w:sz="8" w:space="0" w:color="auto"/>
            </w:tcBorders>
            <w:shd w:val="clear" w:color="000000" w:fill="92D050"/>
            <w:noWrap/>
            <w:vAlign w:val="center"/>
            <w:hideMark/>
          </w:tcPr>
          <w:p w14:paraId="12E089F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158,015,673</w:t>
            </w:r>
          </w:p>
        </w:tc>
      </w:tr>
      <w:tr w:rsidR="00F54824" w:rsidRPr="002128A6" w14:paraId="426C8C32" w14:textId="77777777" w:rsidTr="00152EE7">
        <w:trPr>
          <w:trHeight w:val="20"/>
        </w:trPr>
        <w:tc>
          <w:tcPr>
            <w:tcW w:w="13801" w:type="dxa"/>
            <w:gridSpan w:val="20"/>
            <w:tcBorders>
              <w:top w:val="single" w:sz="8" w:space="0" w:color="auto"/>
              <w:left w:val="single" w:sz="8" w:space="0" w:color="auto"/>
              <w:bottom w:val="single" w:sz="8" w:space="0" w:color="auto"/>
              <w:right w:val="single" w:sz="8" w:space="0" w:color="000000"/>
            </w:tcBorders>
            <w:shd w:val="clear" w:color="auto" w:fill="auto"/>
            <w:vAlign w:val="bottom"/>
            <w:hideMark/>
          </w:tcPr>
          <w:p w14:paraId="1F595DB4"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Qëllimi i Politikës II: NDJEKJA PENALE DHE GODITJA E KRIMIT TË ORGANIZUAR DHE KRIMEVE TË RËNDA </w:t>
            </w:r>
          </w:p>
        </w:tc>
      </w:tr>
      <w:tr w:rsidR="00F54824" w:rsidRPr="002128A6" w14:paraId="7005B4CB" w14:textId="77777777" w:rsidTr="00152EE7">
        <w:trPr>
          <w:trHeight w:val="20"/>
        </w:trPr>
        <w:tc>
          <w:tcPr>
            <w:tcW w:w="2275" w:type="dxa"/>
            <w:vMerge w:val="restart"/>
            <w:tcBorders>
              <w:top w:val="nil"/>
              <w:left w:val="single" w:sz="8" w:space="0" w:color="auto"/>
              <w:bottom w:val="single" w:sz="8" w:space="0" w:color="auto"/>
              <w:right w:val="single" w:sz="8" w:space="0" w:color="auto"/>
            </w:tcBorders>
            <w:shd w:val="clear" w:color="auto" w:fill="auto"/>
            <w:vAlign w:val="center"/>
            <w:hideMark/>
          </w:tcPr>
          <w:p w14:paraId="594B30C8" w14:textId="76942083"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Objektivat </w:t>
            </w:r>
            <w:r w:rsidR="00F145C6" w:rsidRPr="002128A6">
              <w:rPr>
                <w:rFonts w:ascii="Garamond" w:eastAsia="Times New Roman" w:hAnsi="Garamond" w:cs="Times New Roman"/>
                <w:b/>
                <w:bCs/>
                <w:kern w:val="0"/>
                <w:sz w:val="8"/>
                <w:szCs w:val="14"/>
                <w14:ligatures w14:val="none"/>
              </w:rPr>
              <w:t>specifikë</w:t>
            </w:r>
          </w:p>
        </w:tc>
        <w:tc>
          <w:tcPr>
            <w:tcW w:w="1580" w:type="dxa"/>
            <w:gridSpan w:val="2"/>
            <w:tcBorders>
              <w:top w:val="single" w:sz="8" w:space="0" w:color="auto"/>
              <w:left w:val="nil"/>
              <w:bottom w:val="single" w:sz="8" w:space="0" w:color="auto"/>
              <w:right w:val="single" w:sz="8" w:space="0" w:color="auto"/>
            </w:tcBorders>
            <w:shd w:val="clear" w:color="000000" w:fill="FFFFFF"/>
            <w:vAlign w:val="center"/>
            <w:hideMark/>
          </w:tcPr>
          <w:p w14:paraId="349B4199" w14:textId="21ACEB4C"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Institucionet përgjegjëse</w:t>
            </w:r>
          </w:p>
        </w:tc>
        <w:tc>
          <w:tcPr>
            <w:tcW w:w="954" w:type="dxa"/>
            <w:gridSpan w:val="2"/>
            <w:tcBorders>
              <w:top w:val="single" w:sz="8" w:space="0" w:color="auto"/>
              <w:left w:val="nil"/>
              <w:bottom w:val="single" w:sz="8" w:space="0" w:color="auto"/>
              <w:right w:val="single" w:sz="8" w:space="0" w:color="auto"/>
            </w:tcBorders>
            <w:shd w:val="clear" w:color="000000" w:fill="FFFFFF"/>
            <w:vAlign w:val="center"/>
            <w:hideMark/>
          </w:tcPr>
          <w:p w14:paraId="4330555C" w14:textId="2DE87860"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Afati i </w:t>
            </w:r>
            <w:r w:rsidR="00CD6129" w:rsidRPr="002128A6">
              <w:rPr>
                <w:rFonts w:ascii="Garamond" w:eastAsia="Times New Roman" w:hAnsi="Garamond" w:cs="Times New Roman"/>
                <w:b/>
                <w:bCs/>
                <w:kern w:val="0"/>
                <w:sz w:val="8"/>
                <w:szCs w:val="14"/>
                <w14:ligatures w14:val="none"/>
              </w:rPr>
              <w:t xml:space="preserve">zbatimit </w:t>
            </w:r>
          </w:p>
        </w:tc>
        <w:tc>
          <w:tcPr>
            <w:tcW w:w="1922"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0478EE7" w14:textId="0BA18F9B"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Kosto</w:t>
            </w:r>
            <w:r w:rsidR="00C40921" w:rsidRPr="002128A6">
              <w:rPr>
                <w:rFonts w:ascii="Garamond" w:eastAsia="Times New Roman" w:hAnsi="Garamond" w:cs="Times New Roman"/>
                <w:b/>
                <w:bCs/>
                <w:kern w:val="0"/>
                <w:sz w:val="8"/>
                <w:szCs w:val="14"/>
                <w14:ligatures w14:val="none"/>
              </w:rPr>
              <w:t>ja</w:t>
            </w:r>
            <w:r w:rsidRPr="002128A6">
              <w:rPr>
                <w:rFonts w:ascii="Garamond" w:eastAsia="Times New Roman" w:hAnsi="Garamond" w:cs="Times New Roman"/>
                <w:b/>
                <w:bCs/>
                <w:kern w:val="0"/>
                <w:sz w:val="8"/>
                <w:szCs w:val="14"/>
                <w14:ligatures w14:val="none"/>
              </w:rPr>
              <w:t xml:space="preserve"> </w:t>
            </w:r>
            <w:r w:rsidR="00C40921" w:rsidRPr="002128A6">
              <w:rPr>
                <w:rFonts w:ascii="Garamond" w:eastAsia="Times New Roman" w:hAnsi="Garamond" w:cs="Times New Roman"/>
                <w:b/>
                <w:bCs/>
                <w:kern w:val="0"/>
                <w:sz w:val="8"/>
                <w:szCs w:val="14"/>
                <w14:ligatures w14:val="none"/>
              </w:rPr>
              <w:t>indik</w:t>
            </w:r>
            <w:r w:rsidR="00FC5887">
              <w:rPr>
                <w:rFonts w:ascii="Garamond" w:eastAsia="Times New Roman" w:hAnsi="Garamond" w:cs="Times New Roman"/>
                <w:b/>
                <w:bCs/>
                <w:kern w:val="0"/>
                <w:sz w:val="8"/>
                <w:szCs w:val="14"/>
                <w14:ligatures w14:val="none"/>
              </w:rPr>
              <w:t>a</w:t>
            </w:r>
            <w:r w:rsidR="00C40921" w:rsidRPr="002128A6">
              <w:rPr>
                <w:rFonts w:ascii="Garamond" w:eastAsia="Times New Roman" w:hAnsi="Garamond" w:cs="Times New Roman"/>
                <w:b/>
                <w:bCs/>
                <w:kern w:val="0"/>
                <w:sz w:val="8"/>
                <w:szCs w:val="14"/>
                <w14:ligatures w14:val="none"/>
              </w:rPr>
              <w:t>tive totale</w:t>
            </w:r>
          </w:p>
        </w:tc>
        <w:tc>
          <w:tcPr>
            <w:tcW w:w="5899" w:type="dxa"/>
            <w:gridSpan w:val="10"/>
            <w:tcBorders>
              <w:top w:val="single" w:sz="8" w:space="0" w:color="auto"/>
              <w:left w:val="nil"/>
              <w:bottom w:val="single" w:sz="8" w:space="0" w:color="auto"/>
              <w:right w:val="nil"/>
            </w:tcBorders>
            <w:shd w:val="clear" w:color="auto" w:fill="auto"/>
            <w:vAlign w:val="center"/>
            <w:hideMark/>
          </w:tcPr>
          <w:p w14:paraId="4441FDA6" w14:textId="240A204C"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Burimi i mbulimit deri </w:t>
            </w:r>
            <w:r w:rsidR="003411E9" w:rsidRPr="002128A6">
              <w:rPr>
                <w:rFonts w:ascii="Garamond" w:eastAsia="Times New Roman" w:hAnsi="Garamond" w:cs="Times New Roman"/>
                <w:b/>
                <w:bCs/>
                <w:kern w:val="0"/>
                <w:sz w:val="8"/>
                <w:szCs w:val="14"/>
                <w14:ligatures w14:val="none"/>
              </w:rPr>
              <w:t>më</w:t>
            </w:r>
            <w:r w:rsidRPr="002128A6">
              <w:rPr>
                <w:rFonts w:ascii="Garamond" w:eastAsia="Times New Roman" w:hAnsi="Garamond" w:cs="Times New Roman"/>
                <w:b/>
                <w:bCs/>
                <w:kern w:val="0"/>
                <w:sz w:val="8"/>
                <w:szCs w:val="14"/>
                <w14:ligatures w14:val="none"/>
              </w:rPr>
              <w:t xml:space="preserve"> 2023</w:t>
            </w:r>
          </w:p>
        </w:tc>
        <w:tc>
          <w:tcPr>
            <w:tcW w:w="615" w:type="dxa"/>
            <w:vMerge w:val="restart"/>
            <w:tcBorders>
              <w:top w:val="nil"/>
              <w:left w:val="single" w:sz="8" w:space="0" w:color="auto"/>
              <w:bottom w:val="single" w:sz="4" w:space="0" w:color="auto"/>
              <w:right w:val="single" w:sz="8" w:space="0" w:color="auto"/>
            </w:tcBorders>
            <w:shd w:val="clear" w:color="auto" w:fill="auto"/>
            <w:vAlign w:val="center"/>
            <w:hideMark/>
          </w:tcPr>
          <w:p w14:paraId="32AC98F4" w14:textId="2971BD7F"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Hendeku financiar</w:t>
            </w:r>
            <w:r w:rsidRPr="002128A6">
              <w:rPr>
                <w:rFonts w:ascii="Garamond" w:eastAsia="Times New Roman" w:hAnsi="Garamond" w:cs="Times New Roman"/>
                <w:b/>
                <w:bCs/>
                <w:kern w:val="0"/>
                <w:sz w:val="8"/>
                <w:szCs w:val="14"/>
                <w14:ligatures w14:val="none"/>
              </w:rPr>
              <w:br/>
              <w:t>2026</w:t>
            </w:r>
            <w:r w:rsidR="003411E9" w:rsidRPr="002128A6">
              <w:rPr>
                <w:rFonts w:ascii="Garamond" w:eastAsia="Times New Roman" w:hAnsi="Garamond" w:cs="Times New Roman"/>
                <w:b/>
                <w:bCs/>
                <w:kern w:val="0"/>
                <w:sz w:val="8"/>
                <w:szCs w:val="14"/>
                <w14:ligatures w14:val="none"/>
              </w:rPr>
              <w:t>–</w:t>
            </w:r>
            <w:r w:rsidRPr="002128A6">
              <w:rPr>
                <w:rFonts w:ascii="Garamond" w:eastAsia="Times New Roman" w:hAnsi="Garamond" w:cs="Times New Roman"/>
                <w:b/>
                <w:bCs/>
                <w:kern w:val="0"/>
                <w:sz w:val="8"/>
                <w:szCs w:val="14"/>
                <w14:ligatures w14:val="none"/>
              </w:rPr>
              <w:t>2030</w:t>
            </w:r>
            <w:r w:rsidRPr="002128A6">
              <w:rPr>
                <w:rFonts w:ascii="Garamond" w:eastAsia="Times New Roman" w:hAnsi="Garamond" w:cs="Times New Roman"/>
                <w:b/>
                <w:bCs/>
                <w:kern w:val="0"/>
                <w:sz w:val="8"/>
                <w:szCs w:val="14"/>
                <w14:ligatures w14:val="none"/>
              </w:rPr>
              <w:br/>
              <w:t xml:space="preserve">(në </w:t>
            </w:r>
            <w:r w:rsidR="003411E9"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556" w:type="dxa"/>
            <w:vMerge w:val="restart"/>
            <w:tcBorders>
              <w:top w:val="nil"/>
              <w:left w:val="single" w:sz="8" w:space="0" w:color="auto"/>
              <w:bottom w:val="nil"/>
              <w:right w:val="single" w:sz="8" w:space="0" w:color="auto"/>
            </w:tcBorders>
            <w:shd w:val="clear" w:color="auto" w:fill="auto"/>
            <w:vAlign w:val="center"/>
            <w:hideMark/>
          </w:tcPr>
          <w:p w14:paraId="2274A5B4" w14:textId="3EEAF0DC"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Kosto</w:t>
            </w:r>
            <w:r w:rsidR="00C40921" w:rsidRPr="002128A6">
              <w:rPr>
                <w:rFonts w:ascii="Garamond" w:eastAsia="Times New Roman" w:hAnsi="Garamond" w:cs="Times New Roman"/>
                <w:b/>
                <w:bCs/>
                <w:kern w:val="0"/>
                <w:sz w:val="8"/>
                <w:szCs w:val="14"/>
                <w14:ligatures w14:val="none"/>
              </w:rPr>
              <w:t>ja</w:t>
            </w:r>
            <w:r w:rsidRPr="002128A6">
              <w:rPr>
                <w:rFonts w:ascii="Garamond" w:eastAsia="Times New Roman" w:hAnsi="Garamond" w:cs="Times New Roman"/>
                <w:b/>
                <w:bCs/>
                <w:kern w:val="0"/>
                <w:sz w:val="8"/>
                <w:szCs w:val="14"/>
                <w14:ligatures w14:val="none"/>
              </w:rPr>
              <w:t xml:space="preserve"> totale n</w:t>
            </w:r>
            <w:r w:rsidR="008A598F" w:rsidRPr="002128A6">
              <w:rPr>
                <w:rFonts w:ascii="Garamond" w:eastAsia="Times New Roman" w:hAnsi="Garamond" w:cs="Times New Roman"/>
                <w:b/>
                <w:bCs/>
                <w:kern w:val="0"/>
                <w:sz w:val="8"/>
                <w:szCs w:val="14"/>
                <w14:ligatures w14:val="none"/>
              </w:rPr>
              <w:t>ë</w:t>
            </w:r>
            <w:r w:rsidRPr="002128A6">
              <w:rPr>
                <w:rFonts w:ascii="Garamond" w:eastAsia="Times New Roman" w:hAnsi="Garamond" w:cs="Times New Roman"/>
                <w:b/>
                <w:bCs/>
                <w:kern w:val="0"/>
                <w:sz w:val="8"/>
                <w:szCs w:val="14"/>
                <w14:ligatures w14:val="none"/>
              </w:rPr>
              <w:t xml:space="preserve"> EUR</w:t>
            </w:r>
            <w:r w:rsidRPr="002128A6">
              <w:rPr>
                <w:rFonts w:ascii="Garamond" w:eastAsia="Times New Roman" w:hAnsi="Garamond" w:cs="Times New Roman"/>
                <w:b/>
                <w:bCs/>
                <w:kern w:val="0"/>
                <w:sz w:val="8"/>
                <w:szCs w:val="14"/>
                <w14:ligatures w14:val="none"/>
              </w:rPr>
              <w:br/>
              <w:t xml:space="preserve">(kursi </w:t>
            </w:r>
            <w:r w:rsidR="00FC5887" w:rsidRPr="002128A6">
              <w:rPr>
                <w:rFonts w:ascii="Garamond" w:eastAsia="Times New Roman" w:hAnsi="Garamond" w:cs="Times New Roman"/>
                <w:b/>
                <w:bCs/>
                <w:kern w:val="0"/>
                <w:sz w:val="8"/>
                <w:szCs w:val="14"/>
                <w14:ligatures w14:val="none"/>
              </w:rPr>
              <w:t>këmbimit</w:t>
            </w:r>
            <w:r w:rsidRPr="002128A6">
              <w:rPr>
                <w:rFonts w:ascii="Garamond" w:eastAsia="Times New Roman" w:hAnsi="Garamond" w:cs="Times New Roman"/>
                <w:b/>
                <w:bCs/>
                <w:kern w:val="0"/>
                <w:sz w:val="8"/>
                <w:szCs w:val="14"/>
                <w14:ligatures w14:val="none"/>
              </w:rPr>
              <w:t>: 1 EUR = 93.1</w:t>
            </w:r>
            <w:r w:rsidR="00FC5887">
              <w:rPr>
                <w:rFonts w:ascii="Garamond" w:eastAsia="Times New Roman" w:hAnsi="Garamond" w:cs="Times New Roman"/>
                <w:b/>
                <w:bCs/>
                <w:kern w:val="0"/>
                <w:sz w:val="8"/>
                <w:szCs w:val="14"/>
                <w14:ligatures w14:val="none"/>
              </w:rPr>
              <w:t xml:space="preserve"> </w:t>
            </w:r>
            <w:r w:rsidRPr="002128A6">
              <w:rPr>
                <w:rFonts w:ascii="Garamond" w:eastAsia="Times New Roman" w:hAnsi="Garamond" w:cs="Times New Roman"/>
                <w:b/>
                <w:bCs/>
                <w:kern w:val="0"/>
                <w:sz w:val="8"/>
                <w:szCs w:val="14"/>
                <w14:ligatures w14:val="none"/>
              </w:rPr>
              <w:t>ALL)</w:t>
            </w:r>
          </w:p>
        </w:tc>
      </w:tr>
      <w:tr w:rsidR="00F54824" w:rsidRPr="002128A6" w14:paraId="219829A5" w14:textId="77777777" w:rsidTr="00152EE7">
        <w:trPr>
          <w:trHeight w:val="20"/>
        </w:trPr>
        <w:tc>
          <w:tcPr>
            <w:tcW w:w="2275" w:type="dxa"/>
            <w:vMerge/>
            <w:tcBorders>
              <w:top w:val="nil"/>
              <w:left w:val="single" w:sz="8" w:space="0" w:color="auto"/>
              <w:bottom w:val="single" w:sz="8" w:space="0" w:color="auto"/>
              <w:right w:val="single" w:sz="8" w:space="0" w:color="auto"/>
            </w:tcBorders>
            <w:vAlign w:val="center"/>
            <w:hideMark/>
          </w:tcPr>
          <w:p w14:paraId="25F5B7C0"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861" w:type="dxa"/>
            <w:vMerge w:val="restart"/>
            <w:tcBorders>
              <w:top w:val="nil"/>
              <w:left w:val="single" w:sz="8" w:space="0" w:color="auto"/>
              <w:bottom w:val="single" w:sz="8" w:space="0" w:color="auto"/>
              <w:right w:val="single" w:sz="8" w:space="0" w:color="auto"/>
            </w:tcBorders>
            <w:shd w:val="clear" w:color="000000" w:fill="FFFFFF"/>
            <w:vAlign w:val="center"/>
            <w:hideMark/>
          </w:tcPr>
          <w:p w14:paraId="5E96F8B8"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Institucioni përgjegjës</w:t>
            </w:r>
          </w:p>
        </w:tc>
        <w:tc>
          <w:tcPr>
            <w:tcW w:w="719" w:type="dxa"/>
            <w:vMerge w:val="restart"/>
            <w:tcBorders>
              <w:top w:val="nil"/>
              <w:left w:val="single" w:sz="8" w:space="0" w:color="auto"/>
              <w:bottom w:val="single" w:sz="8" w:space="0" w:color="auto"/>
              <w:right w:val="single" w:sz="8" w:space="0" w:color="auto"/>
            </w:tcBorders>
            <w:shd w:val="clear" w:color="000000" w:fill="FFFFFF"/>
            <w:vAlign w:val="center"/>
            <w:hideMark/>
          </w:tcPr>
          <w:p w14:paraId="60D09EF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Institucioni mbështetës</w:t>
            </w:r>
          </w:p>
        </w:tc>
        <w:tc>
          <w:tcPr>
            <w:tcW w:w="445" w:type="dxa"/>
            <w:vMerge w:val="restart"/>
            <w:tcBorders>
              <w:top w:val="nil"/>
              <w:left w:val="single" w:sz="8" w:space="0" w:color="auto"/>
              <w:bottom w:val="single" w:sz="8" w:space="0" w:color="auto"/>
              <w:right w:val="single" w:sz="8" w:space="0" w:color="auto"/>
            </w:tcBorders>
            <w:shd w:val="clear" w:color="000000" w:fill="FFFFFF"/>
            <w:vAlign w:val="center"/>
            <w:hideMark/>
          </w:tcPr>
          <w:p w14:paraId="3E6FF1DA" w14:textId="0F18E2B6" w:rsidR="00152EE7" w:rsidRPr="002128A6" w:rsidRDefault="00CD6129"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Afati i fillimit</w:t>
            </w:r>
          </w:p>
        </w:tc>
        <w:tc>
          <w:tcPr>
            <w:tcW w:w="5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679E1CE6" w14:textId="3883ACFB" w:rsidR="00152EE7" w:rsidRPr="002128A6" w:rsidRDefault="00CD6129"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Afati i mbarimit</w:t>
            </w:r>
          </w:p>
        </w:tc>
        <w:tc>
          <w:tcPr>
            <w:tcW w:w="1922" w:type="dxa"/>
            <w:gridSpan w:val="3"/>
            <w:vMerge/>
            <w:tcBorders>
              <w:top w:val="nil"/>
              <w:left w:val="single" w:sz="8" w:space="0" w:color="auto"/>
              <w:bottom w:val="single" w:sz="8" w:space="0" w:color="auto"/>
              <w:right w:val="single" w:sz="8" w:space="0" w:color="auto"/>
            </w:tcBorders>
            <w:vAlign w:val="center"/>
            <w:hideMark/>
          </w:tcPr>
          <w:p w14:paraId="37C78231"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1893" w:type="dxa"/>
            <w:gridSpan w:val="3"/>
            <w:tcBorders>
              <w:top w:val="single" w:sz="8" w:space="0" w:color="auto"/>
              <w:left w:val="nil"/>
              <w:bottom w:val="single" w:sz="8" w:space="0" w:color="auto"/>
              <w:right w:val="single" w:sz="8" w:space="0" w:color="000000"/>
            </w:tcBorders>
            <w:shd w:val="clear" w:color="auto" w:fill="auto"/>
            <w:vAlign w:val="center"/>
            <w:hideMark/>
          </w:tcPr>
          <w:p w14:paraId="7BDA5515" w14:textId="1B595379"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PBA 2021</w:t>
            </w:r>
            <w:r w:rsidR="003411E9" w:rsidRPr="002128A6">
              <w:rPr>
                <w:rFonts w:ascii="Garamond" w:eastAsia="Times New Roman" w:hAnsi="Garamond" w:cs="Times New Roman"/>
                <w:b/>
                <w:bCs/>
                <w:kern w:val="0"/>
                <w:sz w:val="8"/>
                <w:szCs w:val="14"/>
                <w14:ligatures w14:val="none"/>
              </w:rPr>
              <w:t>–</w:t>
            </w:r>
            <w:r w:rsidRPr="002128A6">
              <w:rPr>
                <w:rFonts w:ascii="Garamond" w:eastAsia="Times New Roman" w:hAnsi="Garamond" w:cs="Times New Roman"/>
                <w:b/>
                <w:bCs/>
                <w:kern w:val="0"/>
                <w:sz w:val="8"/>
                <w:szCs w:val="14"/>
                <w14:ligatures w14:val="none"/>
              </w:rPr>
              <w:t xml:space="preserve">2023 (në </w:t>
            </w:r>
            <w:r w:rsidR="003411E9"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1840" w:type="dxa"/>
            <w:gridSpan w:val="3"/>
            <w:tcBorders>
              <w:top w:val="single" w:sz="8" w:space="0" w:color="auto"/>
              <w:left w:val="nil"/>
              <w:bottom w:val="single" w:sz="8" w:space="0" w:color="auto"/>
              <w:right w:val="single" w:sz="8" w:space="0" w:color="000000"/>
            </w:tcBorders>
            <w:shd w:val="clear" w:color="auto" w:fill="auto"/>
            <w:vAlign w:val="center"/>
            <w:hideMark/>
          </w:tcPr>
          <w:p w14:paraId="01FF0B2E" w14:textId="16CE83C3"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PBA 2028</w:t>
            </w:r>
            <w:r w:rsidR="00FC5887">
              <w:rPr>
                <w:rFonts w:ascii="Garamond" w:eastAsia="Times New Roman" w:hAnsi="Garamond" w:cs="Times New Roman"/>
                <w:b/>
                <w:bCs/>
                <w:kern w:val="0"/>
                <w:sz w:val="8"/>
                <w:szCs w:val="14"/>
                <w14:ligatures w14:val="none"/>
              </w:rPr>
              <w:t>–</w:t>
            </w:r>
            <w:r w:rsidRPr="002128A6">
              <w:rPr>
                <w:rFonts w:ascii="Garamond" w:eastAsia="Times New Roman" w:hAnsi="Garamond" w:cs="Times New Roman"/>
                <w:b/>
                <w:bCs/>
                <w:kern w:val="0"/>
                <w:sz w:val="8"/>
                <w:szCs w:val="14"/>
                <w14:ligatures w14:val="none"/>
              </w:rPr>
              <w:t xml:space="preserve">2030 (në </w:t>
            </w:r>
            <w:r w:rsidR="005C084B"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2166" w:type="dxa"/>
            <w:gridSpan w:val="4"/>
            <w:tcBorders>
              <w:top w:val="single" w:sz="8" w:space="0" w:color="auto"/>
              <w:left w:val="nil"/>
              <w:bottom w:val="single" w:sz="8" w:space="0" w:color="auto"/>
              <w:right w:val="nil"/>
            </w:tcBorders>
            <w:shd w:val="clear" w:color="auto" w:fill="auto"/>
            <w:vAlign w:val="center"/>
            <w:hideMark/>
          </w:tcPr>
          <w:p w14:paraId="305CA3A0" w14:textId="5610B0A3"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Financim i </w:t>
            </w:r>
            <w:r w:rsidR="003411E9" w:rsidRPr="002128A6">
              <w:rPr>
                <w:rFonts w:ascii="Garamond" w:eastAsia="Times New Roman" w:hAnsi="Garamond" w:cs="Times New Roman"/>
                <w:b/>
                <w:bCs/>
                <w:kern w:val="0"/>
                <w:sz w:val="8"/>
                <w:szCs w:val="14"/>
                <w14:ligatures w14:val="none"/>
              </w:rPr>
              <w:t xml:space="preserve">huaj </w:t>
            </w:r>
            <w:r w:rsidRPr="002128A6">
              <w:rPr>
                <w:rFonts w:ascii="Garamond" w:eastAsia="Times New Roman" w:hAnsi="Garamond" w:cs="Times New Roman"/>
                <w:b/>
                <w:bCs/>
                <w:kern w:val="0"/>
                <w:sz w:val="8"/>
                <w:szCs w:val="14"/>
                <w14:ligatures w14:val="none"/>
              </w:rPr>
              <w:t>(në lekë)</w:t>
            </w:r>
          </w:p>
        </w:tc>
        <w:tc>
          <w:tcPr>
            <w:tcW w:w="615" w:type="dxa"/>
            <w:vMerge/>
            <w:tcBorders>
              <w:top w:val="nil"/>
              <w:left w:val="single" w:sz="8" w:space="0" w:color="auto"/>
              <w:bottom w:val="single" w:sz="4" w:space="0" w:color="auto"/>
              <w:right w:val="single" w:sz="8" w:space="0" w:color="auto"/>
            </w:tcBorders>
            <w:vAlign w:val="center"/>
            <w:hideMark/>
          </w:tcPr>
          <w:p w14:paraId="6CFE08A4"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556" w:type="dxa"/>
            <w:vMerge/>
            <w:tcBorders>
              <w:top w:val="nil"/>
              <w:left w:val="single" w:sz="8" w:space="0" w:color="auto"/>
              <w:bottom w:val="nil"/>
              <w:right w:val="single" w:sz="8" w:space="0" w:color="auto"/>
            </w:tcBorders>
            <w:vAlign w:val="center"/>
            <w:hideMark/>
          </w:tcPr>
          <w:p w14:paraId="689E726A"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r>
      <w:tr w:rsidR="00F54824" w:rsidRPr="002128A6" w14:paraId="3262DE4B" w14:textId="77777777" w:rsidTr="00152EE7">
        <w:trPr>
          <w:trHeight w:val="20"/>
        </w:trPr>
        <w:tc>
          <w:tcPr>
            <w:tcW w:w="2275" w:type="dxa"/>
            <w:vMerge/>
            <w:tcBorders>
              <w:top w:val="nil"/>
              <w:left w:val="single" w:sz="8" w:space="0" w:color="auto"/>
              <w:bottom w:val="single" w:sz="8" w:space="0" w:color="auto"/>
              <w:right w:val="single" w:sz="8" w:space="0" w:color="auto"/>
            </w:tcBorders>
            <w:vAlign w:val="center"/>
            <w:hideMark/>
          </w:tcPr>
          <w:p w14:paraId="65827050"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861" w:type="dxa"/>
            <w:vMerge/>
            <w:tcBorders>
              <w:top w:val="nil"/>
              <w:left w:val="single" w:sz="8" w:space="0" w:color="auto"/>
              <w:bottom w:val="single" w:sz="8" w:space="0" w:color="auto"/>
              <w:right w:val="single" w:sz="8" w:space="0" w:color="auto"/>
            </w:tcBorders>
            <w:vAlign w:val="center"/>
            <w:hideMark/>
          </w:tcPr>
          <w:p w14:paraId="581B90F1"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719" w:type="dxa"/>
            <w:vMerge/>
            <w:tcBorders>
              <w:top w:val="nil"/>
              <w:left w:val="single" w:sz="8" w:space="0" w:color="auto"/>
              <w:bottom w:val="single" w:sz="8" w:space="0" w:color="auto"/>
              <w:right w:val="single" w:sz="8" w:space="0" w:color="auto"/>
            </w:tcBorders>
            <w:vAlign w:val="center"/>
            <w:hideMark/>
          </w:tcPr>
          <w:p w14:paraId="34944C43"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445" w:type="dxa"/>
            <w:vMerge/>
            <w:tcBorders>
              <w:top w:val="nil"/>
              <w:left w:val="single" w:sz="8" w:space="0" w:color="auto"/>
              <w:bottom w:val="single" w:sz="8" w:space="0" w:color="auto"/>
              <w:right w:val="single" w:sz="8" w:space="0" w:color="auto"/>
            </w:tcBorders>
            <w:vAlign w:val="center"/>
            <w:hideMark/>
          </w:tcPr>
          <w:p w14:paraId="383E7098"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509" w:type="dxa"/>
            <w:vMerge/>
            <w:tcBorders>
              <w:top w:val="nil"/>
              <w:left w:val="single" w:sz="8" w:space="0" w:color="auto"/>
              <w:bottom w:val="single" w:sz="8" w:space="0" w:color="auto"/>
              <w:right w:val="single" w:sz="8" w:space="0" w:color="auto"/>
            </w:tcBorders>
            <w:vAlign w:val="center"/>
            <w:hideMark/>
          </w:tcPr>
          <w:p w14:paraId="4E725148"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639" w:type="dxa"/>
            <w:tcBorders>
              <w:top w:val="nil"/>
              <w:left w:val="nil"/>
              <w:bottom w:val="single" w:sz="8" w:space="0" w:color="auto"/>
              <w:right w:val="single" w:sz="8" w:space="0" w:color="auto"/>
            </w:tcBorders>
            <w:shd w:val="clear" w:color="000000" w:fill="FFFFFF"/>
            <w:vAlign w:val="center"/>
            <w:hideMark/>
          </w:tcPr>
          <w:p w14:paraId="12A51DBC" w14:textId="24624206"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39" w:type="dxa"/>
            <w:tcBorders>
              <w:top w:val="nil"/>
              <w:left w:val="nil"/>
              <w:bottom w:val="single" w:sz="8" w:space="0" w:color="auto"/>
              <w:right w:val="single" w:sz="8" w:space="0" w:color="auto"/>
            </w:tcBorders>
            <w:shd w:val="clear" w:color="000000" w:fill="FFFFFF"/>
            <w:vAlign w:val="center"/>
            <w:hideMark/>
          </w:tcPr>
          <w:p w14:paraId="6372825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44" w:type="dxa"/>
            <w:tcBorders>
              <w:top w:val="nil"/>
              <w:left w:val="nil"/>
              <w:bottom w:val="single" w:sz="8" w:space="0" w:color="auto"/>
              <w:right w:val="single" w:sz="8" w:space="0" w:color="auto"/>
            </w:tcBorders>
            <w:shd w:val="clear" w:color="000000" w:fill="FFFFFF"/>
            <w:vAlign w:val="center"/>
            <w:hideMark/>
          </w:tcPr>
          <w:p w14:paraId="3AFE798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Kosto</w:t>
            </w:r>
          </w:p>
        </w:tc>
        <w:tc>
          <w:tcPr>
            <w:tcW w:w="644" w:type="dxa"/>
            <w:tcBorders>
              <w:top w:val="nil"/>
              <w:left w:val="nil"/>
              <w:bottom w:val="single" w:sz="8" w:space="0" w:color="auto"/>
              <w:right w:val="nil"/>
            </w:tcBorders>
            <w:shd w:val="clear" w:color="auto" w:fill="auto"/>
            <w:vAlign w:val="center"/>
            <w:hideMark/>
          </w:tcPr>
          <w:p w14:paraId="4F880B0D" w14:textId="50BD2265"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0" w:type="dxa"/>
            <w:tcBorders>
              <w:top w:val="nil"/>
              <w:left w:val="single" w:sz="8" w:space="0" w:color="auto"/>
              <w:bottom w:val="single" w:sz="8" w:space="0" w:color="auto"/>
              <w:right w:val="single" w:sz="8" w:space="0" w:color="auto"/>
            </w:tcBorders>
            <w:shd w:val="clear" w:color="auto" w:fill="auto"/>
            <w:vAlign w:val="center"/>
            <w:hideMark/>
          </w:tcPr>
          <w:p w14:paraId="311CCC9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39" w:type="dxa"/>
            <w:tcBorders>
              <w:top w:val="nil"/>
              <w:left w:val="nil"/>
              <w:bottom w:val="single" w:sz="8" w:space="0" w:color="auto"/>
              <w:right w:val="single" w:sz="8" w:space="0" w:color="auto"/>
            </w:tcBorders>
            <w:shd w:val="clear" w:color="auto" w:fill="auto"/>
            <w:vAlign w:val="center"/>
            <w:hideMark/>
          </w:tcPr>
          <w:p w14:paraId="38E2632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BSH</w:t>
            </w:r>
          </w:p>
        </w:tc>
        <w:tc>
          <w:tcPr>
            <w:tcW w:w="615" w:type="dxa"/>
            <w:tcBorders>
              <w:top w:val="nil"/>
              <w:left w:val="nil"/>
              <w:bottom w:val="single" w:sz="8" w:space="0" w:color="auto"/>
              <w:right w:val="nil"/>
            </w:tcBorders>
            <w:shd w:val="clear" w:color="auto" w:fill="auto"/>
            <w:vAlign w:val="center"/>
            <w:hideMark/>
          </w:tcPr>
          <w:p w14:paraId="60037B67" w14:textId="041BE53E"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0" w:type="dxa"/>
            <w:tcBorders>
              <w:top w:val="nil"/>
              <w:left w:val="single" w:sz="8" w:space="0" w:color="auto"/>
              <w:bottom w:val="single" w:sz="8" w:space="0" w:color="auto"/>
              <w:right w:val="single" w:sz="8" w:space="0" w:color="auto"/>
            </w:tcBorders>
            <w:shd w:val="clear" w:color="auto" w:fill="auto"/>
            <w:vAlign w:val="center"/>
            <w:hideMark/>
          </w:tcPr>
          <w:p w14:paraId="00A2184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15" w:type="dxa"/>
            <w:tcBorders>
              <w:top w:val="nil"/>
              <w:left w:val="nil"/>
              <w:bottom w:val="single" w:sz="8" w:space="0" w:color="auto"/>
              <w:right w:val="single" w:sz="8" w:space="0" w:color="auto"/>
            </w:tcBorders>
            <w:shd w:val="clear" w:color="auto" w:fill="auto"/>
            <w:vAlign w:val="center"/>
            <w:hideMark/>
          </w:tcPr>
          <w:p w14:paraId="6589366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BSH</w:t>
            </w:r>
          </w:p>
        </w:tc>
        <w:tc>
          <w:tcPr>
            <w:tcW w:w="460" w:type="dxa"/>
            <w:tcBorders>
              <w:top w:val="nil"/>
              <w:left w:val="nil"/>
              <w:bottom w:val="single" w:sz="8" w:space="0" w:color="auto"/>
              <w:right w:val="nil"/>
            </w:tcBorders>
            <w:shd w:val="clear" w:color="auto" w:fill="auto"/>
            <w:vAlign w:val="center"/>
            <w:hideMark/>
          </w:tcPr>
          <w:p w14:paraId="5BF9D202" w14:textId="604077FC"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5" w:type="dxa"/>
            <w:tcBorders>
              <w:top w:val="nil"/>
              <w:left w:val="single" w:sz="8" w:space="0" w:color="auto"/>
              <w:bottom w:val="single" w:sz="8" w:space="0" w:color="auto"/>
              <w:right w:val="single" w:sz="8" w:space="0" w:color="auto"/>
            </w:tcBorders>
            <w:shd w:val="clear" w:color="auto" w:fill="auto"/>
            <w:vAlign w:val="center"/>
            <w:hideMark/>
          </w:tcPr>
          <w:p w14:paraId="19FA76F0"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476" w:type="dxa"/>
            <w:tcBorders>
              <w:top w:val="nil"/>
              <w:left w:val="nil"/>
              <w:bottom w:val="single" w:sz="8" w:space="0" w:color="auto"/>
              <w:right w:val="single" w:sz="8" w:space="0" w:color="auto"/>
            </w:tcBorders>
            <w:shd w:val="clear" w:color="auto" w:fill="auto"/>
            <w:vAlign w:val="center"/>
            <w:hideMark/>
          </w:tcPr>
          <w:p w14:paraId="38B1915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615" w:type="dxa"/>
            <w:tcBorders>
              <w:top w:val="nil"/>
              <w:left w:val="nil"/>
              <w:bottom w:val="single" w:sz="8" w:space="0" w:color="auto"/>
              <w:right w:val="single" w:sz="8" w:space="0" w:color="auto"/>
            </w:tcBorders>
            <w:shd w:val="clear" w:color="auto" w:fill="auto"/>
            <w:vAlign w:val="center"/>
            <w:hideMark/>
          </w:tcPr>
          <w:p w14:paraId="0F22246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FH</w:t>
            </w:r>
          </w:p>
        </w:tc>
        <w:tc>
          <w:tcPr>
            <w:tcW w:w="615" w:type="dxa"/>
            <w:tcBorders>
              <w:top w:val="single" w:sz="8" w:space="0" w:color="auto"/>
              <w:left w:val="nil"/>
              <w:bottom w:val="single" w:sz="8" w:space="0" w:color="auto"/>
              <w:right w:val="single" w:sz="8" w:space="0" w:color="auto"/>
            </w:tcBorders>
            <w:shd w:val="clear" w:color="auto" w:fill="auto"/>
            <w:vAlign w:val="center"/>
            <w:hideMark/>
          </w:tcPr>
          <w:p w14:paraId="2BDC57A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556" w:type="dxa"/>
            <w:tcBorders>
              <w:top w:val="single" w:sz="8" w:space="0" w:color="auto"/>
              <w:left w:val="nil"/>
              <w:bottom w:val="single" w:sz="8" w:space="0" w:color="auto"/>
              <w:right w:val="single" w:sz="8" w:space="0" w:color="auto"/>
            </w:tcBorders>
            <w:shd w:val="clear" w:color="auto" w:fill="auto"/>
            <w:vAlign w:val="center"/>
            <w:hideMark/>
          </w:tcPr>
          <w:p w14:paraId="3F1C0E7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r>
      <w:tr w:rsidR="00F54824" w:rsidRPr="002128A6" w14:paraId="4F7F4C1B" w14:textId="77777777" w:rsidTr="00152EE7">
        <w:trPr>
          <w:trHeight w:val="20"/>
        </w:trPr>
        <w:tc>
          <w:tcPr>
            <w:tcW w:w="2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6A38A"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Reduktimi i disponueshmërisë, prodhimit dhe trafikimit të narkotikëve përmes forcimit të zbulimit, hetimit dhe koordinimit ndërinstitucional</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31EC92C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w:t>
            </w:r>
          </w:p>
        </w:tc>
        <w:tc>
          <w:tcPr>
            <w:tcW w:w="719" w:type="dxa"/>
            <w:tcBorders>
              <w:top w:val="single" w:sz="4" w:space="0" w:color="auto"/>
              <w:left w:val="nil"/>
              <w:bottom w:val="single" w:sz="4" w:space="0" w:color="auto"/>
              <w:right w:val="single" w:sz="4" w:space="0" w:color="auto"/>
            </w:tcBorders>
            <w:shd w:val="clear" w:color="auto" w:fill="auto"/>
            <w:vAlign w:val="center"/>
            <w:hideMark/>
          </w:tcPr>
          <w:p w14:paraId="5BC7346E" w14:textId="01CB81EE"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xml:space="preserve">Prokuroria e Përgjithshme, Prokuroria e Posaçme, Byroja Kombëtare e Hetimit, Policia e Shtetit; Agjencia e Inteligjencës dhe Sigurisë së Mbrojtjes, Shërbimi Informativ i Shtetit, Drejtoria e Përgjithshme e </w:t>
            </w:r>
            <w:r w:rsidRPr="002128A6">
              <w:rPr>
                <w:rFonts w:ascii="Garamond" w:eastAsia="Times New Roman" w:hAnsi="Garamond" w:cs="Times New Roman"/>
                <w:kern w:val="0"/>
                <w:sz w:val="8"/>
                <w:szCs w:val="14"/>
                <w14:ligatures w14:val="none"/>
              </w:rPr>
              <w:lastRenderedPageBreak/>
              <w:t>Doganave;</w:t>
            </w:r>
            <w:r w:rsidR="00F54824" w:rsidRPr="002128A6">
              <w:rPr>
                <w:rFonts w:ascii="Garamond" w:eastAsia="Times New Roman" w:hAnsi="Garamond" w:cs="Times New Roman"/>
                <w:kern w:val="0"/>
                <w:sz w:val="8"/>
                <w:szCs w:val="14"/>
                <w14:ligatures w14:val="none"/>
              </w:rPr>
              <w:t xml:space="preserve"> </w:t>
            </w:r>
            <w:r w:rsidRPr="002128A6">
              <w:rPr>
                <w:rFonts w:ascii="Garamond" w:eastAsia="Times New Roman" w:hAnsi="Garamond" w:cs="Times New Roman"/>
                <w:kern w:val="0"/>
                <w:sz w:val="8"/>
                <w:szCs w:val="14"/>
                <w14:ligatures w14:val="none"/>
              </w:rPr>
              <w:t>Ministria e Shëndetësisë dhe Mirëqenies Sociale; Inspektorati Kombëtar i Mbrojtjes së Territorit, Ministria e Punëve të Brendshme, Ministria e Drejtësisë; Ministria e Financave; Ministria për Evropën dhe Punët e Jashtme; Ministria e Arsimit dhe Sportit; Ministria e Bujqësisë dhe Zhvillimit Rural; Ministria e Mbrojtjes, Shërbimi Informativ i Shtetit, ISHP, AKBPM, OKD, ZSKD, QSUT, AKPB, AKKC. Organizatat joqeveritare që veprojnë në fushën e drogave dhe shëndetit publik; EUDA</w:t>
            </w:r>
          </w:p>
        </w:tc>
        <w:tc>
          <w:tcPr>
            <w:tcW w:w="445" w:type="dxa"/>
            <w:tcBorders>
              <w:top w:val="single" w:sz="4" w:space="0" w:color="auto"/>
              <w:left w:val="nil"/>
              <w:bottom w:val="single" w:sz="4" w:space="0" w:color="auto"/>
              <w:right w:val="single" w:sz="4" w:space="0" w:color="auto"/>
            </w:tcBorders>
            <w:shd w:val="clear" w:color="auto" w:fill="auto"/>
            <w:vAlign w:val="center"/>
            <w:hideMark/>
          </w:tcPr>
          <w:p w14:paraId="043347E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lastRenderedPageBreak/>
              <w:t>2026</w:t>
            </w:r>
          </w:p>
        </w:tc>
        <w:tc>
          <w:tcPr>
            <w:tcW w:w="509" w:type="dxa"/>
            <w:tcBorders>
              <w:top w:val="single" w:sz="4" w:space="0" w:color="auto"/>
              <w:left w:val="nil"/>
              <w:bottom w:val="single" w:sz="4" w:space="0" w:color="auto"/>
              <w:right w:val="single" w:sz="4" w:space="0" w:color="auto"/>
            </w:tcBorders>
            <w:shd w:val="clear" w:color="auto" w:fill="auto"/>
            <w:vAlign w:val="center"/>
            <w:hideMark/>
          </w:tcPr>
          <w:p w14:paraId="3E59A6D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10620B4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1,663,591,205</w:t>
            </w:r>
          </w:p>
        </w:tc>
        <w:tc>
          <w:tcPr>
            <w:tcW w:w="639" w:type="dxa"/>
            <w:tcBorders>
              <w:top w:val="nil"/>
              <w:left w:val="nil"/>
              <w:bottom w:val="single" w:sz="4" w:space="0" w:color="auto"/>
              <w:right w:val="single" w:sz="4" w:space="0" w:color="auto"/>
            </w:tcBorders>
            <w:shd w:val="clear" w:color="auto" w:fill="auto"/>
            <w:vAlign w:val="center"/>
            <w:hideMark/>
          </w:tcPr>
          <w:p w14:paraId="1C576AB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44" w:type="dxa"/>
            <w:tcBorders>
              <w:top w:val="nil"/>
              <w:left w:val="nil"/>
              <w:bottom w:val="single" w:sz="4" w:space="0" w:color="auto"/>
              <w:right w:val="single" w:sz="4" w:space="0" w:color="auto"/>
            </w:tcBorders>
            <w:shd w:val="clear" w:color="auto" w:fill="auto"/>
            <w:vAlign w:val="center"/>
            <w:hideMark/>
          </w:tcPr>
          <w:p w14:paraId="60A6236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1,663,591,205</w:t>
            </w:r>
          </w:p>
        </w:tc>
        <w:tc>
          <w:tcPr>
            <w:tcW w:w="644" w:type="dxa"/>
            <w:tcBorders>
              <w:top w:val="nil"/>
              <w:left w:val="nil"/>
              <w:bottom w:val="single" w:sz="4" w:space="0" w:color="auto"/>
              <w:right w:val="single" w:sz="4" w:space="0" w:color="auto"/>
            </w:tcBorders>
            <w:shd w:val="clear" w:color="auto" w:fill="auto"/>
            <w:vAlign w:val="center"/>
            <w:hideMark/>
          </w:tcPr>
          <w:p w14:paraId="60AA263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999,552,323</w:t>
            </w:r>
          </w:p>
        </w:tc>
        <w:tc>
          <w:tcPr>
            <w:tcW w:w="610" w:type="dxa"/>
            <w:tcBorders>
              <w:top w:val="nil"/>
              <w:left w:val="nil"/>
              <w:bottom w:val="single" w:sz="4" w:space="0" w:color="auto"/>
              <w:right w:val="single" w:sz="4" w:space="0" w:color="auto"/>
            </w:tcBorders>
            <w:shd w:val="clear" w:color="auto" w:fill="auto"/>
            <w:vAlign w:val="center"/>
            <w:hideMark/>
          </w:tcPr>
          <w:p w14:paraId="7A885A4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5BFD2BC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999,552,323</w:t>
            </w:r>
          </w:p>
        </w:tc>
        <w:tc>
          <w:tcPr>
            <w:tcW w:w="615" w:type="dxa"/>
            <w:tcBorders>
              <w:top w:val="nil"/>
              <w:left w:val="nil"/>
              <w:bottom w:val="single" w:sz="4" w:space="0" w:color="auto"/>
              <w:right w:val="single" w:sz="4" w:space="0" w:color="auto"/>
            </w:tcBorders>
            <w:shd w:val="clear" w:color="auto" w:fill="auto"/>
            <w:vAlign w:val="center"/>
            <w:hideMark/>
          </w:tcPr>
          <w:p w14:paraId="1A84D858"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664,038,882</w:t>
            </w:r>
          </w:p>
        </w:tc>
        <w:tc>
          <w:tcPr>
            <w:tcW w:w="610" w:type="dxa"/>
            <w:tcBorders>
              <w:top w:val="nil"/>
              <w:left w:val="nil"/>
              <w:bottom w:val="single" w:sz="4" w:space="0" w:color="auto"/>
              <w:right w:val="single" w:sz="4" w:space="0" w:color="auto"/>
            </w:tcBorders>
            <w:shd w:val="clear" w:color="auto" w:fill="auto"/>
            <w:vAlign w:val="center"/>
            <w:hideMark/>
          </w:tcPr>
          <w:p w14:paraId="756C6F2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BF0F41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664,038,882</w:t>
            </w:r>
          </w:p>
        </w:tc>
        <w:tc>
          <w:tcPr>
            <w:tcW w:w="460" w:type="dxa"/>
            <w:tcBorders>
              <w:top w:val="nil"/>
              <w:left w:val="nil"/>
              <w:bottom w:val="single" w:sz="4" w:space="0" w:color="auto"/>
              <w:right w:val="single" w:sz="4" w:space="0" w:color="auto"/>
            </w:tcBorders>
            <w:shd w:val="clear" w:color="auto" w:fill="auto"/>
            <w:vAlign w:val="center"/>
            <w:hideMark/>
          </w:tcPr>
          <w:p w14:paraId="45D04CB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631B5A0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2B5980B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23AB622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00E0D66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4C8CC57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17,868,864</w:t>
            </w:r>
          </w:p>
        </w:tc>
      </w:tr>
      <w:tr w:rsidR="00F54824" w:rsidRPr="002128A6" w14:paraId="1F58B1C3"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619774C2"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Reduktimi i ndjeshëm i trafikimit, duke rritur zbulimin, goditjen e rrjeteve kriminale dhe forcimin e kontrolleve kufitare dhe kapaciteteve hetimore</w:t>
            </w:r>
          </w:p>
        </w:tc>
        <w:tc>
          <w:tcPr>
            <w:tcW w:w="861" w:type="dxa"/>
            <w:tcBorders>
              <w:top w:val="nil"/>
              <w:left w:val="nil"/>
              <w:bottom w:val="single" w:sz="4" w:space="0" w:color="auto"/>
              <w:right w:val="single" w:sz="4" w:space="0" w:color="auto"/>
            </w:tcBorders>
            <w:shd w:val="clear" w:color="auto" w:fill="auto"/>
            <w:vAlign w:val="center"/>
            <w:hideMark/>
          </w:tcPr>
          <w:p w14:paraId="0A67253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br/>
              <w:t>Policia e Shtetit; Ministria e Turizmit, Kulturës dhe Sportit/Instituti i Regjstrimit të Pasurisë Kulturor</w:t>
            </w:r>
          </w:p>
        </w:tc>
        <w:tc>
          <w:tcPr>
            <w:tcW w:w="719" w:type="dxa"/>
            <w:tcBorders>
              <w:top w:val="nil"/>
              <w:left w:val="nil"/>
              <w:bottom w:val="single" w:sz="4" w:space="0" w:color="auto"/>
              <w:right w:val="single" w:sz="4" w:space="0" w:color="auto"/>
            </w:tcBorders>
            <w:shd w:val="clear" w:color="auto" w:fill="auto"/>
            <w:vAlign w:val="center"/>
            <w:hideMark/>
          </w:tcPr>
          <w:p w14:paraId="320BC104" w14:textId="06828B6C"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Agjencia e Inteligjencës dhe Sigurisë së Mbrojtjes; Shërbimi Informativ i Shtetit; Drejtoria e Përgjithshme e Doganave; Ministria e Turizmit, Kulturës dhe Sportit</w:t>
            </w:r>
            <w:r w:rsidR="005C084B" w:rsidRPr="002128A6">
              <w:rPr>
                <w:rFonts w:ascii="Garamond" w:eastAsia="Times New Roman" w:hAnsi="Garamond" w:cs="Times New Roman"/>
                <w:kern w:val="0"/>
                <w:sz w:val="8"/>
                <w:szCs w:val="14"/>
                <w14:ligatures w14:val="none"/>
              </w:rPr>
              <w:t>/</w:t>
            </w:r>
            <w:r w:rsidRPr="002128A6">
              <w:rPr>
                <w:rFonts w:ascii="Garamond" w:eastAsia="Times New Roman" w:hAnsi="Garamond" w:cs="Times New Roman"/>
                <w:kern w:val="0"/>
                <w:sz w:val="8"/>
                <w:szCs w:val="14"/>
                <w14:ligatures w14:val="none"/>
              </w:rPr>
              <w:t>Instituti Kombëtar i Regjistrimit të Trashëgimisë Kulturore; Ministria e Punëve të Brendshme; Agjencia Kombëtare e Shoqërisë së Informacionit</w:t>
            </w:r>
          </w:p>
        </w:tc>
        <w:tc>
          <w:tcPr>
            <w:tcW w:w="445" w:type="dxa"/>
            <w:tcBorders>
              <w:top w:val="nil"/>
              <w:left w:val="nil"/>
              <w:bottom w:val="single" w:sz="4" w:space="0" w:color="auto"/>
              <w:right w:val="single" w:sz="4" w:space="0" w:color="auto"/>
            </w:tcBorders>
            <w:shd w:val="clear" w:color="auto" w:fill="auto"/>
            <w:vAlign w:val="center"/>
            <w:hideMark/>
          </w:tcPr>
          <w:p w14:paraId="07F890F8"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65DE3DC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19F3EFC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2,065,198,809</w:t>
            </w:r>
          </w:p>
        </w:tc>
        <w:tc>
          <w:tcPr>
            <w:tcW w:w="639" w:type="dxa"/>
            <w:tcBorders>
              <w:top w:val="nil"/>
              <w:left w:val="nil"/>
              <w:bottom w:val="single" w:sz="4" w:space="0" w:color="auto"/>
              <w:right w:val="single" w:sz="4" w:space="0" w:color="auto"/>
            </w:tcBorders>
            <w:shd w:val="clear" w:color="auto" w:fill="auto"/>
            <w:vAlign w:val="center"/>
            <w:hideMark/>
          </w:tcPr>
          <w:p w14:paraId="3E4276E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212,956,560</w:t>
            </w:r>
          </w:p>
        </w:tc>
        <w:tc>
          <w:tcPr>
            <w:tcW w:w="644" w:type="dxa"/>
            <w:tcBorders>
              <w:top w:val="nil"/>
              <w:left w:val="nil"/>
              <w:bottom w:val="single" w:sz="4" w:space="0" w:color="auto"/>
              <w:right w:val="single" w:sz="4" w:space="0" w:color="auto"/>
            </w:tcBorders>
            <w:shd w:val="clear" w:color="auto" w:fill="auto"/>
            <w:vAlign w:val="center"/>
            <w:hideMark/>
          </w:tcPr>
          <w:p w14:paraId="16D7DB4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2,278,155,369</w:t>
            </w:r>
          </w:p>
        </w:tc>
        <w:tc>
          <w:tcPr>
            <w:tcW w:w="644" w:type="dxa"/>
            <w:tcBorders>
              <w:top w:val="nil"/>
              <w:left w:val="nil"/>
              <w:bottom w:val="single" w:sz="4" w:space="0" w:color="auto"/>
              <w:right w:val="single" w:sz="4" w:space="0" w:color="auto"/>
            </w:tcBorders>
            <w:shd w:val="clear" w:color="auto" w:fill="auto"/>
            <w:vAlign w:val="center"/>
            <w:hideMark/>
          </w:tcPr>
          <w:p w14:paraId="7202F898"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1,240,696,519</w:t>
            </w:r>
          </w:p>
        </w:tc>
        <w:tc>
          <w:tcPr>
            <w:tcW w:w="610" w:type="dxa"/>
            <w:tcBorders>
              <w:top w:val="nil"/>
              <w:left w:val="nil"/>
              <w:bottom w:val="single" w:sz="4" w:space="0" w:color="auto"/>
              <w:right w:val="single" w:sz="4" w:space="0" w:color="auto"/>
            </w:tcBorders>
            <w:shd w:val="clear" w:color="auto" w:fill="auto"/>
            <w:vAlign w:val="center"/>
            <w:hideMark/>
          </w:tcPr>
          <w:p w14:paraId="7707D0F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212,956,560</w:t>
            </w:r>
          </w:p>
        </w:tc>
        <w:tc>
          <w:tcPr>
            <w:tcW w:w="639" w:type="dxa"/>
            <w:tcBorders>
              <w:top w:val="nil"/>
              <w:left w:val="nil"/>
              <w:bottom w:val="single" w:sz="4" w:space="0" w:color="auto"/>
              <w:right w:val="single" w:sz="4" w:space="0" w:color="auto"/>
            </w:tcBorders>
            <w:shd w:val="clear" w:color="auto" w:fill="auto"/>
            <w:vAlign w:val="center"/>
            <w:hideMark/>
          </w:tcPr>
          <w:p w14:paraId="01E83D0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1,453,653,079</w:t>
            </w:r>
          </w:p>
        </w:tc>
        <w:tc>
          <w:tcPr>
            <w:tcW w:w="615" w:type="dxa"/>
            <w:tcBorders>
              <w:top w:val="nil"/>
              <w:left w:val="nil"/>
              <w:bottom w:val="single" w:sz="4" w:space="0" w:color="auto"/>
              <w:right w:val="single" w:sz="4" w:space="0" w:color="auto"/>
            </w:tcBorders>
            <w:shd w:val="clear" w:color="auto" w:fill="auto"/>
            <w:vAlign w:val="center"/>
            <w:hideMark/>
          </w:tcPr>
          <w:p w14:paraId="45799F9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824,502,290</w:t>
            </w:r>
          </w:p>
        </w:tc>
        <w:tc>
          <w:tcPr>
            <w:tcW w:w="610" w:type="dxa"/>
            <w:tcBorders>
              <w:top w:val="nil"/>
              <w:left w:val="nil"/>
              <w:bottom w:val="single" w:sz="4" w:space="0" w:color="auto"/>
              <w:right w:val="single" w:sz="4" w:space="0" w:color="auto"/>
            </w:tcBorders>
            <w:shd w:val="clear" w:color="auto" w:fill="auto"/>
            <w:vAlign w:val="center"/>
            <w:hideMark/>
          </w:tcPr>
          <w:p w14:paraId="65EC353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1C2ECF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824,502,290</w:t>
            </w:r>
          </w:p>
        </w:tc>
        <w:tc>
          <w:tcPr>
            <w:tcW w:w="460" w:type="dxa"/>
            <w:tcBorders>
              <w:top w:val="nil"/>
              <w:left w:val="nil"/>
              <w:bottom w:val="single" w:sz="4" w:space="0" w:color="auto"/>
              <w:right w:val="single" w:sz="4" w:space="0" w:color="auto"/>
            </w:tcBorders>
            <w:shd w:val="clear" w:color="auto" w:fill="auto"/>
            <w:vAlign w:val="center"/>
            <w:hideMark/>
          </w:tcPr>
          <w:p w14:paraId="1E09224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F75159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29CA689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51A88A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75F9197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7052461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24,469,982</w:t>
            </w:r>
          </w:p>
        </w:tc>
      </w:tr>
      <w:tr w:rsidR="00F54824" w:rsidRPr="002128A6" w14:paraId="1DAA6567"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28A8369F"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Forcimi i kapaciteteve kombëtare për zbulimin, hetimin dhe ndjekjen penale të krimit ekonomik dhe financiar, që rezulton në rritje të sekuestrimeve dhe ulje të pandëshkueshmërisë</w:t>
            </w:r>
          </w:p>
        </w:tc>
        <w:tc>
          <w:tcPr>
            <w:tcW w:w="861" w:type="dxa"/>
            <w:tcBorders>
              <w:top w:val="nil"/>
              <w:left w:val="nil"/>
              <w:bottom w:val="single" w:sz="4" w:space="0" w:color="auto"/>
              <w:right w:val="single" w:sz="4" w:space="0" w:color="auto"/>
            </w:tcBorders>
            <w:shd w:val="clear" w:color="auto" w:fill="auto"/>
            <w:vAlign w:val="center"/>
            <w:hideMark/>
          </w:tcPr>
          <w:p w14:paraId="58442EC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 Ministria e Punëve të Brendshme; Agjencia e Inteligjencës Financiare</w:t>
            </w:r>
          </w:p>
        </w:tc>
        <w:tc>
          <w:tcPr>
            <w:tcW w:w="719" w:type="dxa"/>
            <w:tcBorders>
              <w:top w:val="nil"/>
              <w:left w:val="nil"/>
              <w:bottom w:val="single" w:sz="4" w:space="0" w:color="auto"/>
              <w:right w:val="single" w:sz="4" w:space="0" w:color="auto"/>
            </w:tcBorders>
            <w:shd w:val="clear" w:color="auto" w:fill="auto"/>
            <w:vAlign w:val="center"/>
            <w:hideMark/>
          </w:tcPr>
          <w:p w14:paraId="4AC27668"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xml:space="preserve">Prokuroria e Përgjithshme; Byroja Kombëtare e Hetimit; Drejtoria e Përgjithshme e Tatimeve; Drejtoria e Përgjithshme e Doganave; Agjencia e Inteligjencës Financiare; Prokuroria e Posaçme kundër Korrupsionit dhe Krimit të Organizuar; Shërbimi Informativ i Shtetit; Policia e Shtetit; Agjencia e Mbikëqyrjes Financiare; Autoriteti i Mbikëqyrjes së Lojërave të Fatit; Ministria e Drejtësisë; Shërbimi Informativ i Shtetit; Agjencia për Inteligjencën dhe Sigurinë e Mbrojtjes; Banka e Shqipërisë; Qendra Kombëtare e Biznesit; Dhoma </w:t>
            </w:r>
            <w:r w:rsidRPr="002128A6">
              <w:rPr>
                <w:rFonts w:ascii="Garamond" w:eastAsia="Times New Roman" w:hAnsi="Garamond" w:cs="Times New Roman"/>
                <w:kern w:val="0"/>
                <w:sz w:val="8"/>
                <w:szCs w:val="14"/>
                <w14:ligatures w14:val="none"/>
              </w:rPr>
              <w:lastRenderedPageBreak/>
              <w:t>Kombëtare e Avokatisë;</w:t>
            </w:r>
          </w:p>
        </w:tc>
        <w:tc>
          <w:tcPr>
            <w:tcW w:w="445" w:type="dxa"/>
            <w:tcBorders>
              <w:top w:val="nil"/>
              <w:left w:val="nil"/>
              <w:bottom w:val="single" w:sz="4" w:space="0" w:color="auto"/>
              <w:right w:val="single" w:sz="4" w:space="0" w:color="auto"/>
            </w:tcBorders>
            <w:shd w:val="clear" w:color="auto" w:fill="auto"/>
            <w:vAlign w:val="center"/>
            <w:hideMark/>
          </w:tcPr>
          <w:p w14:paraId="21455AE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lastRenderedPageBreak/>
              <w:t>2026</w:t>
            </w:r>
          </w:p>
        </w:tc>
        <w:tc>
          <w:tcPr>
            <w:tcW w:w="509" w:type="dxa"/>
            <w:tcBorders>
              <w:top w:val="nil"/>
              <w:left w:val="nil"/>
              <w:bottom w:val="single" w:sz="4" w:space="0" w:color="auto"/>
              <w:right w:val="single" w:sz="4" w:space="0" w:color="auto"/>
            </w:tcBorders>
            <w:shd w:val="clear" w:color="auto" w:fill="auto"/>
            <w:vAlign w:val="center"/>
            <w:hideMark/>
          </w:tcPr>
          <w:p w14:paraId="7CBC678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62DD185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3,990,768,135</w:t>
            </w:r>
          </w:p>
        </w:tc>
        <w:tc>
          <w:tcPr>
            <w:tcW w:w="639" w:type="dxa"/>
            <w:tcBorders>
              <w:top w:val="nil"/>
              <w:left w:val="nil"/>
              <w:bottom w:val="single" w:sz="4" w:space="0" w:color="auto"/>
              <w:right w:val="single" w:sz="4" w:space="0" w:color="auto"/>
            </w:tcBorders>
            <w:shd w:val="clear" w:color="auto" w:fill="auto"/>
            <w:vAlign w:val="center"/>
            <w:hideMark/>
          </w:tcPr>
          <w:p w14:paraId="56FC6BB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2,235,000</w:t>
            </w:r>
          </w:p>
        </w:tc>
        <w:tc>
          <w:tcPr>
            <w:tcW w:w="644" w:type="dxa"/>
            <w:tcBorders>
              <w:top w:val="nil"/>
              <w:left w:val="nil"/>
              <w:bottom w:val="single" w:sz="4" w:space="0" w:color="auto"/>
              <w:right w:val="single" w:sz="4" w:space="0" w:color="auto"/>
            </w:tcBorders>
            <w:shd w:val="clear" w:color="auto" w:fill="auto"/>
            <w:vAlign w:val="center"/>
            <w:hideMark/>
          </w:tcPr>
          <w:p w14:paraId="2CBE4E9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3,993,003,135</w:t>
            </w:r>
          </w:p>
        </w:tc>
        <w:tc>
          <w:tcPr>
            <w:tcW w:w="644" w:type="dxa"/>
            <w:tcBorders>
              <w:top w:val="nil"/>
              <w:left w:val="nil"/>
              <w:bottom w:val="single" w:sz="4" w:space="0" w:color="auto"/>
              <w:right w:val="single" w:sz="4" w:space="0" w:color="auto"/>
            </w:tcBorders>
            <w:shd w:val="clear" w:color="auto" w:fill="auto"/>
            <w:vAlign w:val="center"/>
            <w:hideMark/>
          </w:tcPr>
          <w:p w14:paraId="1BD8AB6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2,502,954,321</w:t>
            </w:r>
          </w:p>
        </w:tc>
        <w:tc>
          <w:tcPr>
            <w:tcW w:w="610" w:type="dxa"/>
            <w:tcBorders>
              <w:top w:val="nil"/>
              <w:left w:val="nil"/>
              <w:bottom w:val="single" w:sz="4" w:space="0" w:color="auto"/>
              <w:right w:val="single" w:sz="4" w:space="0" w:color="auto"/>
            </w:tcBorders>
            <w:shd w:val="clear" w:color="auto" w:fill="auto"/>
            <w:vAlign w:val="center"/>
            <w:hideMark/>
          </w:tcPr>
          <w:p w14:paraId="6235488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312BDA9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2,502,954,321</w:t>
            </w:r>
          </w:p>
        </w:tc>
        <w:tc>
          <w:tcPr>
            <w:tcW w:w="615" w:type="dxa"/>
            <w:tcBorders>
              <w:top w:val="nil"/>
              <w:left w:val="nil"/>
              <w:bottom w:val="single" w:sz="4" w:space="0" w:color="auto"/>
              <w:right w:val="single" w:sz="4" w:space="0" w:color="auto"/>
            </w:tcBorders>
            <w:shd w:val="clear" w:color="auto" w:fill="auto"/>
            <w:vAlign w:val="center"/>
            <w:hideMark/>
          </w:tcPr>
          <w:p w14:paraId="7A6D257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1,487,813,814</w:t>
            </w:r>
          </w:p>
        </w:tc>
        <w:tc>
          <w:tcPr>
            <w:tcW w:w="610" w:type="dxa"/>
            <w:tcBorders>
              <w:top w:val="nil"/>
              <w:left w:val="nil"/>
              <w:bottom w:val="single" w:sz="4" w:space="0" w:color="auto"/>
              <w:right w:val="single" w:sz="4" w:space="0" w:color="auto"/>
            </w:tcBorders>
            <w:shd w:val="clear" w:color="auto" w:fill="auto"/>
            <w:vAlign w:val="center"/>
            <w:hideMark/>
          </w:tcPr>
          <w:p w14:paraId="484283C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AC5F20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1,487,813,814</w:t>
            </w:r>
          </w:p>
        </w:tc>
        <w:tc>
          <w:tcPr>
            <w:tcW w:w="460" w:type="dxa"/>
            <w:tcBorders>
              <w:top w:val="nil"/>
              <w:left w:val="nil"/>
              <w:bottom w:val="single" w:sz="4" w:space="0" w:color="auto"/>
              <w:right w:val="single" w:sz="4" w:space="0" w:color="auto"/>
            </w:tcBorders>
            <w:shd w:val="clear" w:color="auto" w:fill="auto"/>
            <w:vAlign w:val="center"/>
            <w:hideMark/>
          </w:tcPr>
          <w:p w14:paraId="56E40CF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05D1CEE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2,235,000</w:t>
            </w:r>
          </w:p>
        </w:tc>
        <w:tc>
          <w:tcPr>
            <w:tcW w:w="476" w:type="dxa"/>
            <w:tcBorders>
              <w:top w:val="nil"/>
              <w:left w:val="nil"/>
              <w:bottom w:val="single" w:sz="4" w:space="0" w:color="auto"/>
              <w:right w:val="single" w:sz="4" w:space="0" w:color="auto"/>
            </w:tcBorders>
            <w:shd w:val="clear" w:color="auto" w:fill="auto"/>
            <w:vAlign w:val="center"/>
            <w:hideMark/>
          </w:tcPr>
          <w:p w14:paraId="5CFA1FD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02A5863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2,235,000</w:t>
            </w:r>
          </w:p>
        </w:tc>
        <w:tc>
          <w:tcPr>
            <w:tcW w:w="615" w:type="dxa"/>
            <w:tcBorders>
              <w:top w:val="nil"/>
              <w:left w:val="nil"/>
              <w:bottom w:val="single" w:sz="4" w:space="0" w:color="auto"/>
              <w:right w:val="single" w:sz="4" w:space="0" w:color="auto"/>
            </w:tcBorders>
            <w:shd w:val="clear" w:color="auto" w:fill="auto"/>
            <w:vAlign w:val="center"/>
            <w:hideMark/>
          </w:tcPr>
          <w:p w14:paraId="231A4AB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42B10F7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42,889,400</w:t>
            </w:r>
          </w:p>
        </w:tc>
      </w:tr>
      <w:tr w:rsidR="00F54824" w:rsidRPr="002128A6" w14:paraId="35BFAC73"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2D00E3DB"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Rritja e kapaciteteve kombëtare në parandalimin, zbulimin dhe ndjekjen penale të krimit kibernetik, përmes teknologjisë së përparuar, aftësive të specializuara dhe bashkëpunimit ndërkombëtar</w:t>
            </w:r>
          </w:p>
        </w:tc>
        <w:tc>
          <w:tcPr>
            <w:tcW w:w="861" w:type="dxa"/>
            <w:tcBorders>
              <w:top w:val="nil"/>
              <w:left w:val="nil"/>
              <w:bottom w:val="nil"/>
              <w:right w:val="single" w:sz="4" w:space="0" w:color="auto"/>
            </w:tcBorders>
            <w:shd w:val="clear" w:color="auto" w:fill="auto"/>
            <w:vAlign w:val="center"/>
            <w:hideMark/>
          </w:tcPr>
          <w:p w14:paraId="16320E5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Polica e Shtetit</w:t>
            </w:r>
          </w:p>
        </w:tc>
        <w:tc>
          <w:tcPr>
            <w:tcW w:w="719" w:type="dxa"/>
            <w:tcBorders>
              <w:top w:val="nil"/>
              <w:left w:val="nil"/>
              <w:bottom w:val="nil"/>
              <w:right w:val="single" w:sz="4" w:space="0" w:color="auto"/>
            </w:tcBorders>
            <w:shd w:val="clear" w:color="auto" w:fill="auto"/>
            <w:vAlign w:val="center"/>
            <w:hideMark/>
          </w:tcPr>
          <w:p w14:paraId="195C176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Ministria e Drejtësisë; Prokuroria e Posaçme; Byroja Kombëtare e Hetimit; Agjencia e Inteligjencës Financiare; Agjencia Shtetërore për të Drejtat dhe Mbrojtjen e Fëmijës; Shërbimi Informativ i Shtetit; Drejtoria e Përgjithshme e Tatimeve; Drejtoria e Përgjithshme e Doganave; Banka e Shqipërisë; Njësia për Mbrojtjen e Fëmijës; Prokuroria e Përgjithshme; Ministria e Arsimit; Autoriteti Kombëtar për Sigurinë Kibernetike;</w:t>
            </w:r>
          </w:p>
        </w:tc>
        <w:tc>
          <w:tcPr>
            <w:tcW w:w="445" w:type="dxa"/>
            <w:tcBorders>
              <w:top w:val="nil"/>
              <w:left w:val="nil"/>
              <w:bottom w:val="single" w:sz="4" w:space="0" w:color="auto"/>
              <w:right w:val="single" w:sz="4" w:space="0" w:color="auto"/>
            </w:tcBorders>
            <w:shd w:val="clear" w:color="auto" w:fill="auto"/>
            <w:vAlign w:val="center"/>
            <w:hideMark/>
          </w:tcPr>
          <w:p w14:paraId="7CFA024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1E35A14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0A77F71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340,972,450</w:t>
            </w:r>
          </w:p>
        </w:tc>
        <w:tc>
          <w:tcPr>
            <w:tcW w:w="639" w:type="dxa"/>
            <w:tcBorders>
              <w:top w:val="nil"/>
              <w:left w:val="nil"/>
              <w:bottom w:val="single" w:sz="4" w:space="0" w:color="auto"/>
              <w:right w:val="single" w:sz="4" w:space="0" w:color="auto"/>
            </w:tcBorders>
            <w:shd w:val="clear" w:color="auto" w:fill="auto"/>
            <w:vAlign w:val="center"/>
            <w:hideMark/>
          </w:tcPr>
          <w:p w14:paraId="374EAA8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44" w:type="dxa"/>
            <w:tcBorders>
              <w:top w:val="nil"/>
              <w:left w:val="nil"/>
              <w:bottom w:val="single" w:sz="4" w:space="0" w:color="auto"/>
              <w:right w:val="single" w:sz="4" w:space="0" w:color="auto"/>
            </w:tcBorders>
            <w:shd w:val="clear" w:color="auto" w:fill="auto"/>
            <w:vAlign w:val="center"/>
            <w:hideMark/>
          </w:tcPr>
          <w:p w14:paraId="5FF01AC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340,972,450</w:t>
            </w:r>
          </w:p>
        </w:tc>
        <w:tc>
          <w:tcPr>
            <w:tcW w:w="644" w:type="dxa"/>
            <w:tcBorders>
              <w:top w:val="nil"/>
              <w:left w:val="nil"/>
              <w:bottom w:val="single" w:sz="4" w:space="0" w:color="auto"/>
              <w:right w:val="single" w:sz="4" w:space="0" w:color="auto"/>
            </w:tcBorders>
            <w:shd w:val="clear" w:color="auto" w:fill="auto"/>
            <w:vAlign w:val="center"/>
            <w:hideMark/>
          </w:tcPr>
          <w:p w14:paraId="1941726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204,583,470</w:t>
            </w:r>
          </w:p>
        </w:tc>
        <w:tc>
          <w:tcPr>
            <w:tcW w:w="610" w:type="dxa"/>
            <w:tcBorders>
              <w:top w:val="nil"/>
              <w:left w:val="nil"/>
              <w:bottom w:val="single" w:sz="4" w:space="0" w:color="auto"/>
              <w:right w:val="single" w:sz="4" w:space="0" w:color="auto"/>
            </w:tcBorders>
            <w:shd w:val="clear" w:color="auto" w:fill="auto"/>
            <w:vAlign w:val="center"/>
            <w:hideMark/>
          </w:tcPr>
          <w:p w14:paraId="7ECDE4C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3BCDA11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204,583,470</w:t>
            </w:r>
          </w:p>
        </w:tc>
        <w:tc>
          <w:tcPr>
            <w:tcW w:w="615" w:type="dxa"/>
            <w:tcBorders>
              <w:top w:val="nil"/>
              <w:left w:val="nil"/>
              <w:bottom w:val="single" w:sz="4" w:space="0" w:color="auto"/>
              <w:right w:val="single" w:sz="4" w:space="0" w:color="auto"/>
            </w:tcBorders>
            <w:shd w:val="clear" w:color="auto" w:fill="auto"/>
            <w:vAlign w:val="center"/>
            <w:hideMark/>
          </w:tcPr>
          <w:p w14:paraId="5AA90B2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136,388,980</w:t>
            </w:r>
          </w:p>
        </w:tc>
        <w:tc>
          <w:tcPr>
            <w:tcW w:w="610" w:type="dxa"/>
            <w:tcBorders>
              <w:top w:val="nil"/>
              <w:left w:val="nil"/>
              <w:bottom w:val="single" w:sz="4" w:space="0" w:color="auto"/>
              <w:right w:val="single" w:sz="4" w:space="0" w:color="auto"/>
            </w:tcBorders>
            <w:shd w:val="clear" w:color="auto" w:fill="auto"/>
            <w:vAlign w:val="center"/>
            <w:hideMark/>
          </w:tcPr>
          <w:p w14:paraId="221E9CC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0B72746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136,388,980</w:t>
            </w:r>
          </w:p>
        </w:tc>
        <w:tc>
          <w:tcPr>
            <w:tcW w:w="460" w:type="dxa"/>
            <w:tcBorders>
              <w:top w:val="nil"/>
              <w:left w:val="nil"/>
              <w:bottom w:val="single" w:sz="4" w:space="0" w:color="auto"/>
              <w:right w:val="single" w:sz="4" w:space="0" w:color="auto"/>
            </w:tcBorders>
            <w:shd w:val="clear" w:color="auto" w:fill="auto"/>
            <w:vAlign w:val="center"/>
            <w:hideMark/>
          </w:tcPr>
          <w:p w14:paraId="40E8B75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ACF2EB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3941259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134AC66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6AB178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5CB20D9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3,662,432</w:t>
            </w:r>
          </w:p>
        </w:tc>
      </w:tr>
      <w:tr w:rsidR="00F54824" w:rsidRPr="002128A6" w14:paraId="3D256D50"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15478EC6"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Shërbime kriminalistike të akredituara dhe të cilësisë së lartë, të cilat garantojnë integritetin, besueshmërinë dhe pranueshmërinë e provave </w:t>
            </w:r>
          </w:p>
        </w:tc>
        <w:tc>
          <w:tcPr>
            <w:tcW w:w="861" w:type="dxa"/>
            <w:tcBorders>
              <w:top w:val="single" w:sz="4" w:space="0" w:color="auto"/>
              <w:left w:val="nil"/>
              <w:bottom w:val="nil"/>
              <w:right w:val="single" w:sz="4" w:space="0" w:color="auto"/>
            </w:tcBorders>
            <w:shd w:val="clear" w:color="auto" w:fill="auto"/>
            <w:vAlign w:val="center"/>
            <w:hideMark/>
          </w:tcPr>
          <w:p w14:paraId="753CF0FB"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Ministria e Punëve të Brendshme; Policia e Shtetit; Instituti i Policisë Shkencore; FFA; Akademia e Sigurisë;</w:t>
            </w:r>
          </w:p>
        </w:tc>
        <w:tc>
          <w:tcPr>
            <w:tcW w:w="719" w:type="dxa"/>
            <w:tcBorders>
              <w:top w:val="single" w:sz="4" w:space="0" w:color="auto"/>
              <w:left w:val="nil"/>
              <w:bottom w:val="nil"/>
              <w:right w:val="single" w:sz="4" w:space="0" w:color="auto"/>
            </w:tcBorders>
            <w:shd w:val="clear" w:color="auto" w:fill="auto"/>
            <w:vAlign w:val="center"/>
            <w:hideMark/>
          </w:tcPr>
          <w:p w14:paraId="3DF5D01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FFA; Ministria e Drejtësisë; Instituti i Mjekësisë Ligjore;</w:t>
            </w:r>
          </w:p>
        </w:tc>
        <w:tc>
          <w:tcPr>
            <w:tcW w:w="445" w:type="dxa"/>
            <w:tcBorders>
              <w:top w:val="nil"/>
              <w:left w:val="nil"/>
              <w:bottom w:val="single" w:sz="4" w:space="0" w:color="auto"/>
              <w:right w:val="single" w:sz="4" w:space="0" w:color="auto"/>
            </w:tcBorders>
            <w:shd w:val="clear" w:color="auto" w:fill="auto"/>
            <w:vAlign w:val="center"/>
            <w:hideMark/>
          </w:tcPr>
          <w:p w14:paraId="1A3C9C0F"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223BAA8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660A47B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120,329,481</w:t>
            </w:r>
          </w:p>
        </w:tc>
        <w:tc>
          <w:tcPr>
            <w:tcW w:w="639" w:type="dxa"/>
            <w:tcBorders>
              <w:top w:val="nil"/>
              <w:left w:val="nil"/>
              <w:bottom w:val="single" w:sz="4" w:space="0" w:color="auto"/>
              <w:right w:val="single" w:sz="4" w:space="0" w:color="auto"/>
            </w:tcBorders>
            <w:shd w:val="clear" w:color="auto" w:fill="auto"/>
            <w:vAlign w:val="center"/>
            <w:hideMark/>
          </w:tcPr>
          <w:p w14:paraId="336E6B0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6,414,247,438</w:t>
            </w:r>
          </w:p>
        </w:tc>
        <w:tc>
          <w:tcPr>
            <w:tcW w:w="644" w:type="dxa"/>
            <w:tcBorders>
              <w:top w:val="nil"/>
              <w:left w:val="nil"/>
              <w:bottom w:val="single" w:sz="4" w:space="0" w:color="auto"/>
              <w:right w:val="single" w:sz="4" w:space="0" w:color="auto"/>
            </w:tcBorders>
            <w:shd w:val="clear" w:color="auto" w:fill="auto"/>
            <w:vAlign w:val="center"/>
            <w:hideMark/>
          </w:tcPr>
          <w:p w14:paraId="2E0C0DA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6,534,576,919</w:t>
            </w:r>
          </w:p>
        </w:tc>
        <w:tc>
          <w:tcPr>
            <w:tcW w:w="644" w:type="dxa"/>
            <w:tcBorders>
              <w:top w:val="nil"/>
              <w:left w:val="nil"/>
              <w:bottom w:val="single" w:sz="4" w:space="0" w:color="auto"/>
              <w:right w:val="single" w:sz="4" w:space="0" w:color="auto"/>
            </w:tcBorders>
            <w:shd w:val="clear" w:color="auto" w:fill="auto"/>
            <w:vAlign w:val="center"/>
            <w:hideMark/>
          </w:tcPr>
          <w:p w14:paraId="1F74CF6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79,423,317</w:t>
            </w:r>
          </w:p>
        </w:tc>
        <w:tc>
          <w:tcPr>
            <w:tcW w:w="610" w:type="dxa"/>
            <w:tcBorders>
              <w:top w:val="nil"/>
              <w:left w:val="nil"/>
              <w:bottom w:val="single" w:sz="4" w:space="0" w:color="auto"/>
              <w:right w:val="single" w:sz="4" w:space="0" w:color="auto"/>
            </w:tcBorders>
            <w:shd w:val="clear" w:color="auto" w:fill="auto"/>
            <w:vAlign w:val="center"/>
            <w:hideMark/>
          </w:tcPr>
          <w:p w14:paraId="5F44A4E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652,493,438</w:t>
            </w:r>
          </w:p>
        </w:tc>
        <w:tc>
          <w:tcPr>
            <w:tcW w:w="639" w:type="dxa"/>
            <w:tcBorders>
              <w:top w:val="nil"/>
              <w:left w:val="nil"/>
              <w:bottom w:val="single" w:sz="4" w:space="0" w:color="auto"/>
              <w:right w:val="single" w:sz="4" w:space="0" w:color="auto"/>
            </w:tcBorders>
            <w:shd w:val="clear" w:color="auto" w:fill="auto"/>
            <w:vAlign w:val="center"/>
            <w:hideMark/>
          </w:tcPr>
          <w:p w14:paraId="6777755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731,916,755</w:t>
            </w:r>
          </w:p>
        </w:tc>
        <w:tc>
          <w:tcPr>
            <w:tcW w:w="615" w:type="dxa"/>
            <w:tcBorders>
              <w:top w:val="nil"/>
              <w:left w:val="nil"/>
              <w:bottom w:val="single" w:sz="4" w:space="0" w:color="auto"/>
              <w:right w:val="single" w:sz="4" w:space="0" w:color="auto"/>
            </w:tcBorders>
            <w:shd w:val="clear" w:color="auto" w:fill="auto"/>
            <w:vAlign w:val="center"/>
            <w:hideMark/>
          </w:tcPr>
          <w:p w14:paraId="6CDD0CE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40,906,164</w:t>
            </w:r>
          </w:p>
        </w:tc>
        <w:tc>
          <w:tcPr>
            <w:tcW w:w="610" w:type="dxa"/>
            <w:tcBorders>
              <w:top w:val="nil"/>
              <w:left w:val="nil"/>
              <w:bottom w:val="single" w:sz="4" w:space="0" w:color="auto"/>
              <w:right w:val="single" w:sz="4" w:space="0" w:color="auto"/>
            </w:tcBorders>
            <w:shd w:val="clear" w:color="auto" w:fill="auto"/>
            <w:vAlign w:val="center"/>
            <w:hideMark/>
          </w:tcPr>
          <w:p w14:paraId="7745D22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2,700,000,000</w:t>
            </w:r>
          </w:p>
        </w:tc>
        <w:tc>
          <w:tcPr>
            <w:tcW w:w="615" w:type="dxa"/>
            <w:tcBorders>
              <w:top w:val="nil"/>
              <w:left w:val="nil"/>
              <w:bottom w:val="single" w:sz="4" w:space="0" w:color="auto"/>
              <w:right w:val="single" w:sz="4" w:space="0" w:color="auto"/>
            </w:tcBorders>
            <w:shd w:val="clear" w:color="auto" w:fill="auto"/>
            <w:vAlign w:val="center"/>
            <w:hideMark/>
          </w:tcPr>
          <w:p w14:paraId="4C9B743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2,740,906,164</w:t>
            </w:r>
          </w:p>
        </w:tc>
        <w:tc>
          <w:tcPr>
            <w:tcW w:w="460" w:type="dxa"/>
            <w:tcBorders>
              <w:top w:val="nil"/>
              <w:left w:val="nil"/>
              <w:bottom w:val="single" w:sz="4" w:space="0" w:color="auto"/>
              <w:right w:val="single" w:sz="4" w:space="0" w:color="auto"/>
            </w:tcBorders>
            <w:shd w:val="clear" w:color="auto" w:fill="auto"/>
            <w:vAlign w:val="center"/>
            <w:hideMark/>
          </w:tcPr>
          <w:p w14:paraId="02C714D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2A76426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69,200,000</w:t>
            </w:r>
          </w:p>
        </w:tc>
        <w:tc>
          <w:tcPr>
            <w:tcW w:w="476" w:type="dxa"/>
            <w:tcBorders>
              <w:top w:val="nil"/>
              <w:left w:val="nil"/>
              <w:bottom w:val="single" w:sz="4" w:space="0" w:color="auto"/>
              <w:right w:val="single" w:sz="4" w:space="0" w:color="auto"/>
            </w:tcBorders>
            <w:shd w:val="clear" w:color="auto" w:fill="auto"/>
            <w:vAlign w:val="center"/>
            <w:hideMark/>
          </w:tcPr>
          <w:p w14:paraId="15DF721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3829D8EB"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69,200,000</w:t>
            </w:r>
          </w:p>
        </w:tc>
        <w:tc>
          <w:tcPr>
            <w:tcW w:w="615" w:type="dxa"/>
            <w:tcBorders>
              <w:top w:val="nil"/>
              <w:left w:val="nil"/>
              <w:bottom w:val="single" w:sz="4" w:space="0" w:color="auto"/>
              <w:right w:val="single" w:sz="4" w:space="0" w:color="auto"/>
            </w:tcBorders>
            <w:shd w:val="clear" w:color="auto" w:fill="auto"/>
            <w:vAlign w:val="center"/>
            <w:hideMark/>
          </w:tcPr>
          <w:p w14:paraId="3873780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2,992,554,000</w:t>
            </w:r>
          </w:p>
        </w:tc>
        <w:tc>
          <w:tcPr>
            <w:tcW w:w="556" w:type="dxa"/>
            <w:tcBorders>
              <w:top w:val="nil"/>
              <w:left w:val="nil"/>
              <w:bottom w:val="single" w:sz="4" w:space="0" w:color="auto"/>
              <w:right w:val="single" w:sz="8" w:space="0" w:color="auto"/>
            </w:tcBorders>
            <w:shd w:val="clear" w:color="auto" w:fill="auto"/>
            <w:noWrap/>
            <w:vAlign w:val="center"/>
            <w:hideMark/>
          </w:tcPr>
          <w:p w14:paraId="40D16BE8"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70,188,796</w:t>
            </w:r>
          </w:p>
        </w:tc>
      </w:tr>
      <w:tr w:rsidR="00F54824" w:rsidRPr="002128A6" w14:paraId="63ED25AE"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5FDF5B38"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Rritja e efektivitetit në gjurmimin, sekuestrim, konfiskimin dhe ripërdorimin e aseteve, duke hequr sistematikisht të ardhurat kriminale dhe duke i riinvestuar për dobi publike</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14:paraId="16BB664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 Agjencia e Administrimit të Pasurive të Sekuestruara dhe Konfiskuara;</w:t>
            </w:r>
          </w:p>
        </w:tc>
        <w:tc>
          <w:tcPr>
            <w:tcW w:w="719" w:type="dxa"/>
            <w:tcBorders>
              <w:top w:val="single" w:sz="4" w:space="0" w:color="auto"/>
              <w:left w:val="nil"/>
              <w:bottom w:val="nil"/>
              <w:right w:val="single" w:sz="4" w:space="0" w:color="auto"/>
            </w:tcBorders>
            <w:shd w:val="clear" w:color="auto" w:fill="auto"/>
            <w:vAlign w:val="center"/>
            <w:hideMark/>
          </w:tcPr>
          <w:p w14:paraId="2E4FCA6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 Ministria e Punëve të Brendshme</w:t>
            </w:r>
          </w:p>
        </w:tc>
        <w:tc>
          <w:tcPr>
            <w:tcW w:w="445" w:type="dxa"/>
            <w:tcBorders>
              <w:top w:val="nil"/>
              <w:left w:val="nil"/>
              <w:bottom w:val="single" w:sz="4" w:space="0" w:color="auto"/>
              <w:right w:val="single" w:sz="4" w:space="0" w:color="auto"/>
            </w:tcBorders>
            <w:shd w:val="clear" w:color="auto" w:fill="auto"/>
            <w:vAlign w:val="center"/>
            <w:hideMark/>
          </w:tcPr>
          <w:p w14:paraId="46156B26"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3EBC697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5D260FA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134,913,400</w:t>
            </w:r>
          </w:p>
        </w:tc>
        <w:tc>
          <w:tcPr>
            <w:tcW w:w="639" w:type="dxa"/>
            <w:tcBorders>
              <w:top w:val="nil"/>
              <w:left w:val="nil"/>
              <w:bottom w:val="single" w:sz="4" w:space="0" w:color="auto"/>
              <w:right w:val="single" w:sz="4" w:space="0" w:color="auto"/>
            </w:tcBorders>
            <w:shd w:val="clear" w:color="auto" w:fill="auto"/>
            <w:vAlign w:val="center"/>
            <w:hideMark/>
          </w:tcPr>
          <w:p w14:paraId="18347B2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3,118,550,000</w:t>
            </w:r>
          </w:p>
        </w:tc>
        <w:tc>
          <w:tcPr>
            <w:tcW w:w="644" w:type="dxa"/>
            <w:tcBorders>
              <w:top w:val="nil"/>
              <w:left w:val="nil"/>
              <w:bottom w:val="single" w:sz="4" w:space="0" w:color="auto"/>
              <w:right w:val="single" w:sz="4" w:space="0" w:color="auto"/>
            </w:tcBorders>
            <w:shd w:val="clear" w:color="auto" w:fill="auto"/>
            <w:vAlign w:val="center"/>
            <w:hideMark/>
          </w:tcPr>
          <w:p w14:paraId="3066359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3,253,463,400</w:t>
            </w:r>
          </w:p>
        </w:tc>
        <w:tc>
          <w:tcPr>
            <w:tcW w:w="644" w:type="dxa"/>
            <w:tcBorders>
              <w:top w:val="nil"/>
              <w:left w:val="nil"/>
              <w:bottom w:val="single" w:sz="4" w:space="0" w:color="auto"/>
              <w:right w:val="single" w:sz="4" w:space="0" w:color="auto"/>
            </w:tcBorders>
            <w:shd w:val="clear" w:color="auto" w:fill="auto"/>
            <w:vAlign w:val="center"/>
            <w:hideMark/>
          </w:tcPr>
          <w:p w14:paraId="5C224C8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81,198,040</w:t>
            </w:r>
          </w:p>
        </w:tc>
        <w:tc>
          <w:tcPr>
            <w:tcW w:w="610" w:type="dxa"/>
            <w:tcBorders>
              <w:top w:val="nil"/>
              <w:left w:val="nil"/>
              <w:bottom w:val="single" w:sz="4" w:space="0" w:color="auto"/>
              <w:right w:val="single" w:sz="4" w:space="0" w:color="auto"/>
            </w:tcBorders>
            <w:shd w:val="clear" w:color="auto" w:fill="auto"/>
            <w:vAlign w:val="center"/>
            <w:hideMark/>
          </w:tcPr>
          <w:p w14:paraId="2ADDAD4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154C7FE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81,198,040</w:t>
            </w:r>
          </w:p>
        </w:tc>
        <w:tc>
          <w:tcPr>
            <w:tcW w:w="615" w:type="dxa"/>
            <w:tcBorders>
              <w:top w:val="nil"/>
              <w:left w:val="nil"/>
              <w:bottom w:val="single" w:sz="4" w:space="0" w:color="auto"/>
              <w:right w:val="single" w:sz="4" w:space="0" w:color="auto"/>
            </w:tcBorders>
            <w:shd w:val="clear" w:color="auto" w:fill="auto"/>
            <w:vAlign w:val="center"/>
            <w:hideMark/>
          </w:tcPr>
          <w:p w14:paraId="32D3092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53,715,360</w:t>
            </w:r>
          </w:p>
        </w:tc>
        <w:tc>
          <w:tcPr>
            <w:tcW w:w="610" w:type="dxa"/>
            <w:tcBorders>
              <w:top w:val="nil"/>
              <w:left w:val="nil"/>
              <w:bottom w:val="single" w:sz="4" w:space="0" w:color="auto"/>
              <w:right w:val="single" w:sz="4" w:space="0" w:color="auto"/>
            </w:tcBorders>
            <w:shd w:val="clear" w:color="auto" w:fill="auto"/>
            <w:vAlign w:val="center"/>
            <w:hideMark/>
          </w:tcPr>
          <w:p w14:paraId="6513B16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1,050,000</w:t>
            </w:r>
          </w:p>
        </w:tc>
        <w:tc>
          <w:tcPr>
            <w:tcW w:w="615" w:type="dxa"/>
            <w:tcBorders>
              <w:top w:val="nil"/>
              <w:left w:val="nil"/>
              <w:bottom w:val="single" w:sz="4" w:space="0" w:color="auto"/>
              <w:right w:val="single" w:sz="4" w:space="0" w:color="auto"/>
            </w:tcBorders>
            <w:shd w:val="clear" w:color="auto" w:fill="auto"/>
            <w:vAlign w:val="center"/>
            <w:hideMark/>
          </w:tcPr>
          <w:p w14:paraId="3F8A97A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54,765,360</w:t>
            </w:r>
          </w:p>
        </w:tc>
        <w:tc>
          <w:tcPr>
            <w:tcW w:w="460" w:type="dxa"/>
            <w:tcBorders>
              <w:top w:val="nil"/>
              <w:left w:val="nil"/>
              <w:bottom w:val="single" w:sz="4" w:space="0" w:color="auto"/>
              <w:right w:val="single" w:sz="4" w:space="0" w:color="auto"/>
            </w:tcBorders>
            <w:shd w:val="clear" w:color="auto" w:fill="auto"/>
            <w:vAlign w:val="center"/>
            <w:hideMark/>
          </w:tcPr>
          <w:p w14:paraId="42E8176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CD7171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3,117,500,000</w:t>
            </w:r>
          </w:p>
        </w:tc>
        <w:tc>
          <w:tcPr>
            <w:tcW w:w="476" w:type="dxa"/>
            <w:tcBorders>
              <w:top w:val="nil"/>
              <w:left w:val="nil"/>
              <w:bottom w:val="single" w:sz="4" w:space="0" w:color="auto"/>
              <w:right w:val="single" w:sz="4" w:space="0" w:color="auto"/>
            </w:tcBorders>
            <w:shd w:val="clear" w:color="auto" w:fill="auto"/>
            <w:vAlign w:val="center"/>
            <w:hideMark/>
          </w:tcPr>
          <w:p w14:paraId="429EE36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6486591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3,117,500,000</w:t>
            </w:r>
          </w:p>
        </w:tc>
        <w:tc>
          <w:tcPr>
            <w:tcW w:w="615" w:type="dxa"/>
            <w:tcBorders>
              <w:top w:val="nil"/>
              <w:left w:val="nil"/>
              <w:bottom w:val="single" w:sz="4" w:space="0" w:color="auto"/>
              <w:right w:val="single" w:sz="4" w:space="0" w:color="auto"/>
            </w:tcBorders>
            <w:shd w:val="clear" w:color="auto" w:fill="auto"/>
            <w:vAlign w:val="center"/>
            <w:hideMark/>
          </w:tcPr>
          <w:p w14:paraId="111447B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5210A740"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34,945,901</w:t>
            </w:r>
          </w:p>
        </w:tc>
      </w:tr>
      <w:tr w:rsidR="00F54824" w:rsidRPr="002128A6" w14:paraId="76407F74"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1BCB5F7A"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Përmirësimi i matshëm në hetimet dhe ndjekjet penale të udhëheqësve dhe anëtarëve të strukturave të krimit të organizuar, e demonstruar me rritjen e dënimeve të rënda dhe ekzekutimit të vendimeve gjyqësore</w:t>
            </w:r>
          </w:p>
        </w:tc>
        <w:tc>
          <w:tcPr>
            <w:tcW w:w="861" w:type="dxa"/>
            <w:tcBorders>
              <w:top w:val="nil"/>
              <w:left w:val="nil"/>
              <w:bottom w:val="nil"/>
              <w:right w:val="single" w:sz="4" w:space="0" w:color="auto"/>
            </w:tcBorders>
            <w:shd w:val="clear" w:color="auto" w:fill="auto"/>
            <w:vAlign w:val="center"/>
            <w:hideMark/>
          </w:tcPr>
          <w:p w14:paraId="641A87E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Ministria e Drejtësisë; Byroja Kombëtare e Hetimit; Drejtoria e Përgjithshme e Burgjeve/Institucionet e Ekzekutimit të Vendimeve Penale; Agjencia e Mbikëqyrjes në Sistemin e Ekzekutimit të Vendimeve Penale; Policia e Shtetit</w:t>
            </w:r>
          </w:p>
        </w:tc>
        <w:tc>
          <w:tcPr>
            <w:tcW w:w="719" w:type="dxa"/>
            <w:tcBorders>
              <w:top w:val="single" w:sz="4" w:space="0" w:color="auto"/>
              <w:left w:val="nil"/>
              <w:bottom w:val="nil"/>
              <w:right w:val="single" w:sz="4" w:space="0" w:color="auto"/>
            </w:tcBorders>
            <w:shd w:val="clear" w:color="auto" w:fill="auto"/>
            <w:vAlign w:val="center"/>
            <w:hideMark/>
          </w:tcPr>
          <w:p w14:paraId="68DDDA00" w14:textId="7744273A"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Byroja Kombëtare e Hetimit; Prokuroria e Posaçme; Gjykatat; Policia e Shtetit; Struktura e Posaçme Kundër Korrupsionit dhe Krimit të Organizuar; Prokuroria e Përgjithshme; Shërbimi Informativ i Shtetit; Ministria e Punëve të Brendshme, INTERPOL</w:t>
            </w:r>
          </w:p>
        </w:tc>
        <w:tc>
          <w:tcPr>
            <w:tcW w:w="445" w:type="dxa"/>
            <w:tcBorders>
              <w:top w:val="nil"/>
              <w:left w:val="nil"/>
              <w:bottom w:val="single" w:sz="4" w:space="0" w:color="auto"/>
              <w:right w:val="single" w:sz="4" w:space="0" w:color="auto"/>
            </w:tcBorders>
            <w:shd w:val="clear" w:color="auto" w:fill="auto"/>
            <w:vAlign w:val="center"/>
            <w:hideMark/>
          </w:tcPr>
          <w:p w14:paraId="22012DB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22434E5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0B208A4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2,830,350,945</w:t>
            </w:r>
          </w:p>
        </w:tc>
        <w:tc>
          <w:tcPr>
            <w:tcW w:w="639" w:type="dxa"/>
            <w:tcBorders>
              <w:top w:val="nil"/>
              <w:left w:val="nil"/>
              <w:bottom w:val="single" w:sz="4" w:space="0" w:color="auto"/>
              <w:right w:val="single" w:sz="4" w:space="0" w:color="auto"/>
            </w:tcBorders>
            <w:shd w:val="clear" w:color="auto" w:fill="auto"/>
            <w:vAlign w:val="center"/>
            <w:hideMark/>
          </w:tcPr>
          <w:p w14:paraId="7A650A7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277,211,000</w:t>
            </w:r>
          </w:p>
        </w:tc>
        <w:tc>
          <w:tcPr>
            <w:tcW w:w="644" w:type="dxa"/>
            <w:tcBorders>
              <w:top w:val="nil"/>
              <w:left w:val="nil"/>
              <w:bottom w:val="single" w:sz="4" w:space="0" w:color="auto"/>
              <w:right w:val="single" w:sz="4" w:space="0" w:color="auto"/>
            </w:tcBorders>
            <w:shd w:val="clear" w:color="auto" w:fill="auto"/>
            <w:vAlign w:val="center"/>
            <w:hideMark/>
          </w:tcPr>
          <w:p w14:paraId="114EBD0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3,107,561,945</w:t>
            </w:r>
          </w:p>
        </w:tc>
        <w:tc>
          <w:tcPr>
            <w:tcW w:w="644" w:type="dxa"/>
            <w:tcBorders>
              <w:top w:val="nil"/>
              <w:left w:val="nil"/>
              <w:bottom w:val="single" w:sz="4" w:space="0" w:color="auto"/>
              <w:right w:val="single" w:sz="4" w:space="0" w:color="auto"/>
            </w:tcBorders>
            <w:shd w:val="clear" w:color="auto" w:fill="auto"/>
            <w:vAlign w:val="center"/>
            <w:hideMark/>
          </w:tcPr>
          <w:p w14:paraId="14B5F0D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1,802,073,943</w:t>
            </w:r>
          </w:p>
        </w:tc>
        <w:tc>
          <w:tcPr>
            <w:tcW w:w="610" w:type="dxa"/>
            <w:tcBorders>
              <w:top w:val="nil"/>
              <w:left w:val="nil"/>
              <w:bottom w:val="single" w:sz="4" w:space="0" w:color="auto"/>
              <w:right w:val="single" w:sz="4" w:space="0" w:color="auto"/>
            </w:tcBorders>
            <w:shd w:val="clear" w:color="auto" w:fill="auto"/>
            <w:vAlign w:val="center"/>
            <w:hideMark/>
          </w:tcPr>
          <w:p w14:paraId="22E505E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227,211,000</w:t>
            </w:r>
          </w:p>
        </w:tc>
        <w:tc>
          <w:tcPr>
            <w:tcW w:w="639" w:type="dxa"/>
            <w:tcBorders>
              <w:top w:val="nil"/>
              <w:left w:val="nil"/>
              <w:bottom w:val="single" w:sz="4" w:space="0" w:color="auto"/>
              <w:right w:val="single" w:sz="4" w:space="0" w:color="auto"/>
            </w:tcBorders>
            <w:shd w:val="clear" w:color="auto" w:fill="auto"/>
            <w:vAlign w:val="center"/>
            <w:hideMark/>
          </w:tcPr>
          <w:p w14:paraId="47213A2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2,029,284,943</w:t>
            </w:r>
          </w:p>
        </w:tc>
        <w:tc>
          <w:tcPr>
            <w:tcW w:w="615" w:type="dxa"/>
            <w:tcBorders>
              <w:top w:val="nil"/>
              <w:left w:val="nil"/>
              <w:bottom w:val="single" w:sz="4" w:space="0" w:color="auto"/>
              <w:right w:val="single" w:sz="4" w:space="0" w:color="auto"/>
            </w:tcBorders>
            <w:shd w:val="clear" w:color="auto" w:fill="auto"/>
            <w:vAlign w:val="center"/>
            <w:hideMark/>
          </w:tcPr>
          <w:p w14:paraId="60C1AB7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1,028,277,002</w:t>
            </w:r>
          </w:p>
        </w:tc>
        <w:tc>
          <w:tcPr>
            <w:tcW w:w="610" w:type="dxa"/>
            <w:tcBorders>
              <w:top w:val="nil"/>
              <w:left w:val="nil"/>
              <w:bottom w:val="single" w:sz="4" w:space="0" w:color="auto"/>
              <w:right w:val="single" w:sz="4" w:space="0" w:color="auto"/>
            </w:tcBorders>
            <w:shd w:val="clear" w:color="auto" w:fill="auto"/>
            <w:vAlign w:val="center"/>
            <w:hideMark/>
          </w:tcPr>
          <w:p w14:paraId="00DBA2E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0505A4B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1,028,277,002</w:t>
            </w:r>
          </w:p>
        </w:tc>
        <w:tc>
          <w:tcPr>
            <w:tcW w:w="460" w:type="dxa"/>
            <w:tcBorders>
              <w:top w:val="nil"/>
              <w:left w:val="nil"/>
              <w:bottom w:val="single" w:sz="4" w:space="0" w:color="auto"/>
              <w:right w:val="single" w:sz="4" w:space="0" w:color="auto"/>
            </w:tcBorders>
            <w:shd w:val="clear" w:color="auto" w:fill="auto"/>
            <w:vAlign w:val="center"/>
            <w:hideMark/>
          </w:tcPr>
          <w:p w14:paraId="448C61F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897E8A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50,000,000</w:t>
            </w:r>
          </w:p>
        </w:tc>
        <w:tc>
          <w:tcPr>
            <w:tcW w:w="476" w:type="dxa"/>
            <w:tcBorders>
              <w:top w:val="nil"/>
              <w:left w:val="nil"/>
              <w:bottom w:val="single" w:sz="4" w:space="0" w:color="auto"/>
              <w:right w:val="single" w:sz="4" w:space="0" w:color="auto"/>
            </w:tcBorders>
            <w:shd w:val="clear" w:color="auto" w:fill="auto"/>
            <w:vAlign w:val="center"/>
            <w:hideMark/>
          </w:tcPr>
          <w:p w14:paraId="56C54308"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68A9671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50,000,000</w:t>
            </w:r>
          </w:p>
        </w:tc>
        <w:tc>
          <w:tcPr>
            <w:tcW w:w="615" w:type="dxa"/>
            <w:tcBorders>
              <w:top w:val="nil"/>
              <w:left w:val="nil"/>
              <w:bottom w:val="single" w:sz="4" w:space="0" w:color="auto"/>
              <w:right w:val="single" w:sz="4" w:space="0" w:color="auto"/>
            </w:tcBorders>
            <w:shd w:val="clear" w:color="auto" w:fill="auto"/>
            <w:vAlign w:val="center"/>
            <w:hideMark/>
          </w:tcPr>
          <w:p w14:paraId="45E5C23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1A597DEC"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33,378,753</w:t>
            </w:r>
          </w:p>
        </w:tc>
      </w:tr>
      <w:tr w:rsidR="00F54824" w:rsidRPr="002128A6" w14:paraId="32B0CE7B"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2366723D"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Reduktimi i ndjeshëm i krimit mjedisor, përmes përmirësimit të mekanizmave të zbulimit, forcimit të kapaciteteve të specializuara hetimore dhe të ndjekjes penale, zhvillimit të hetimeve financiare dhe konfiskimit të përfitimeve të paligjshme, si dhe zgjerimit të bashkëpunimit kombëtar dhe ndërkufitar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14:paraId="2C39539F" w14:textId="70339614"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w:t>
            </w:r>
            <w:r w:rsidR="005C084B" w:rsidRPr="002128A6">
              <w:rPr>
                <w:rFonts w:ascii="Garamond" w:eastAsia="Times New Roman" w:hAnsi="Garamond" w:cs="Times New Roman"/>
                <w:kern w:val="0"/>
                <w:sz w:val="8"/>
                <w:szCs w:val="14"/>
                <w14:ligatures w14:val="none"/>
              </w:rPr>
              <w:t>/</w:t>
            </w:r>
            <w:r w:rsidRPr="002128A6">
              <w:rPr>
                <w:rFonts w:ascii="Garamond" w:eastAsia="Times New Roman" w:hAnsi="Garamond" w:cs="Times New Roman"/>
                <w:kern w:val="0"/>
                <w:sz w:val="8"/>
                <w:szCs w:val="14"/>
                <w14:ligatures w14:val="none"/>
              </w:rPr>
              <w:t>Inspektorati Kombëtar i Mbrojtjes së Territorit; Akademia e Sigurisë; Shkolla e Magjistraturës</w:t>
            </w:r>
          </w:p>
        </w:tc>
        <w:tc>
          <w:tcPr>
            <w:tcW w:w="719" w:type="dxa"/>
            <w:tcBorders>
              <w:top w:val="single" w:sz="4" w:space="0" w:color="auto"/>
              <w:left w:val="nil"/>
              <w:bottom w:val="nil"/>
              <w:right w:val="single" w:sz="4" w:space="0" w:color="auto"/>
            </w:tcBorders>
            <w:shd w:val="clear" w:color="auto" w:fill="auto"/>
            <w:vAlign w:val="center"/>
            <w:hideMark/>
          </w:tcPr>
          <w:p w14:paraId="2E49BCD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Prokuroria e Përgjithshme; Byroja Kombëtare e Hetimit; Ministria e Mjedisit; Inspektorati i Përgjithshëm; Policia e Shtetit</w:t>
            </w:r>
          </w:p>
        </w:tc>
        <w:tc>
          <w:tcPr>
            <w:tcW w:w="445" w:type="dxa"/>
            <w:tcBorders>
              <w:top w:val="nil"/>
              <w:left w:val="nil"/>
              <w:bottom w:val="single" w:sz="4" w:space="0" w:color="auto"/>
              <w:right w:val="single" w:sz="4" w:space="0" w:color="auto"/>
            </w:tcBorders>
            <w:shd w:val="clear" w:color="auto" w:fill="auto"/>
            <w:vAlign w:val="center"/>
            <w:hideMark/>
          </w:tcPr>
          <w:p w14:paraId="5DDEB29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43770C7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4925625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76,977,435</w:t>
            </w:r>
          </w:p>
        </w:tc>
        <w:tc>
          <w:tcPr>
            <w:tcW w:w="639" w:type="dxa"/>
            <w:tcBorders>
              <w:top w:val="nil"/>
              <w:left w:val="nil"/>
              <w:bottom w:val="single" w:sz="4" w:space="0" w:color="auto"/>
              <w:right w:val="single" w:sz="4" w:space="0" w:color="auto"/>
            </w:tcBorders>
            <w:shd w:val="clear" w:color="auto" w:fill="auto"/>
            <w:vAlign w:val="center"/>
            <w:hideMark/>
          </w:tcPr>
          <w:p w14:paraId="3A3A267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44" w:type="dxa"/>
            <w:tcBorders>
              <w:top w:val="nil"/>
              <w:left w:val="nil"/>
              <w:bottom w:val="single" w:sz="4" w:space="0" w:color="auto"/>
              <w:right w:val="single" w:sz="4" w:space="0" w:color="auto"/>
            </w:tcBorders>
            <w:shd w:val="clear" w:color="auto" w:fill="auto"/>
            <w:vAlign w:val="center"/>
            <w:hideMark/>
          </w:tcPr>
          <w:p w14:paraId="63E2063B"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76,977,435</w:t>
            </w:r>
          </w:p>
        </w:tc>
        <w:tc>
          <w:tcPr>
            <w:tcW w:w="644" w:type="dxa"/>
            <w:tcBorders>
              <w:top w:val="nil"/>
              <w:left w:val="nil"/>
              <w:bottom w:val="single" w:sz="4" w:space="0" w:color="auto"/>
              <w:right w:val="single" w:sz="4" w:space="0" w:color="auto"/>
            </w:tcBorders>
            <w:shd w:val="clear" w:color="auto" w:fill="auto"/>
            <w:vAlign w:val="center"/>
            <w:hideMark/>
          </w:tcPr>
          <w:p w14:paraId="7115FA5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46,294,461</w:t>
            </w:r>
          </w:p>
        </w:tc>
        <w:tc>
          <w:tcPr>
            <w:tcW w:w="610" w:type="dxa"/>
            <w:tcBorders>
              <w:top w:val="nil"/>
              <w:left w:val="nil"/>
              <w:bottom w:val="single" w:sz="4" w:space="0" w:color="auto"/>
              <w:right w:val="single" w:sz="4" w:space="0" w:color="auto"/>
            </w:tcBorders>
            <w:shd w:val="clear" w:color="auto" w:fill="auto"/>
            <w:vAlign w:val="center"/>
            <w:hideMark/>
          </w:tcPr>
          <w:p w14:paraId="7331036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3A5CDB7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46,294,461</w:t>
            </w:r>
          </w:p>
        </w:tc>
        <w:tc>
          <w:tcPr>
            <w:tcW w:w="615" w:type="dxa"/>
            <w:tcBorders>
              <w:top w:val="nil"/>
              <w:left w:val="nil"/>
              <w:bottom w:val="single" w:sz="4" w:space="0" w:color="auto"/>
              <w:right w:val="single" w:sz="4" w:space="0" w:color="auto"/>
            </w:tcBorders>
            <w:shd w:val="clear" w:color="auto" w:fill="auto"/>
            <w:vAlign w:val="center"/>
            <w:hideMark/>
          </w:tcPr>
          <w:p w14:paraId="175B411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30,682,974</w:t>
            </w:r>
          </w:p>
        </w:tc>
        <w:tc>
          <w:tcPr>
            <w:tcW w:w="610" w:type="dxa"/>
            <w:tcBorders>
              <w:top w:val="nil"/>
              <w:left w:val="nil"/>
              <w:bottom w:val="single" w:sz="4" w:space="0" w:color="auto"/>
              <w:right w:val="single" w:sz="4" w:space="0" w:color="auto"/>
            </w:tcBorders>
            <w:shd w:val="clear" w:color="auto" w:fill="auto"/>
            <w:vAlign w:val="center"/>
            <w:hideMark/>
          </w:tcPr>
          <w:p w14:paraId="22DDBED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2FEE242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30,682,974</w:t>
            </w:r>
          </w:p>
        </w:tc>
        <w:tc>
          <w:tcPr>
            <w:tcW w:w="460" w:type="dxa"/>
            <w:tcBorders>
              <w:top w:val="nil"/>
              <w:left w:val="nil"/>
              <w:bottom w:val="single" w:sz="4" w:space="0" w:color="auto"/>
              <w:right w:val="single" w:sz="4" w:space="0" w:color="auto"/>
            </w:tcBorders>
            <w:shd w:val="clear" w:color="auto" w:fill="auto"/>
            <w:vAlign w:val="center"/>
            <w:hideMark/>
          </w:tcPr>
          <w:p w14:paraId="5DECD56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61C40BA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39004F8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BF7AE8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47F0667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6C988846"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826,825</w:t>
            </w:r>
          </w:p>
        </w:tc>
      </w:tr>
      <w:tr w:rsidR="00F54824" w:rsidRPr="002128A6" w14:paraId="22CA3ED4"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43EE11A3"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Rritja efektivitetit të ndjekjes ndërkombëtare të personave të kërkuar, e demonstruar përmes normave më të larta të arrestimit dhe ekzekutimit në kohë të procedurave të ekstradimit</w:t>
            </w:r>
          </w:p>
        </w:tc>
        <w:tc>
          <w:tcPr>
            <w:tcW w:w="861" w:type="dxa"/>
            <w:tcBorders>
              <w:top w:val="nil"/>
              <w:left w:val="nil"/>
              <w:bottom w:val="single" w:sz="4" w:space="0" w:color="auto"/>
              <w:right w:val="single" w:sz="4" w:space="0" w:color="auto"/>
            </w:tcBorders>
            <w:shd w:val="clear" w:color="000000" w:fill="FFFFFF"/>
            <w:vAlign w:val="center"/>
            <w:hideMark/>
          </w:tcPr>
          <w:p w14:paraId="1F27629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w:t>
            </w:r>
          </w:p>
        </w:tc>
        <w:tc>
          <w:tcPr>
            <w:tcW w:w="719" w:type="dxa"/>
            <w:tcBorders>
              <w:top w:val="single" w:sz="4" w:space="0" w:color="auto"/>
              <w:left w:val="nil"/>
              <w:bottom w:val="nil"/>
              <w:right w:val="single" w:sz="4" w:space="0" w:color="auto"/>
            </w:tcBorders>
            <w:shd w:val="clear" w:color="auto" w:fill="auto"/>
            <w:vAlign w:val="center"/>
            <w:hideMark/>
          </w:tcPr>
          <w:p w14:paraId="44FE4CE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Ministria e Drejtësisë; EUROPOL; INTERPOL; Shërbimi Informativ i Shtetit</w:t>
            </w:r>
          </w:p>
        </w:tc>
        <w:tc>
          <w:tcPr>
            <w:tcW w:w="445" w:type="dxa"/>
            <w:tcBorders>
              <w:top w:val="nil"/>
              <w:left w:val="nil"/>
              <w:bottom w:val="single" w:sz="4" w:space="0" w:color="auto"/>
              <w:right w:val="single" w:sz="4" w:space="0" w:color="auto"/>
            </w:tcBorders>
            <w:shd w:val="clear" w:color="auto" w:fill="auto"/>
            <w:vAlign w:val="center"/>
            <w:hideMark/>
          </w:tcPr>
          <w:p w14:paraId="6AD8A15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13B270A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3F97AB3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521,416,485</w:t>
            </w:r>
          </w:p>
        </w:tc>
        <w:tc>
          <w:tcPr>
            <w:tcW w:w="639" w:type="dxa"/>
            <w:tcBorders>
              <w:top w:val="nil"/>
              <w:left w:val="nil"/>
              <w:bottom w:val="single" w:sz="4" w:space="0" w:color="auto"/>
              <w:right w:val="single" w:sz="4" w:space="0" w:color="auto"/>
            </w:tcBorders>
            <w:shd w:val="clear" w:color="auto" w:fill="auto"/>
            <w:vAlign w:val="center"/>
            <w:hideMark/>
          </w:tcPr>
          <w:p w14:paraId="3890A8A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44" w:type="dxa"/>
            <w:tcBorders>
              <w:top w:val="nil"/>
              <w:left w:val="nil"/>
              <w:bottom w:val="single" w:sz="4" w:space="0" w:color="auto"/>
              <w:right w:val="single" w:sz="4" w:space="0" w:color="auto"/>
            </w:tcBorders>
            <w:shd w:val="clear" w:color="auto" w:fill="auto"/>
            <w:vAlign w:val="center"/>
            <w:hideMark/>
          </w:tcPr>
          <w:p w14:paraId="20A2438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521,416,485</w:t>
            </w:r>
          </w:p>
        </w:tc>
        <w:tc>
          <w:tcPr>
            <w:tcW w:w="644" w:type="dxa"/>
            <w:tcBorders>
              <w:top w:val="nil"/>
              <w:left w:val="nil"/>
              <w:bottom w:val="single" w:sz="4" w:space="0" w:color="auto"/>
              <w:right w:val="single" w:sz="4" w:space="0" w:color="auto"/>
            </w:tcBorders>
            <w:shd w:val="clear" w:color="auto" w:fill="auto"/>
            <w:vAlign w:val="center"/>
            <w:hideMark/>
          </w:tcPr>
          <w:p w14:paraId="0C04F1A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391,790,883</w:t>
            </w:r>
          </w:p>
        </w:tc>
        <w:tc>
          <w:tcPr>
            <w:tcW w:w="610" w:type="dxa"/>
            <w:tcBorders>
              <w:top w:val="nil"/>
              <w:left w:val="nil"/>
              <w:bottom w:val="single" w:sz="4" w:space="0" w:color="auto"/>
              <w:right w:val="single" w:sz="4" w:space="0" w:color="auto"/>
            </w:tcBorders>
            <w:shd w:val="clear" w:color="auto" w:fill="auto"/>
            <w:vAlign w:val="center"/>
            <w:hideMark/>
          </w:tcPr>
          <w:p w14:paraId="34B841B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1BBD77A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391,790,883</w:t>
            </w:r>
          </w:p>
        </w:tc>
        <w:tc>
          <w:tcPr>
            <w:tcW w:w="615" w:type="dxa"/>
            <w:tcBorders>
              <w:top w:val="nil"/>
              <w:left w:val="nil"/>
              <w:bottom w:val="single" w:sz="4" w:space="0" w:color="auto"/>
              <w:right w:val="single" w:sz="4" w:space="0" w:color="auto"/>
            </w:tcBorders>
            <w:shd w:val="clear" w:color="auto" w:fill="auto"/>
            <w:vAlign w:val="center"/>
            <w:hideMark/>
          </w:tcPr>
          <w:p w14:paraId="4EA3EC4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129,625,602</w:t>
            </w:r>
          </w:p>
        </w:tc>
        <w:tc>
          <w:tcPr>
            <w:tcW w:w="610" w:type="dxa"/>
            <w:tcBorders>
              <w:top w:val="nil"/>
              <w:left w:val="nil"/>
              <w:bottom w:val="single" w:sz="4" w:space="0" w:color="auto"/>
              <w:right w:val="single" w:sz="4" w:space="0" w:color="auto"/>
            </w:tcBorders>
            <w:shd w:val="clear" w:color="auto" w:fill="auto"/>
            <w:vAlign w:val="center"/>
            <w:hideMark/>
          </w:tcPr>
          <w:p w14:paraId="01AD2D6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6BB288D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129,625,602</w:t>
            </w:r>
          </w:p>
        </w:tc>
        <w:tc>
          <w:tcPr>
            <w:tcW w:w="460" w:type="dxa"/>
            <w:tcBorders>
              <w:top w:val="nil"/>
              <w:left w:val="nil"/>
              <w:bottom w:val="single" w:sz="4" w:space="0" w:color="auto"/>
              <w:right w:val="single" w:sz="4" w:space="0" w:color="auto"/>
            </w:tcBorders>
            <w:shd w:val="clear" w:color="auto" w:fill="auto"/>
            <w:vAlign w:val="center"/>
            <w:hideMark/>
          </w:tcPr>
          <w:p w14:paraId="3B37F56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6CCE267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3BA5957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A63DCF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44207DF8"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2D8D5A3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5,600,607</w:t>
            </w:r>
          </w:p>
        </w:tc>
      </w:tr>
      <w:tr w:rsidR="00F54824" w:rsidRPr="002128A6" w14:paraId="1012ACB7" w14:textId="77777777" w:rsidTr="00152EE7">
        <w:trPr>
          <w:trHeight w:val="20"/>
        </w:trPr>
        <w:tc>
          <w:tcPr>
            <w:tcW w:w="2275" w:type="dxa"/>
            <w:tcBorders>
              <w:top w:val="nil"/>
              <w:left w:val="single" w:sz="8" w:space="0" w:color="auto"/>
              <w:bottom w:val="single" w:sz="8" w:space="0" w:color="auto"/>
              <w:right w:val="single" w:sz="4" w:space="0" w:color="auto"/>
            </w:tcBorders>
            <w:shd w:val="clear" w:color="000000" w:fill="E2EFDA"/>
            <w:vAlign w:val="center"/>
            <w:hideMark/>
          </w:tcPr>
          <w:p w14:paraId="43D91EDC" w14:textId="5947BECD"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Kosto</w:t>
            </w:r>
            <w:r w:rsidR="008A598F" w:rsidRPr="002128A6">
              <w:rPr>
                <w:rFonts w:ascii="Garamond" w:eastAsia="Times New Roman" w:hAnsi="Garamond" w:cs="Times New Roman"/>
                <w:b/>
                <w:bCs/>
                <w:kern w:val="0"/>
                <w:sz w:val="8"/>
                <w:szCs w:val="14"/>
                <w14:ligatures w14:val="none"/>
              </w:rPr>
              <w:t>ja</w:t>
            </w:r>
            <w:r w:rsidRPr="002128A6">
              <w:rPr>
                <w:rFonts w:ascii="Garamond" w:eastAsia="Times New Roman" w:hAnsi="Garamond" w:cs="Times New Roman"/>
                <w:b/>
                <w:bCs/>
                <w:kern w:val="0"/>
                <w:sz w:val="8"/>
                <w:szCs w:val="14"/>
                <w14:ligatures w14:val="none"/>
              </w:rPr>
              <w:t xml:space="preserve"> totale Qëllimi i Politikës II</w:t>
            </w:r>
            <w:r w:rsidRPr="002128A6">
              <w:rPr>
                <w:rFonts w:ascii="Garamond" w:eastAsia="Times New Roman" w:hAnsi="Garamond" w:cs="Times New Roman"/>
                <w:b/>
                <w:bCs/>
                <w:kern w:val="0"/>
                <w:sz w:val="8"/>
                <w:szCs w:val="14"/>
                <w14:ligatures w14:val="none"/>
              </w:rPr>
              <w:br/>
              <w:t>(objektiva specifik</w:t>
            </w:r>
            <w:r w:rsidR="008A598F" w:rsidRPr="002128A6">
              <w:rPr>
                <w:rFonts w:ascii="Garamond" w:eastAsia="Times New Roman" w:hAnsi="Garamond" w:cs="Times New Roman"/>
                <w:b/>
                <w:bCs/>
                <w:kern w:val="0"/>
                <w:sz w:val="8"/>
                <w:szCs w:val="14"/>
                <w14:ligatures w14:val="none"/>
              </w:rPr>
              <w:t>ë</w:t>
            </w:r>
            <w:r w:rsidRPr="002128A6">
              <w:rPr>
                <w:rFonts w:ascii="Garamond" w:eastAsia="Times New Roman" w:hAnsi="Garamond" w:cs="Times New Roman"/>
                <w:b/>
                <w:bCs/>
                <w:kern w:val="0"/>
                <w:sz w:val="8"/>
                <w:szCs w:val="14"/>
                <w14:ligatures w14:val="none"/>
              </w:rPr>
              <w:t xml:space="preserve"> 2.1+2.2+2.3+2.4+2.5+2.6+2.7+2.8+2.9)</w:t>
            </w:r>
          </w:p>
        </w:tc>
        <w:tc>
          <w:tcPr>
            <w:tcW w:w="861" w:type="dxa"/>
            <w:tcBorders>
              <w:top w:val="nil"/>
              <w:left w:val="nil"/>
              <w:bottom w:val="single" w:sz="8" w:space="0" w:color="auto"/>
              <w:right w:val="single" w:sz="4" w:space="0" w:color="auto"/>
            </w:tcBorders>
            <w:shd w:val="clear" w:color="000000" w:fill="E2EFDA"/>
            <w:noWrap/>
            <w:vAlign w:val="bottom"/>
            <w:hideMark/>
          </w:tcPr>
          <w:p w14:paraId="7B81C193"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719" w:type="dxa"/>
            <w:tcBorders>
              <w:top w:val="single" w:sz="4" w:space="0" w:color="auto"/>
              <w:left w:val="nil"/>
              <w:bottom w:val="single" w:sz="8" w:space="0" w:color="auto"/>
              <w:right w:val="single" w:sz="4" w:space="0" w:color="auto"/>
            </w:tcBorders>
            <w:shd w:val="clear" w:color="000000" w:fill="E2EFDA"/>
            <w:noWrap/>
            <w:vAlign w:val="bottom"/>
            <w:hideMark/>
          </w:tcPr>
          <w:p w14:paraId="3BEC1492"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445" w:type="dxa"/>
            <w:tcBorders>
              <w:top w:val="nil"/>
              <w:left w:val="nil"/>
              <w:bottom w:val="single" w:sz="8" w:space="0" w:color="auto"/>
              <w:right w:val="single" w:sz="4" w:space="0" w:color="auto"/>
            </w:tcBorders>
            <w:shd w:val="clear" w:color="000000" w:fill="E2EFDA"/>
            <w:noWrap/>
            <w:vAlign w:val="bottom"/>
            <w:hideMark/>
          </w:tcPr>
          <w:p w14:paraId="6ADDFBBB"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509" w:type="dxa"/>
            <w:tcBorders>
              <w:top w:val="nil"/>
              <w:left w:val="nil"/>
              <w:bottom w:val="single" w:sz="8" w:space="0" w:color="auto"/>
              <w:right w:val="single" w:sz="4" w:space="0" w:color="auto"/>
            </w:tcBorders>
            <w:shd w:val="clear" w:color="000000" w:fill="E2EFDA"/>
            <w:noWrap/>
            <w:vAlign w:val="bottom"/>
            <w:hideMark/>
          </w:tcPr>
          <w:p w14:paraId="610F14D7"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639" w:type="dxa"/>
            <w:tcBorders>
              <w:top w:val="nil"/>
              <w:left w:val="nil"/>
              <w:bottom w:val="single" w:sz="8" w:space="0" w:color="auto"/>
              <w:right w:val="single" w:sz="4" w:space="0" w:color="auto"/>
            </w:tcBorders>
            <w:shd w:val="clear" w:color="000000" w:fill="E2EFDA"/>
            <w:noWrap/>
            <w:vAlign w:val="center"/>
            <w:hideMark/>
          </w:tcPr>
          <w:p w14:paraId="1A9F692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11,744,518,345</w:t>
            </w:r>
          </w:p>
        </w:tc>
        <w:tc>
          <w:tcPr>
            <w:tcW w:w="639" w:type="dxa"/>
            <w:tcBorders>
              <w:top w:val="nil"/>
              <w:left w:val="nil"/>
              <w:bottom w:val="single" w:sz="8" w:space="0" w:color="auto"/>
              <w:right w:val="single" w:sz="4" w:space="0" w:color="auto"/>
            </w:tcBorders>
            <w:shd w:val="clear" w:color="000000" w:fill="E2EFDA"/>
            <w:noWrap/>
            <w:vAlign w:val="center"/>
            <w:hideMark/>
          </w:tcPr>
          <w:p w14:paraId="7090D57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10,025,199,998</w:t>
            </w:r>
          </w:p>
        </w:tc>
        <w:tc>
          <w:tcPr>
            <w:tcW w:w="644" w:type="dxa"/>
            <w:tcBorders>
              <w:top w:val="nil"/>
              <w:left w:val="nil"/>
              <w:bottom w:val="single" w:sz="8" w:space="0" w:color="auto"/>
              <w:right w:val="single" w:sz="4" w:space="0" w:color="auto"/>
            </w:tcBorders>
            <w:shd w:val="clear" w:color="000000" w:fill="E2EFDA"/>
            <w:noWrap/>
            <w:vAlign w:val="center"/>
            <w:hideMark/>
          </w:tcPr>
          <w:p w14:paraId="7F5A95E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21,769,718,343</w:t>
            </w:r>
          </w:p>
        </w:tc>
        <w:tc>
          <w:tcPr>
            <w:tcW w:w="644" w:type="dxa"/>
            <w:tcBorders>
              <w:top w:val="nil"/>
              <w:left w:val="nil"/>
              <w:bottom w:val="single" w:sz="8" w:space="0" w:color="auto"/>
              <w:right w:val="single" w:sz="4" w:space="0" w:color="auto"/>
            </w:tcBorders>
            <w:shd w:val="clear" w:color="000000" w:fill="E2EFDA"/>
            <w:noWrap/>
            <w:vAlign w:val="center"/>
            <w:hideMark/>
          </w:tcPr>
          <w:p w14:paraId="51352D4F"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7,348,567,277</w:t>
            </w:r>
          </w:p>
        </w:tc>
        <w:tc>
          <w:tcPr>
            <w:tcW w:w="610" w:type="dxa"/>
            <w:tcBorders>
              <w:top w:val="nil"/>
              <w:left w:val="nil"/>
              <w:bottom w:val="single" w:sz="8" w:space="0" w:color="auto"/>
              <w:right w:val="single" w:sz="4" w:space="0" w:color="auto"/>
            </w:tcBorders>
            <w:shd w:val="clear" w:color="000000" w:fill="E2EFDA"/>
            <w:noWrap/>
            <w:vAlign w:val="center"/>
            <w:hideMark/>
          </w:tcPr>
          <w:p w14:paraId="001815A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1,092,660,998</w:t>
            </w:r>
          </w:p>
        </w:tc>
        <w:tc>
          <w:tcPr>
            <w:tcW w:w="639" w:type="dxa"/>
            <w:tcBorders>
              <w:top w:val="nil"/>
              <w:left w:val="nil"/>
              <w:bottom w:val="single" w:sz="8" w:space="0" w:color="auto"/>
              <w:right w:val="single" w:sz="4" w:space="0" w:color="auto"/>
            </w:tcBorders>
            <w:shd w:val="clear" w:color="000000" w:fill="E2EFDA"/>
            <w:noWrap/>
            <w:vAlign w:val="center"/>
            <w:hideMark/>
          </w:tcPr>
          <w:p w14:paraId="37046FD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8,441,228,275</w:t>
            </w:r>
          </w:p>
        </w:tc>
        <w:tc>
          <w:tcPr>
            <w:tcW w:w="615" w:type="dxa"/>
            <w:tcBorders>
              <w:top w:val="nil"/>
              <w:left w:val="nil"/>
              <w:bottom w:val="single" w:sz="8" w:space="0" w:color="auto"/>
              <w:right w:val="single" w:sz="4" w:space="0" w:color="auto"/>
            </w:tcBorders>
            <w:shd w:val="clear" w:color="000000" w:fill="E2EFDA"/>
            <w:noWrap/>
            <w:vAlign w:val="center"/>
            <w:hideMark/>
          </w:tcPr>
          <w:p w14:paraId="4043EE8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4,395,951,068</w:t>
            </w:r>
          </w:p>
        </w:tc>
        <w:tc>
          <w:tcPr>
            <w:tcW w:w="610" w:type="dxa"/>
            <w:tcBorders>
              <w:top w:val="nil"/>
              <w:left w:val="nil"/>
              <w:bottom w:val="single" w:sz="8" w:space="0" w:color="auto"/>
              <w:right w:val="single" w:sz="4" w:space="0" w:color="auto"/>
            </w:tcBorders>
            <w:shd w:val="clear" w:color="000000" w:fill="E2EFDA"/>
            <w:noWrap/>
            <w:vAlign w:val="center"/>
            <w:hideMark/>
          </w:tcPr>
          <w:p w14:paraId="092209C9"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2,701,050,000</w:t>
            </w:r>
          </w:p>
        </w:tc>
        <w:tc>
          <w:tcPr>
            <w:tcW w:w="615" w:type="dxa"/>
            <w:tcBorders>
              <w:top w:val="nil"/>
              <w:left w:val="nil"/>
              <w:bottom w:val="single" w:sz="8" w:space="0" w:color="auto"/>
              <w:right w:val="single" w:sz="4" w:space="0" w:color="auto"/>
            </w:tcBorders>
            <w:shd w:val="clear" w:color="000000" w:fill="E2EFDA"/>
            <w:noWrap/>
            <w:vAlign w:val="center"/>
            <w:hideMark/>
          </w:tcPr>
          <w:p w14:paraId="79DE1099"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7,097,001,068</w:t>
            </w:r>
          </w:p>
        </w:tc>
        <w:tc>
          <w:tcPr>
            <w:tcW w:w="460" w:type="dxa"/>
            <w:tcBorders>
              <w:top w:val="nil"/>
              <w:left w:val="nil"/>
              <w:bottom w:val="single" w:sz="8" w:space="0" w:color="auto"/>
              <w:right w:val="single" w:sz="4" w:space="0" w:color="auto"/>
            </w:tcBorders>
            <w:shd w:val="clear" w:color="000000" w:fill="E2EFDA"/>
            <w:noWrap/>
            <w:vAlign w:val="center"/>
            <w:hideMark/>
          </w:tcPr>
          <w:p w14:paraId="572FC0B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5E00B4CC"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3,238,935,000</w:t>
            </w:r>
          </w:p>
        </w:tc>
        <w:tc>
          <w:tcPr>
            <w:tcW w:w="476" w:type="dxa"/>
            <w:tcBorders>
              <w:top w:val="nil"/>
              <w:left w:val="nil"/>
              <w:bottom w:val="single" w:sz="8" w:space="0" w:color="auto"/>
              <w:right w:val="single" w:sz="4" w:space="0" w:color="auto"/>
            </w:tcBorders>
            <w:shd w:val="clear" w:color="000000" w:fill="E2EFDA"/>
            <w:noWrap/>
            <w:vAlign w:val="center"/>
            <w:hideMark/>
          </w:tcPr>
          <w:p w14:paraId="5C24D62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0C390438"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3,238,935,000</w:t>
            </w:r>
          </w:p>
        </w:tc>
        <w:tc>
          <w:tcPr>
            <w:tcW w:w="615" w:type="dxa"/>
            <w:tcBorders>
              <w:top w:val="nil"/>
              <w:left w:val="nil"/>
              <w:bottom w:val="single" w:sz="8" w:space="0" w:color="auto"/>
              <w:right w:val="single" w:sz="4" w:space="0" w:color="auto"/>
            </w:tcBorders>
            <w:shd w:val="clear" w:color="000000" w:fill="E2EFDA"/>
            <w:noWrap/>
            <w:vAlign w:val="center"/>
            <w:hideMark/>
          </w:tcPr>
          <w:p w14:paraId="02638E99"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2,992,554,000</w:t>
            </w:r>
          </w:p>
        </w:tc>
        <w:tc>
          <w:tcPr>
            <w:tcW w:w="556" w:type="dxa"/>
            <w:tcBorders>
              <w:top w:val="nil"/>
              <w:left w:val="nil"/>
              <w:bottom w:val="single" w:sz="8" w:space="0" w:color="auto"/>
              <w:right w:val="single" w:sz="8" w:space="0" w:color="auto"/>
            </w:tcBorders>
            <w:shd w:val="clear" w:color="000000" w:fill="92D050"/>
            <w:noWrap/>
            <w:vAlign w:val="center"/>
            <w:hideMark/>
          </w:tcPr>
          <w:p w14:paraId="4062242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233,831,561</w:t>
            </w:r>
          </w:p>
        </w:tc>
      </w:tr>
      <w:tr w:rsidR="00F54824" w:rsidRPr="002128A6" w14:paraId="2CCC8C18" w14:textId="77777777" w:rsidTr="00152EE7">
        <w:trPr>
          <w:trHeight w:val="20"/>
        </w:trPr>
        <w:tc>
          <w:tcPr>
            <w:tcW w:w="13801" w:type="dxa"/>
            <w:gridSpan w:val="20"/>
            <w:tcBorders>
              <w:top w:val="single" w:sz="8" w:space="0" w:color="auto"/>
              <w:left w:val="single" w:sz="8" w:space="0" w:color="auto"/>
              <w:bottom w:val="single" w:sz="8" w:space="0" w:color="auto"/>
              <w:right w:val="single" w:sz="8" w:space="0" w:color="000000"/>
            </w:tcBorders>
            <w:shd w:val="clear" w:color="auto" w:fill="auto"/>
            <w:vAlign w:val="bottom"/>
            <w:hideMark/>
          </w:tcPr>
          <w:p w14:paraId="3778B535"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Qëllimi i Politikës III: </w:t>
            </w:r>
            <w:r w:rsidRPr="002128A6">
              <w:rPr>
                <w:rFonts w:ascii="Garamond" w:eastAsia="Times New Roman" w:hAnsi="Garamond" w:cs="Times New Roman"/>
                <w:kern w:val="0"/>
                <w:sz w:val="8"/>
                <w:szCs w:val="14"/>
                <w14:ligatures w14:val="none"/>
              </w:rPr>
              <w:t>BASHKËPUNIMI KOMBËTAR DHE NDËRKOMBËTAR</w:t>
            </w:r>
          </w:p>
        </w:tc>
      </w:tr>
      <w:tr w:rsidR="00F54824" w:rsidRPr="002128A6" w14:paraId="4D3B1F84" w14:textId="77777777" w:rsidTr="00152EE7">
        <w:trPr>
          <w:trHeight w:val="20"/>
        </w:trPr>
        <w:tc>
          <w:tcPr>
            <w:tcW w:w="2275" w:type="dxa"/>
            <w:vMerge w:val="restart"/>
            <w:tcBorders>
              <w:top w:val="nil"/>
              <w:left w:val="single" w:sz="8" w:space="0" w:color="auto"/>
              <w:bottom w:val="single" w:sz="8" w:space="0" w:color="auto"/>
              <w:right w:val="single" w:sz="8" w:space="0" w:color="auto"/>
            </w:tcBorders>
            <w:shd w:val="clear" w:color="auto" w:fill="auto"/>
            <w:vAlign w:val="center"/>
            <w:hideMark/>
          </w:tcPr>
          <w:p w14:paraId="3E274664" w14:textId="233CB4B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Objektivat </w:t>
            </w:r>
            <w:r w:rsidR="008A598F" w:rsidRPr="002128A6">
              <w:rPr>
                <w:rFonts w:ascii="Garamond" w:eastAsia="Times New Roman" w:hAnsi="Garamond" w:cs="Times New Roman"/>
                <w:b/>
                <w:bCs/>
                <w:kern w:val="0"/>
                <w:sz w:val="8"/>
                <w:szCs w:val="14"/>
                <w14:ligatures w14:val="none"/>
              </w:rPr>
              <w:t>specifikë</w:t>
            </w:r>
          </w:p>
        </w:tc>
        <w:tc>
          <w:tcPr>
            <w:tcW w:w="1580" w:type="dxa"/>
            <w:gridSpan w:val="2"/>
            <w:tcBorders>
              <w:top w:val="single" w:sz="8" w:space="0" w:color="auto"/>
              <w:left w:val="nil"/>
              <w:bottom w:val="single" w:sz="8" w:space="0" w:color="auto"/>
              <w:right w:val="single" w:sz="8" w:space="0" w:color="auto"/>
            </w:tcBorders>
            <w:shd w:val="clear" w:color="000000" w:fill="FFFFFF"/>
            <w:vAlign w:val="center"/>
            <w:hideMark/>
          </w:tcPr>
          <w:p w14:paraId="03C443B9" w14:textId="6C69F541"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Institucionet përgjegjëse</w:t>
            </w:r>
          </w:p>
        </w:tc>
        <w:tc>
          <w:tcPr>
            <w:tcW w:w="954" w:type="dxa"/>
            <w:gridSpan w:val="2"/>
            <w:tcBorders>
              <w:top w:val="single" w:sz="8" w:space="0" w:color="auto"/>
              <w:left w:val="nil"/>
              <w:bottom w:val="single" w:sz="8" w:space="0" w:color="auto"/>
              <w:right w:val="single" w:sz="8" w:space="0" w:color="auto"/>
            </w:tcBorders>
            <w:shd w:val="clear" w:color="000000" w:fill="FFFFFF"/>
            <w:vAlign w:val="center"/>
            <w:hideMark/>
          </w:tcPr>
          <w:p w14:paraId="1B66B81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Afati i Zbatimit </w:t>
            </w:r>
          </w:p>
        </w:tc>
        <w:tc>
          <w:tcPr>
            <w:tcW w:w="1922"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EB0564A" w14:textId="51E9BA20"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Kosto</w:t>
            </w:r>
            <w:r w:rsidR="008A598F" w:rsidRPr="002128A6">
              <w:rPr>
                <w:rFonts w:ascii="Garamond" w:eastAsia="Times New Roman" w:hAnsi="Garamond" w:cs="Times New Roman"/>
                <w:b/>
                <w:bCs/>
                <w:kern w:val="0"/>
                <w:sz w:val="8"/>
                <w:szCs w:val="14"/>
                <w14:ligatures w14:val="none"/>
              </w:rPr>
              <w:t>ja i</w:t>
            </w:r>
            <w:r w:rsidRPr="002128A6">
              <w:rPr>
                <w:rFonts w:ascii="Garamond" w:eastAsia="Times New Roman" w:hAnsi="Garamond" w:cs="Times New Roman"/>
                <w:b/>
                <w:bCs/>
                <w:kern w:val="0"/>
                <w:sz w:val="8"/>
                <w:szCs w:val="14"/>
                <w14:ligatures w14:val="none"/>
              </w:rPr>
              <w:t xml:space="preserve">ndiktive </w:t>
            </w:r>
            <w:r w:rsidR="008A598F" w:rsidRPr="002128A6">
              <w:rPr>
                <w:rFonts w:ascii="Garamond" w:eastAsia="Times New Roman" w:hAnsi="Garamond" w:cs="Times New Roman"/>
                <w:b/>
                <w:bCs/>
                <w:kern w:val="0"/>
                <w:sz w:val="8"/>
                <w:szCs w:val="14"/>
                <w14:ligatures w14:val="none"/>
              </w:rPr>
              <w:t>t</w:t>
            </w:r>
            <w:r w:rsidRPr="002128A6">
              <w:rPr>
                <w:rFonts w:ascii="Garamond" w:eastAsia="Times New Roman" w:hAnsi="Garamond" w:cs="Times New Roman"/>
                <w:b/>
                <w:bCs/>
                <w:kern w:val="0"/>
                <w:sz w:val="8"/>
                <w:szCs w:val="14"/>
                <w14:ligatures w14:val="none"/>
              </w:rPr>
              <w:t>otale</w:t>
            </w:r>
          </w:p>
        </w:tc>
        <w:tc>
          <w:tcPr>
            <w:tcW w:w="5899" w:type="dxa"/>
            <w:gridSpan w:val="10"/>
            <w:tcBorders>
              <w:top w:val="single" w:sz="8" w:space="0" w:color="auto"/>
              <w:left w:val="nil"/>
              <w:bottom w:val="single" w:sz="8" w:space="0" w:color="auto"/>
              <w:right w:val="nil"/>
            </w:tcBorders>
            <w:shd w:val="clear" w:color="auto" w:fill="auto"/>
            <w:vAlign w:val="center"/>
            <w:hideMark/>
          </w:tcPr>
          <w:p w14:paraId="5DEB4739" w14:textId="7125347F"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Burimi i mbulimit deri </w:t>
            </w:r>
            <w:r w:rsidR="003411E9" w:rsidRPr="002128A6">
              <w:rPr>
                <w:rFonts w:ascii="Garamond" w:eastAsia="Times New Roman" w:hAnsi="Garamond" w:cs="Times New Roman"/>
                <w:b/>
                <w:bCs/>
                <w:kern w:val="0"/>
                <w:sz w:val="8"/>
                <w:szCs w:val="14"/>
                <w14:ligatures w14:val="none"/>
              </w:rPr>
              <w:t>më</w:t>
            </w:r>
            <w:r w:rsidRPr="002128A6">
              <w:rPr>
                <w:rFonts w:ascii="Garamond" w:eastAsia="Times New Roman" w:hAnsi="Garamond" w:cs="Times New Roman"/>
                <w:b/>
                <w:bCs/>
                <w:kern w:val="0"/>
                <w:sz w:val="8"/>
                <w:szCs w:val="14"/>
                <w14:ligatures w14:val="none"/>
              </w:rPr>
              <w:t xml:space="preserve"> 2023</w:t>
            </w:r>
          </w:p>
        </w:tc>
        <w:tc>
          <w:tcPr>
            <w:tcW w:w="615" w:type="dxa"/>
            <w:vMerge w:val="restart"/>
            <w:tcBorders>
              <w:top w:val="nil"/>
              <w:left w:val="single" w:sz="8" w:space="0" w:color="auto"/>
              <w:bottom w:val="single" w:sz="4" w:space="0" w:color="auto"/>
              <w:right w:val="single" w:sz="8" w:space="0" w:color="auto"/>
            </w:tcBorders>
            <w:shd w:val="clear" w:color="auto" w:fill="auto"/>
            <w:vAlign w:val="center"/>
            <w:hideMark/>
          </w:tcPr>
          <w:p w14:paraId="26183697" w14:textId="44672506"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Hendeku financiar</w:t>
            </w:r>
            <w:r w:rsidRPr="002128A6">
              <w:rPr>
                <w:rFonts w:ascii="Garamond" w:eastAsia="Times New Roman" w:hAnsi="Garamond" w:cs="Times New Roman"/>
                <w:b/>
                <w:bCs/>
                <w:kern w:val="0"/>
                <w:sz w:val="8"/>
                <w:szCs w:val="14"/>
                <w14:ligatures w14:val="none"/>
              </w:rPr>
              <w:br/>
              <w:t>2026</w:t>
            </w:r>
            <w:r w:rsidR="003411E9" w:rsidRPr="002128A6">
              <w:rPr>
                <w:rFonts w:ascii="Garamond" w:eastAsia="Times New Roman" w:hAnsi="Garamond" w:cs="Times New Roman"/>
                <w:b/>
                <w:bCs/>
                <w:kern w:val="0"/>
                <w:sz w:val="8"/>
                <w:szCs w:val="14"/>
                <w14:ligatures w14:val="none"/>
              </w:rPr>
              <w:t>–</w:t>
            </w:r>
            <w:r w:rsidRPr="002128A6">
              <w:rPr>
                <w:rFonts w:ascii="Garamond" w:eastAsia="Times New Roman" w:hAnsi="Garamond" w:cs="Times New Roman"/>
                <w:b/>
                <w:bCs/>
                <w:kern w:val="0"/>
                <w:sz w:val="8"/>
                <w:szCs w:val="14"/>
                <w14:ligatures w14:val="none"/>
              </w:rPr>
              <w:t>2030</w:t>
            </w:r>
            <w:r w:rsidRPr="002128A6">
              <w:rPr>
                <w:rFonts w:ascii="Garamond" w:eastAsia="Times New Roman" w:hAnsi="Garamond" w:cs="Times New Roman"/>
                <w:b/>
                <w:bCs/>
                <w:kern w:val="0"/>
                <w:sz w:val="8"/>
                <w:szCs w:val="14"/>
                <w14:ligatures w14:val="none"/>
              </w:rPr>
              <w:br/>
              <w:t xml:space="preserve">(në </w:t>
            </w:r>
            <w:r w:rsidR="003411E9"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556" w:type="dxa"/>
            <w:vMerge w:val="restart"/>
            <w:tcBorders>
              <w:top w:val="nil"/>
              <w:left w:val="single" w:sz="8" w:space="0" w:color="auto"/>
              <w:bottom w:val="nil"/>
              <w:right w:val="single" w:sz="8" w:space="0" w:color="auto"/>
            </w:tcBorders>
            <w:shd w:val="clear" w:color="auto" w:fill="auto"/>
            <w:vAlign w:val="center"/>
            <w:hideMark/>
          </w:tcPr>
          <w:p w14:paraId="09F31361" w14:textId="02415CAA"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Kosto</w:t>
            </w:r>
            <w:r w:rsidR="008A598F" w:rsidRPr="002128A6">
              <w:rPr>
                <w:rFonts w:ascii="Garamond" w:eastAsia="Times New Roman" w:hAnsi="Garamond" w:cs="Times New Roman"/>
                <w:b/>
                <w:bCs/>
                <w:kern w:val="0"/>
                <w:sz w:val="8"/>
                <w:szCs w:val="14"/>
                <w14:ligatures w14:val="none"/>
              </w:rPr>
              <w:t>ja</w:t>
            </w:r>
            <w:r w:rsidRPr="002128A6">
              <w:rPr>
                <w:rFonts w:ascii="Garamond" w:eastAsia="Times New Roman" w:hAnsi="Garamond" w:cs="Times New Roman"/>
                <w:b/>
                <w:bCs/>
                <w:kern w:val="0"/>
                <w:sz w:val="8"/>
                <w:szCs w:val="14"/>
                <w14:ligatures w14:val="none"/>
              </w:rPr>
              <w:t xml:space="preserve"> totale n</w:t>
            </w:r>
            <w:r w:rsidR="003411E9" w:rsidRPr="002128A6">
              <w:rPr>
                <w:rFonts w:ascii="Garamond" w:eastAsia="Times New Roman" w:hAnsi="Garamond" w:cs="Times New Roman"/>
                <w:b/>
                <w:bCs/>
                <w:kern w:val="0"/>
                <w:sz w:val="8"/>
                <w:szCs w:val="14"/>
                <w14:ligatures w14:val="none"/>
              </w:rPr>
              <w:t>ë</w:t>
            </w:r>
            <w:r w:rsidRPr="002128A6">
              <w:rPr>
                <w:rFonts w:ascii="Garamond" w:eastAsia="Times New Roman" w:hAnsi="Garamond" w:cs="Times New Roman"/>
                <w:b/>
                <w:bCs/>
                <w:kern w:val="0"/>
                <w:sz w:val="8"/>
                <w:szCs w:val="14"/>
                <w14:ligatures w14:val="none"/>
              </w:rPr>
              <w:t xml:space="preserve"> EUR</w:t>
            </w:r>
            <w:r w:rsidRPr="002128A6">
              <w:rPr>
                <w:rFonts w:ascii="Garamond" w:eastAsia="Times New Roman" w:hAnsi="Garamond" w:cs="Times New Roman"/>
                <w:b/>
                <w:bCs/>
                <w:kern w:val="0"/>
                <w:sz w:val="8"/>
                <w:szCs w:val="14"/>
                <w14:ligatures w14:val="none"/>
              </w:rPr>
              <w:br/>
              <w:t xml:space="preserve">(kursi </w:t>
            </w:r>
            <w:r w:rsidR="00FC5887" w:rsidRPr="002128A6">
              <w:rPr>
                <w:rFonts w:ascii="Garamond" w:eastAsia="Times New Roman" w:hAnsi="Garamond" w:cs="Times New Roman"/>
                <w:b/>
                <w:bCs/>
                <w:kern w:val="0"/>
                <w:sz w:val="8"/>
                <w:szCs w:val="14"/>
                <w14:ligatures w14:val="none"/>
              </w:rPr>
              <w:t>këmbimit</w:t>
            </w:r>
            <w:r w:rsidRPr="002128A6">
              <w:rPr>
                <w:rFonts w:ascii="Garamond" w:eastAsia="Times New Roman" w:hAnsi="Garamond" w:cs="Times New Roman"/>
                <w:b/>
                <w:bCs/>
                <w:kern w:val="0"/>
                <w:sz w:val="8"/>
                <w:szCs w:val="14"/>
                <w14:ligatures w14:val="none"/>
              </w:rPr>
              <w:t>: 1 EUR = 93.1</w:t>
            </w:r>
            <w:r w:rsidR="00FC5887">
              <w:rPr>
                <w:rFonts w:ascii="Garamond" w:eastAsia="Times New Roman" w:hAnsi="Garamond" w:cs="Times New Roman"/>
                <w:b/>
                <w:bCs/>
                <w:kern w:val="0"/>
                <w:sz w:val="8"/>
                <w:szCs w:val="14"/>
                <w14:ligatures w14:val="none"/>
              </w:rPr>
              <w:t xml:space="preserve"> </w:t>
            </w:r>
            <w:r w:rsidRPr="002128A6">
              <w:rPr>
                <w:rFonts w:ascii="Garamond" w:eastAsia="Times New Roman" w:hAnsi="Garamond" w:cs="Times New Roman"/>
                <w:b/>
                <w:bCs/>
                <w:kern w:val="0"/>
                <w:sz w:val="8"/>
                <w:szCs w:val="14"/>
                <w14:ligatures w14:val="none"/>
              </w:rPr>
              <w:t>ALL)</w:t>
            </w:r>
          </w:p>
        </w:tc>
      </w:tr>
      <w:tr w:rsidR="00F54824" w:rsidRPr="002128A6" w14:paraId="706A7908" w14:textId="77777777" w:rsidTr="00152EE7">
        <w:trPr>
          <w:trHeight w:val="20"/>
        </w:trPr>
        <w:tc>
          <w:tcPr>
            <w:tcW w:w="2275" w:type="dxa"/>
            <w:vMerge/>
            <w:tcBorders>
              <w:top w:val="nil"/>
              <w:left w:val="single" w:sz="8" w:space="0" w:color="auto"/>
              <w:bottom w:val="single" w:sz="8" w:space="0" w:color="auto"/>
              <w:right w:val="single" w:sz="8" w:space="0" w:color="auto"/>
            </w:tcBorders>
            <w:vAlign w:val="center"/>
            <w:hideMark/>
          </w:tcPr>
          <w:p w14:paraId="7034FC64"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861" w:type="dxa"/>
            <w:vMerge w:val="restart"/>
            <w:tcBorders>
              <w:top w:val="nil"/>
              <w:left w:val="single" w:sz="8" w:space="0" w:color="auto"/>
              <w:bottom w:val="single" w:sz="8" w:space="0" w:color="auto"/>
              <w:right w:val="single" w:sz="8" w:space="0" w:color="auto"/>
            </w:tcBorders>
            <w:shd w:val="clear" w:color="000000" w:fill="FFFFFF"/>
            <w:vAlign w:val="center"/>
            <w:hideMark/>
          </w:tcPr>
          <w:p w14:paraId="3BC388A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Institucioni përgjegjës</w:t>
            </w:r>
          </w:p>
        </w:tc>
        <w:tc>
          <w:tcPr>
            <w:tcW w:w="719" w:type="dxa"/>
            <w:vMerge w:val="restart"/>
            <w:tcBorders>
              <w:top w:val="nil"/>
              <w:left w:val="single" w:sz="8" w:space="0" w:color="auto"/>
              <w:bottom w:val="single" w:sz="8" w:space="0" w:color="auto"/>
              <w:right w:val="single" w:sz="8" w:space="0" w:color="auto"/>
            </w:tcBorders>
            <w:shd w:val="clear" w:color="000000" w:fill="FFFFFF"/>
            <w:vAlign w:val="center"/>
            <w:hideMark/>
          </w:tcPr>
          <w:p w14:paraId="575F5AE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Institucioni mbështetës</w:t>
            </w:r>
          </w:p>
        </w:tc>
        <w:tc>
          <w:tcPr>
            <w:tcW w:w="445" w:type="dxa"/>
            <w:vMerge w:val="restart"/>
            <w:tcBorders>
              <w:top w:val="nil"/>
              <w:left w:val="single" w:sz="8" w:space="0" w:color="auto"/>
              <w:bottom w:val="single" w:sz="8" w:space="0" w:color="auto"/>
              <w:right w:val="single" w:sz="8" w:space="0" w:color="auto"/>
            </w:tcBorders>
            <w:shd w:val="clear" w:color="000000" w:fill="FFFFFF"/>
            <w:vAlign w:val="center"/>
            <w:hideMark/>
          </w:tcPr>
          <w:p w14:paraId="002EDB50" w14:textId="17AE5163"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Afati </w:t>
            </w:r>
            <w:r w:rsidR="008A598F" w:rsidRPr="002128A6">
              <w:rPr>
                <w:rFonts w:ascii="Garamond" w:eastAsia="Times New Roman" w:hAnsi="Garamond" w:cs="Times New Roman"/>
                <w:b/>
                <w:bCs/>
                <w:kern w:val="0"/>
                <w:sz w:val="8"/>
                <w:szCs w:val="14"/>
                <w14:ligatures w14:val="none"/>
              </w:rPr>
              <w:t>i fillimit</w:t>
            </w:r>
          </w:p>
        </w:tc>
        <w:tc>
          <w:tcPr>
            <w:tcW w:w="5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20A0308E" w14:textId="5E0916AF"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Afati </w:t>
            </w:r>
            <w:r w:rsidR="008A598F" w:rsidRPr="002128A6">
              <w:rPr>
                <w:rFonts w:ascii="Garamond" w:eastAsia="Times New Roman" w:hAnsi="Garamond" w:cs="Times New Roman"/>
                <w:b/>
                <w:bCs/>
                <w:kern w:val="0"/>
                <w:sz w:val="8"/>
                <w:szCs w:val="14"/>
                <w14:ligatures w14:val="none"/>
              </w:rPr>
              <w:t>i mbarimit</w:t>
            </w:r>
          </w:p>
        </w:tc>
        <w:tc>
          <w:tcPr>
            <w:tcW w:w="1922" w:type="dxa"/>
            <w:gridSpan w:val="3"/>
            <w:vMerge/>
            <w:tcBorders>
              <w:top w:val="nil"/>
              <w:left w:val="single" w:sz="8" w:space="0" w:color="auto"/>
              <w:bottom w:val="single" w:sz="8" w:space="0" w:color="auto"/>
              <w:right w:val="single" w:sz="8" w:space="0" w:color="auto"/>
            </w:tcBorders>
            <w:vAlign w:val="center"/>
            <w:hideMark/>
          </w:tcPr>
          <w:p w14:paraId="3C737CAC"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1893" w:type="dxa"/>
            <w:gridSpan w:val="3"/>
            <w:tcBorders>
              <w:top w:val="single" w:sz="8" w:space="0" w:color="auto"/>
              <w:left w:val="nil"/>
              <w:bottom w:val="single" w:sz="8" w:space="0" w:color="auto"/>
              <w:right w:val="single" w:sz="8" w:space="0" w:color="000000"/>
            </w:tcBorders>
            <w:shd w:val="clear" w:color="auto" w:fill="auto"/>
            <w:vAlign w:val="center"/>
            <w:hideMark/>
          </w:tcPr>
          <w:p w14:paraId="3582A67B" w14:textId="014AC9F9"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PBA 2026</w:t>
            </w:r>
            <w:r w:rsidR="008A598F" w:rsidRPr="002128A6">
              <w:rPr>
                <w:rFonts w:ascii="Garamond" w:eastAsia="Times New Roman" w:hAnsi="Garamond" w:cs="Times New Roman"/>
                <w:b/>
                <w:bCs/>
                <w:kern w:val="0"/>
                <w:sz w:val="8"/>
                <w:szCs w:val="14"/>
                <w14:ligatures w14:val="none"/>
              </w:rPr>
              <w:t>–</w:t>
            </w:r>
            <w:r w:rsidRPr="002128A6">
              <w:rPr>
                <w:rFonts w:ascii="Garamond" w:eastAsia="Times New Roman" w:hAnsi="Garamond" w:cs="Times New Roman"/>
                <w:b/>
                <w:bCs/>
                <w:kern w:val="0"/>
                <w:sz w:val="8"/>
                <w:szCs w:val="14"/>
                <w14:ligatures w14:val="none"/>
              </w:rPr>
              <w:t xml:space="preserve">2028 (në </w:t>
            </w:r>
            <w:r w:rsidR="008A598F"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1840" w:type="dxa"/>
            <w:gridSpan w:val="3"/>
            <w:tcBorders>
              <w:top w:val="single" w:sz="8" w:space="0" w:color="auto"/>
              <w:left w:val="nil"/>
              <w:bottom w:val="single" w:sz="8" w:space="0" w:color="auto"/>
              <w:right w:val="single" w:sz="8" w:space="0" w:color="000000"/>
            </w:tcBorders>
            <w:shd w:val="clear" w:color="auto" w:fill="auto"/>
            <w:vAlign w:val="center"/>
            <w:hideMark/>
          </w:tcPr>
          <w:p w14:paraId="703987E9" w14:textId="70DE51DC"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PBA 2028-2030 (në </w:t>
            </w:r>
            <w:r w:rsidR="008A598F" w:rsidRPr="002128A6">
              <w:rPr>
                <w:rFonts w:ascii="Garamond" w:eastAsia="Times New Roman" w:hAnsi="Garamond" w:cs="Times New Roman"/>
                <w:b/>
                <w:bCs/>
                <w:kern w:val="0"/>
                <w:sz w:val="8"/>
                <w:szCs w:val="14"/>
                <w14:ligatures w14:val="none"/>
              </w:rPr>
              <w:t>lekë</w:t>
            </w:r>
            <w:r w:rsidRPr="002128A6">
              <w:rPr>
                <w:rFonts w:ascii="Garamond" w:eastAsia="Times New Roman" w:hAnsi="Garamond" w:cs="Times New Roman"/>
                <w:b/>
                <w:bCs/>
                <w:kern w:val="0"/>
                <w:sz w:val="8"/>
                <w:szCs w:val="14"/>
                <w14:ligatures w14:val="none"/>
              </w:rPr>
              <w:t>)</w:t>
            </w:r>
          </w:p>
        </w:tc>
        <w:tc>
          <w:tcPr>
            <w:tcW w:w="2166" w:type="dxa"/>
            <w:gridSpan w:val="4"/>
            <w:tcBorders>
              <w:top w:val="single" w:sz="8" w:space="0" w:color="auto"/>
              <w:left w:val="nil"/>
              <w:bottom w:val="single" w:sz="8" w:space="0" w:color="auto"/>
              <w:right w:val="nil"/>
            </w:tcBorders>
            <w:shd w:val="clear" w:color="auto" w:fill="auto"/>
            <w:vAlign w:val="center"/>
            <w:hideMark/>
          </w:tcPr>
          <w:p w14:paraId="6A1FDD91" w14:textId="27362AF6"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xml:space="preserve">Financim i </w:t>
            </w:r>
            <w:r w:rsidR="008A598F" w:rsidRPr="002128A6">
              <w:rPr>
                <w:rFonts w:ascii="Garamond" w:eastAsia="Times New Roman" w:hAnsi="Garamond" w:cs="Times New Roman"/>
                <w:b/>
                <w:bCs/>
                <w:kern w:val="0"/>
                <w:sz w:val="8"/>
                <w:szCs w:val="14"/>
                <w14:ligatures w14:val="none"/>
              </w:rPr>
              <w:t xml:space="preserve">huaj </w:t>
            </w:r>
            <w:r w:rsidRPr="002128A6">
              <w:rPr>
                <w:rFonts w:ascii="Garamond" w:eastAsia="Times New Roman" w:hAnsi="Garamond" w:cs="Times New Roman"/>
                <w:b/>
                <w:bCs/>
                <w:kern w:val="0"/>
                <w:sz w:val="8"/>
                <w:szCs w:val="14"/>
                <w14:ligatures w14:val="none"/>
              </w:rPr>
              <w:t>(në lekë)</w:t>
            </w:r>
          </w:p>
        </w:tc>
        <w:tc>
          <w:tcPr>
            <w:tcW w:w="615" w:type="dxa"/>
            <w:vMerge/>
            <w:tcBorders>
              <w:top w:val="nil"/>
              <w:left w:val="single" w:sz="8" w:space="0" w:color="auto"/>
              <w:bottom w:val="single" w:sz="4" w:space="0" w:color="auto"/>
              <w:right w:val="single" w:sz="8" w:space="0" w:color="auto"/>
            </w:tcBorders>
            <w:vAlign w:val="center"/>
            <w:hideMark/>
          </w:tcPr>
          <w:p w14:paraId="6384017B"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556" w:type="dxa"/>
            <w:vMerge/>
            <w:tcBorders>
              <w:top w:val="nil"/>
              <w:left w:val="single" w:sz="8" w:space="0" w:color="auto"/>
              <w:bottom w:val="nil"/>
              <w:right w:val="single" w:sz="8" w:space="0" w:color="auto"/>
            </w:tcBorders>
            <w:vAlign w:val="center"/>
            <w:hideMark/>
          </w:tcPr>
          <w:p w14:paraId="5A39A48C"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r>
      <w:tr w:rsidR="00F54824" w:rsidRPr="002128A6" w14:paraId="4E678306" w14:textId="77777777" w:rsidTr="00152EE7">
        <w:trPr>
          <w:trHeight w:val="20"/>
        </w:trPr>
        <w:tc>
          <w:tcPr>
            <w:tcW w:w="2275" w:type="dxa"/>
            <w:vMerge/>
            <w:tcBorders>
              <w:top w:val="nil"/>
              <w:left w:val="single" w:sz="8" w:space="0" w:color="auto"/>
              <w:bottom w:val="single" w:sz="8" w:space="0" w:color="auto"/>
              <w:right w:val="single" w:sz="8" w:space="0" w:color="auto"/>
            </w:tcBorders>
            <w:vAlign w:val="center"/>
            <w:hideMark/>
          </w:tcPr>
          <w:p w14:paraId="3FB21082"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861" w:type="dxa"/>
            <w:vMerge/>
            <w:tcBorders>
              <w:top w:val="nil"/>
              <w:left w:val="single" w:sz="8" w:space="0" w:color="auto"/>
              <w:bottom w:val="single" w:sz="8" w:space="0" w:color="auto"/>
              <w:right w:val="single" w:sz="8" w:space="0" w:color="auto"/>
            </w:tcBorders>
            <w:vAlign w:val="center"/>
            <w:hideMark/>
          </w:tcPr>
          <w:p w14:paraId="2D301495"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719" w:type="dxa"/>
            <w:vMerge/>
            <w:tcBorders>
              <w:top w:val="nil"/>
              <w:left w:val="single" w:sz="8" w:space="0" w:color="auto"/>
              <w:bottom w:val="single" w:sz="8" w:space="0" w:color="auto"/>
              <w:right w:val="single" w:sz="8" w:space="0" w:color="auto"/>
            </w:tcBorders>
            <w:vAlign w:val="center"/>
            <w:hideMark/>
          </w:tcPr>
          <w:p w14:paraId="28926B4D"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445" w:type="dxa"/>
            <w:vMerge/>
            <w:tcBorders>
              <w:top w:val="nil"/>
              <w:left w:val="single" w:sz="8" w:space="0" w:color="auto"/>
              <w:bottom w:val="single" w:sz="8" w:space="0" w:color="auto"/>
              <w:right w:val="single" w:sz="8" w:space="0" w:color="auto"/>
            </w:tcBorders>
            <w:vAlign w:val="center"/>
            <w:hideMark/>
          </w:tcPr>
          <w:p w14:paraId="142B3447"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509" w:type="dxa"/>
            <w:vMerge/>
            <w:tcBorders>
              <w:top w:val="nil"/>
              <w:left w:val="single" w:sz="8" w:space="0" w:color="auto"/>
              <w:bottom w:val="single" w:sz="8" w:space="0" w:color="auto"/>
              <w:right w:val="single" w:sz="8" w:space="0" w:color="auto"/>
            </w:tcBorders>
            <w:vAlign w:val="center"/>
            <w:hideMark/>
          </w:tcPr>
          <w:p w14:paraId="58815053"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p>
        </w:tc>
        <w:tc>
          <w:tcPr>
            <w:tcW w:w="639" w:type="dxa"/>
            <w:tcBorders>
              <w:top w:val="nil"/>
              <w:left w:val="nil"/>
              <w:bottom w:val="single" w:sz="8" w:space="0" w:color="auto"/>
              <w:right w:val="single" w:sz="8" w:space="0" w:color="auto"/>
            </w:tcBorders>
            <w:shd w:val="clear" w:color="000000" w:fill="FFFFFF"/>
            <w:vAlign w:val="center"/>
            <w:hideMark/>
          </w:tcPr>
          <w:p w14:paraId="73F35365" w14:textId="7852A570"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39" w:type="dxa"/>
            <w:tcBorders>
              <w:top w:val="nil"/>
              <w:left w:val="nil"/>
              <w:bottom w:val="single" w:sz="8" w:space="0" w:color="auto"/>
              <w:right w:val="single" w:sz="8" w:space="0" w:color="auto"/>
            </w:tcBorders>
            <w:shd w:val="clear" w:color="000000" w:fill="FFFFFF"/>
            <w:vAlign w:val="center"/>
            <w:hideMark/>
          </w:tcPr>
          <w:p w14:paraId="58D3425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44" w:type="dxa"/>
            <w:tcBorders>
              <w:top w:val="nil"/>
              <w:left w:val="nil"/>
              <w:bottom w:val="single" w:sz="8" w:space="0" w:color="auto"/>
              <w:right w:val="single" w:sz="8" w:space="0" w:color="auto"/>
            </w:tcBorders>
            <w:shd w:val="clear" w:color="000000" w:fill="FFFFFF"/>
            <w:vAlign w:val="center"/>
            <w:hideMark/>
          </w:tcPr>
          <w:p w14:paraId="3BA4551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Kosto</w:t>
            </w:r>
          </w:p>
        </w:tc>
        <w:tc>
          <w:tcPr>
            <w:tcW w:w="644" w:type="dxa"/>
            <w:tcBorders>
              <w:top w:val="nil"/>
              <w:left w:val="nil"/>
              <w:bottom w:val="single" w:sz="8" w:space="0" w:color="auto"/>
              <w:right w:val="nil"/>
            </w:tcBorders>
            <w:shd w:val="clear" w:color="auto" w:fill="auto"/>
            <w:vAlign w:val="center"/>
            <w:hideMark/>
          </w:tcPr>
          <w:p w14:paraId="2A609B76" w14:textId="765FC8DA"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0" w:type="dxa"/>
            <w:tcBorders>
              <w:top w:val="nil"/>
              <w:left w:val="single" w:sz="8" w:space="0" w:color="auto"/>
              <w:bottom w:val="single" w:sz="8" w:space="0" w:color="auto"/>
              <w:right w:val="single" w:sz="8" w:space="0" w:color="auto"/>
            </w:tcBorders>
            <w:shd w:val="clear" w:color="auto" w:fill="auto"/>
            <w:vAlign w:val="center"/>
            <w:hideMark/>
          </w:tcPr>
          <w:p w14:paraId="5738C460"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39" w:type="dxa"/>
            <w:tcBorders>
              <w:top w:val="nil"/>
              <w:left w:val="nil"/>
              <w:bottom w:val="single" w:sz="8" w:space="0" w:color="auto"/>
              <w:right w:val="single" w:sz="8" w:space="0" w:color="auto"/>
            </w:tcBorders>
            <w:shd w:val="clear" w:color="auto" w:fill="auto"/>
            <w:vAlign w:val="center"/>
            <w:hideMark/>
          </w:tcPr>
          <w:p w14:paraId="37D26DC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BSH</w:t>
            </w:r>
          </w:p>
        </w:tc>
        <w:tc>
          <w:tcPr>
            <w:tcW w:w="615" w:type="dxa"/>
            <w:tcBorders>
              <w:top w:val="nil"/>
              <w:left w:val="nil"/>
              <w:bottom w:val="single" w:sz="8" w:space="0" w:color="auto"/>
              <w:right w:val="nil"/>
            </w:tcBorders>
            <w:shd w:val="clear" w:color="auto" w:fill="auto"/>
            <w:vAlign w:val="center"/>
            <w:hideMark/>
          </w:tcPr>
          <w:p w14:paraId="1ECAD333" w14:textId="1F1A0299"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0" w:type="dxa"/>
            <w:tcBorders>
              <w:top w:val="nil"/>
              <w:left w:val="single" w:sz="8" w:space="0" w:color="auto"/>
              <w:bottom w:val="single" w:sz="8" w:space="0" w:color="auto"/>
              <w:right w:val="single" w:sz="8" w:space="0" w:color="auto"/>
            </w:tcBorders>
            <w:shd w:val="clear" w:color="auto" w:fill="auto"/>
            <w:vAlign w:val="center"/>
            <w:hideMark/>
          </w:tcPr>
          <w:p w14:paraId="661505D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615" w:type="dxa"/>
            <w:tcBorders>
              <w:top w:val="nil"/>
              <w:left w:val="nil"/>
              <w:bottom w:val="single" w:sz="8" w:space="0" w:color="auto"/>
              <w:right w:val="single" w:sz="8" w:space="0" w:color="auto"/>
            </w:tcBorders>
            <w:shd w:val="clear" w:color="auto" w:fill="auto"/>
            <w:vAlign w:val="center"/>
            <w:hideMark/>
          </w:tcPr>
          <w:p w14:paraId="4F8D2F4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BSH</w:t>
            </w:r>
          </w:p>
        </w:tc>
        <w:tc>
          <w:tcPr>
            <w:tcW w:w="460" w:type="dxa"/>
            <w:tcBorders>
              <w:top w:val="nil"/>
              <w:left w:val="nil"/>
              <w:bottom w:val="single" w:sz="8" w:space="0" w:color="auto"/>
              <w:right w:val="nil"/>
            </w:tcBorders>
            <w:shd w:val="clear" w:color="auto" w:fill="auto"/>
            <w:vAlign w:val="center"/>
            <w:hideMark/>
          </w:tcPr>
          <w:p w14:paraId="765B25B5" w14:textId="60D71D12" w:rsidR="00152EE7" w:rsidRPr="002128A6" w:rsidRDefault="00B76863"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Korrente</w:t>
            </w:r>
          </w:p>
        </w:tc>
        <w:tc>
          <w:tcPr>
            <w:tcW w:w="615" w:type="dxa"/>
            <w:tcBorders>
              <w:top w:val="nil"/>
              <w:left w:val="single" w:sz="8" w:space="0" w:color="auto"/>
              <w:bottom w:val="single" w:sz="8" w:space="0" w:color="auto"/>
              <w:right w:val="single" w:sz="8" w:space="0" w:color="auto"/>
            </w:tcBorders>
            <w:shd w:val="clear" w:color="auto" w:fill="auto"/>
            <w:vAlign w:val="center"/>
            <w:hideMark/>
          </w:tcPr>
          <w:p w14:paraId="21C28113"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Kapitale</w:t>
            </w:r>
          </w:p>
        </w:tc>
        <w:tc>
          <w:tcPr>
            <w:tcW w:w="476" w:type="dxa"/>
            <w:tcBorders>
              <w:top w:val="nil"/>
              <w:left w:val="nil"/>
              <w:bottom w:val="single" w:sz="8" w:space="0" w:color="auto"/>
              <w:right w:val="single" w:sz="8" w:space="0" w:color="auto"/>
            </w:tcBorders>
            <w:shd w:val="clear" w:color="auto" w:fill="auto"/>
            <w:vAlign w:val="center"/>
            <w:hideMark/>
          </w:tcPr>
          <w:p w14:paraId="3DDE742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615" w:type="dxa"/>
            <w:tcBorders>
              <w:top w:val="nil"/>
              <w:left w:val="nil"/>
              <w:bottom w:val="single" w:sz="8" w:space="0" w:color="auto"/>
              <w:right w:val="single" w:sz="8" w:space="0" w:color="auto"/>
            </w:tcBorders>
            <w:shd w:val="clear" w:color="auto" w:fill="auto"/>
            <w:vAlign w:val="center"/>
            <w:hideMark/>
          </w:tcPr>
          <w:p w14:paraId="1A1B6D4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Total FH</w:t>
            </w:r>
          </w:p>
        </w:tc>
        <w:tc>
          <w:tcPr>
            <w:tcW w:w="615" w:type="dxa"/>
            <w:tcBorders>
              <w:top w:val="single" w:sz="8" w:space="0" w:color="auto"/>
              <w:left w:val="nil"/>
              <w:bottom w:val="single" w:sz="8" w:space="0" w:color="auto"/>
              <w:right w:val="single" w:sz="8" w:space="0" w:color="auto"/>
            </w:tcBorders>
            <w:shd w:val="clear" w:color="auto" w:fill="auto"/>
            <w:vAlign w:val="center"/>
            <w:hideMark/>
          </w:tcPr>
          <w:p w14:paraId="293C774B"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556" w:type="dxa"/>
            <w:tcBorders>
              <w:top w:val="single" w:sz="8" w:space="0" w:color="auto"/>
              <w:left w:val="nil"/>
              <w:bottom w:val="single" w:sz="8" w:space="0" w:color="auto"/>
              <w:right w:val="single" w:sz="8" w:space="0" w:color="auto"/>
            </w:tcBorders>
            <w:shd w:val="clear" w:color="auto" w:fill="auto"/>
            <w:vAlign w:val="center"/>
            <w:hideMark/>
          </w:tcPr>
          <w:p w14:paraId="0FB92FB2"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r>
      <w:tr w:rsidR="00F54824" w:rsidRPr="002128A6" w14:paraId="2DAA389F" w14:textId="77777777" w:rsidTr="00152EE7">
        <w:trPr>
          <w:trHeight w:val="20"/>
        </w:trPr>
        <w:tc>
          <w:tcPr>
            <w:tcW w:w="227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41A6254"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Forcimi i bashkëpunimit policor ndërkombëtar përmes rritjes së shkëmbimit të informacionit, operacioneve të përbashkëta, dhe ndërprerjes ndërkufitare të krimit të organizuar</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333B38F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Policia e Shtetit; Ministria e Punëve të Brendshme; Inspektorati Kombëtar i Mbrojtjes së Territorit</w:t>
            </w:r>
          </w:p>
        </w:tc>
        <w:tc>
          <w:tcPr>
            <w:tcW w:w="719" w:type="dxa"/>
            <w:tcBorders>
              <w:top w:val="single" w:sz="4" w:space="0" w:color="auto"/>
              <w:left w:val="nil"/>
              <w:bottom w:val="single" w:sz="4" w:space="0" w:color="auto"/>
              <w:right w:val="single" w:sz="4" w:space="0" w:color="auto"/>
            </w:tcBorders>
            <w:shd w:val="clear" w:color="auto" w:fill="auto"/>
            <w:vAlign w:val="center"/>
            <w:hideMark/>
          </w:tcPr>
          <w:p w14:paraId="0205065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xml:space="preserve">Shërbimi Informativ i Shtetit; Byroja Kombëtare e Hetimit; Struktura e Posaçme Kundër </w:t>
            </w:r>
            <w:r w:rsidRPr="002128A6">
              <w:rPr>
                <w:rFonts w:ascii="Garamond" w:eastAsia="Times New Roman" w:hAnsi="Garamond" w:cs="Times New Roman"/>
                <w:kern w:val="0"/>
                <w:sz w:val="8"/>
                <w:szCs w:val="14"/>
                <w14:ligatures w14:val="none"/>
              </w:rPr>
              <w:lastRenderedPageBreak/>
              <w:t>Korrupsionit dhe Krimit të Organizuar; Ministria e Punëve të Brendshme; Ministritë relevante të linjës</w:t>
            </w:r>
          </w:p>
        </w:tc>
        <w:tc>
          <w:tcPr>
            <w:tcW w:w="445" w:type="dxa"/>
            <w:tcBorders>
              <w:top w:val="single" w:sz="4" w:space="0" w:color="auto"/>
              <w:left w:val="nil"/>
              <w:bottom w:val="single" w:sz="4" w:space="0" w:color="auto"/>
              <w:right w:val="single" w:sz="4" w:space="0" w:color="auto"/>
            </w:tcBorders>
            <w:shd w:val="clear" w:color="auto" w:fill="auto"/>
            <w:vAlign w:val="center"/>
            <w:hideMark/>
          </w:tcPr>
          <w:p w14:paraId="15D20530"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lastRenderedPageBreak/>
              <w:t>2026</w:t>
            </w:r>
          </w:p>
        </w:tc>
        <w:tc>
          <w:tcPr>
            <w:tcW w:w="509" w:type="dxa"/>
            <w:tcBorders>
              <w:top w:val="single" w:sz="4" w:space="0" w:color="auto"/>
              <w:left w:val="nil"/>
              <w:bottom w:val="single" w:sz="4" w:space="0" w:color="auto"/>
              <w:right w:val="single" w:sz="4" w:space="0" w:color="auto"/>
            </w:tcBorders>
            <w:shd w:val="clear" w:color="auto" w:fill="auto"/>
            <w:vAlign w:val="center"/>
            <w:hideMark/>
          </w:tcPr>
          <w:p w14:paraId="351DCF6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53AA0EB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740,844,292</w:t>
            </w:r>
          </w:p>
        </w:tc>
        <w:tc>
          <w:tcPr>
            <w:tcW w:w="639" w:type="dxa"/>
            <w:tcBorders>
              <w:top w:val="nil"/>
              <w:left w:val="nil"/>
              <w:bottom w:val="single" w:sz="4" w:space="0" w:color="auto"/>
              <w:right w:val="single" w:sz="4" w:space="0" w:color="auto"/>
            </w:tcBorders>
            <w:shd w:val="clear" w:color="auto" w:fill="auto"/>
            <w:vAlign w:val="center"/>
            <w:hideMark/>
          </w:tcPr>
          <w:p w14:paraId="3E033EB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44" w:type="dxa"/>
            <w:tcBorders>
              <w:top w:val="nil"/>
              <w:left w:val="nil"/>
              <w:bottom w:val="single" w:sz="4" w:space="0" w:color="auto"/>
              <w:right w:val="single" w:sz="4" w:space="0" w:color="auto"/>
            </w:tcBorders>
            <w:shd w:val="clear" w:color="auto" w:fill="auto"/>
            <w:vAlign w:val="center"/>
            <w:hideMark/>
          </w:tcPr>
          <w:p w14:paraId="1D8A1A8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740,844,292</w:t>
            </w:r>
          </w:p>
        </w:tc>
        <w:tc>
          <w:tcPr>
            <w:tcW w:w="644" w:type="dxa"/>
            <w:tcBorders>
              <w:top w:val="nil"/>
              <w:left w:val="nil"/>
              <w:bottom w:val="single" w:sz="4" w:space="0" w:color="auto"/>
              <w:right w:val="single" w:sz="4" w:space="0" w:color="auto"/>
            </w:tcBorders>
            <w:shd w:val="clear" w:color="auto" w:fill="auto"/>
            <w:vAlign w:val="center"/>
            <w:hideMark/>
          </w:tcPr>
          <w:p w14:paraId="5629307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630,293,124</w:t>
            </w:r>
          </w:p>
        </w:tc>
        <w:tc>
          <w:tcPr>
            <w:tcW w:w="610" w:type="dxa"/>
            <w:tcBorders>
              <w:top w:val="nil"/>
              <w:left w:val="nil"/>
              <w:bottom w:val="single" w:sz="4" w:space="0" w:color="auto"/>
              <w:right w:val="single" w:sz="4" w:space="0" w:color="auto"/>
            </w:tcBorders>
            <w:shd w:val="clear" w:color="auto" w:fill="auto"/>
            <w:vAlign w:val="center"/>
            <w:hideMark/>
          </w:tcPr>
          <w:p w14:paraId="0534591D"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444B5CE4"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630,293,124</w:t>
            </w:r>
          </w:p>
        </w:tc>
        <w:tc>
          <w:tcPr>
            <w:tcW w:w="615" w:type="dxa"/>
            <w:tcBorders>
              <w:top w:val="nil"/>
              <w:left w:val="nil"/>
              <w:bottom w:val="single" w:sz="4" w:space="0" w:color="auto"/>
              <w:right w:val="single" w:sz="4" w:space="0" w:color="auto"/>
            </w:tcBorders>
            <w:shd w:val="clear" w:color="auto" w:fill="auto"/>
            <w:vAlign w:val="center"/>
            <w:hideMark/>
          </w:tcPr>
          <w:p w14:paraId="1A3768E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110,551,168</w:t>
            </w:r>
          </w:p>
        </w:tc>
        <w:tc>
          <w:tcPr>
            <w:tcW w:w="610" w:type="dxa"/>
            <w:tcBorders>
              <w:top w:val="nil"/>
              <w:left w:val="nil"/>
              <w:bottom w:val="single" w:sz="4" w:space="0" w:color="auto"/>
              <w:right w:val="single" w:sz="4" w:space="0" w:color="auto"/>
            </w:tcBorders>
            <w:shd w:val="clear" w:color="auto" w:fill="auto"/>
            <w:vAlign w:val="center"/>
            <w:hideMark/>
          </w:tcPr>
          <w:p w14:paraId="5ABF2F3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73843D8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110,551,168</w:t>
            </w:r>
          </w:p>
        </w:tc>
        <w:tc>
          <w:tcPr>
            <w:tcW w:w="460" w:type="dxa"/>
            <w:tcBorders>
              <w:top w:val="nil"/>
              <w:left w:val="nil"/>
              <w:bottom w:val="single" w:sz="4" w:space="0" w:color="auto"/>
              <w:right w:val="single" w:sz="4" w:space="0" w:color="auto"/>
            </w:tcBorders>
            <w:shd w:val="clear" w:color="auto" w:fill="auto"/>
            <w:vAlign w:val="center"/>
            <w:hideMark/>
          </w:tcPr>
          <w:p w14:paraId="333871D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177498E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6F1BA90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1330E8E2"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662F08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2CB16CD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7,957,511</w:t>
            </w:r>
          </w:p>
        </w:tc>
      </w:tr>
      <w:tr w:rsidR="00F54824" w:rsidRPr="002128A6" w14:paraId="47839764" w14:textId="77777777" w:rsidTr="00152EE7">
        <w:trPr>
          <w:trHeight w:val="20"/>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764AF989" w14:textId="3CE82151"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Përmirësimi i efektivitetit të bashkëpunimit gjyqësor ndërkombëtar</w:t>
            </w:r>
            <w:r w:rsidR="00F54824" w:rsidRPr="002128A6">
              <w:rPr>
                <w:rFonts w:ascii="Garamond" w:eastAsia="Times New Roman" w:hAnsi="Garamond" w:cs="Times New Roman"/>
                <w:b/>
                <w:bCs/>
                <w:kern w:val="0"/>
                <w:sz w:val="8"/>
                <w:szCs w:val="14"/>
                <w14:ligatures w14:val="none"/>
              </w:rPr>
              <w:t xml:space="preserve"> </w:t>
            </w:r>
            <w:r w:rsidRPr="002128A6">
              <w:rPr>
                <w:rFonts w:ascii="Garamond" w:eastAsia="Times New Roman" w:hAnsi="Garamond" w:cs="Times New Roman"/>
                <w:b/>
                <w:bCs/>
                <w:kern w:val="0"/>
                <w:sz w:val="8"/>
                <w:szCs w:val="14"/>
                <w14:ligatures w14:val="none"/>
              </w:rPr>
              <w:t>përmes shpejtimit të shkëmbimit të informacionit, forcimit të ndjekjes së çështjeve dhe rritjes së ekzekutimit të vendimeve gjyqësore të huaja</w:t>
            </w:r>
          </w:p>
        </w:tc>
        <w:tc>
          <w:tcPr>
            <w:tcW w:w="861" w:type="dxa"/>
            <w:tcBorders>
              <w:top w:val="nil"/>
              <w:left w:val="nil"/>
              <w:bottom w:val="single" w:sz="4" w:space="0" w:color="auto"/>
              <w:right w:val="single" w:sz="4" w:space="0" w:color="auto"/>
            </w:tcBorders>
            <w:shd w:val="clear" w:color="auto" w:fill="auto"/>
            <w:vAlign w:val="center"/>
            <w:hideMark/>
          </w:tcPr>
          <w:p w14:paraId="3553EB71"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xml:space="preserve">Ministria e Drejtësisë; </w:t>
            </w:r>
          </w:p>
        </w:tc>
        <w:tc>
          <w:tcPr>
            <w:tcW w:w="719" w:type="dxa"/>
            <w:tcBorders>
              <w:top w:val="nil"/>
              <w:left w:val="nil"/>
              <w:bottom w:val="single" w:sz="4" w:space="0" w:color="auto"/>
              <w:right w:val="single" w:sz="4" w:space="0" w:color="auto"/>
            </w:tcBorders>
            <w:shd w:val="clear" w:color="auto" w:fill="auto"/>
            <w:vAlign w:val="center"/>
            <w:hideMark/>
          </w:tcPr>
          <w:p w14:paraId="6F7C0C77" w14:textId="09AC1434"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xml:space="preserve">Ministria për Evropën dhe Punët e Jashtme; Prokuroria e Përgjithshme; Struktura e Posaçme </w:t>
            </w:r>
            <w:r w:rsidR="00FC5887" w:rsidRPr="002128A6">
              <w:rPr>
                <w:rFonts w:ascii="Garamond" w:eastAsia="Times New Roman" w:hAnsi="Garamond" w:cs="Times New Roman"/>
                <w:kern w:val="0"/>
                <w:sz w:val="8"/>
                <w:szCs w:val="14"/>
                <w14:ligatures w14:val="none"/>
              </w:rPr>
              <w:t xml:space="preserve">kundër </w:t>
            </w:r>
            <w:r w:rsidRPr="002128A6">
              <w:rPr>
                <w:rFonts w:ascii="Garamond" w:eastAsia="Times New Roman" w:hAnsi="Garamond" w:cs="Times New Roman"/>
                <w:kern w:val="0"/>
                <w:sz w:val="8"/>
                <w:szCs w:val="14"/>
                <w14:ligatures w14:val="none"/>
              </w:rPr>
              <w:t>Korrupsionit dhe Krimit të Organizuar</w:t>
            </w:r>
          </w:p>
        </w:tc>
        <w:tc>
          <w:tcPr>
            <w:tcW w:w="445" w:type="dxa"/>
            <w:tcBorders>
              <w:top w:val="nil"/>
              <w:left w:val="nil"/>
              <w:bottom w:val="single" w:sz="4" w:space="0" w:color="auto"/>
              <w:right w:val="single" w:sz="4" w:space="0" w:color="auto"/>
            </w:tcBorders>
            <w:shd w:val="clear" w:color="auto" w:fill="auto"/>
            <w:vAlign w:val="center"/>
            <w:hideMark/>
          </w:tcPr>
          <w:p w14:paraId="04F716D6"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2026</w:t>
            </w:r>
          </w:p>
        </w:tc>
        <w:tc>
          <w:tcPr>
            <w:tcW w:w="509" w:type="dxa"/>
            <w:tcBorders>
              <w:top w:val="nil"/>
              <w:left w:val="nil"/>
              <w:bottom w:val="single" w:sz="4" w:space="0" w:color="auto"/>
              <w:right w:val="single" w:sz="4" w:space="0" w:color="auto"/>
            </w:tcBorders>
            <w:shd w:val="clear" w:color="auto" w:fill="auto"/>
            <w:vAlign w:val="center"/>
            <w:hideMark/>
          </w:tcPr>
          <w:p w14:paraId="1633CEE9"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2028</w:t>
            </w:r>
          </w:p>
        </w:tc>
        <w:tc>
          <w:tcPr>
            <w:tcW w:w="639" w:type="dxa"/>
            <w:tcBorders>
              <w:top w:val="nil"/>
              <w:left w:val="nil"/>
              <w:bottom w:val="single" w:sz="4" w:space="0" w:color="auto"/>
              <w:right w:val="single" w:sz="4" w:space="0" w:color="auto"/>
            </w:tcBorders>
            <w:shd w:val="clear" w:color="auto" w:fill="auto"/>
            <w:vAlign w:val="center"/>
            <w:hideMark/>
          </w:tcPr>
          <w:p w14:paraId="5C9578D7"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309,000,000</w:t>
            </w:r>
          </w:p>
        </w:tc>
        <w:tc>
          <w:tcPr>
            <w:tcW w:w="639" w:type="dxa"/>
            <w:tcBorders>
              <w:top w:val="nil"/>
              <w:left w:val="nil"/>
              <w:bottom w:val="single" w:sz="4" w:space="0" w:color="auto"/>
              <w:right w:val="single" w:sz="4" w:space="0" w:color="auto"/>
            </w:tcBorders>
            <w:shd w:val="clear" w:color="auto" w:fill="auto"/>
            <w:vAlign w:val="center"/>
            <w:hideMark/>
          </w:tcPr>
          <w:p w14:paraId="6D49B2C9"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44" w:type="dxa"/>
            <w:tcBorders>
              <w:top w:val="nil"/>
              <w:left w:val="nil"/>
              <w:bottom w:val="single" w:sz="4" w:space="0" w:color="auto"/>
              <w:right w:val="single" w:sz="4" w:space="0" w:color="auto"/>
            </w:tcBorders>
            <w:shd w:val="clear" w:color="auto" w:fill="auto"/>
            <w:vAlign w:val="center"/>
            <w:hideMark/>
          </w:tcPr>
          <w:p w14:paraId="3F5CAB5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309,000,000</w:t>
            </w:r>
          </w:p>
        </w:tc>
        <w:tc>
          <w:tcPr>
            <w:tcW w:w="644" w:type="dxa"/>
            <w:tcBorders>
              <w:top w:val="nil"/>
              <w:left w:val="nil"/>
              <w:bottom w:val="single" w:sz="4" w:space="0" w:color="auto"/>
              <w:right w:val="single" w:sz="4" w:space="0" w:color="auto"/>
            </w:tcBorders>
            <w:shd w:val="clear" w:color="auto" w:fill="auto"/>
            <w:vAlign w:val="center"/>
            <w:hideMark/>
          </w:tcPr>
          <w:p w14:paraId="612574F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309,000,000</w:t>
            </w:r>
          </w:p>
        </w:tc>
        <w:tc>
          <w:tcPr>
            <w:tcW w:w="610" w:type="dxa"/>
            <w:tcBorders>
              <w:top w:val="nil"/>
              <w:left w:val="nil"/>
              <w:bottom w:val="single" w:sz="4" w:space="0" w:color="auto"/>
              <w:right w:val="single" w:sz="4" w:space="0" w:color="auto"/>
            </w:tcBorders>
            <w:shd w:val="clear" w:color="auto" w:fill="auto"/>
            <w:vAlign w:val="center"/>
            <w:hideMark/>
          </w:tcPr>
          <w:p w14:paraId="75059540"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39" w:type="dxa"/>
            <w:tcBorders>
              <w:top w:val="nil"/>
              <w:left w:val="nil"/>
              <w:bottom w:val="single" w:sz="4" w:space="0" w:color="auto"/>
              <w:right w:val="single" w:sz="4" w:space="0" w:color="auto"/>
            </w:tcBorders>
            <w:shd w:val="clear" w:color="auto" w:fill="auto"/>
            <w:vAlign w:val="center"/>
            <w:hideMark/>
          </w:tcPr>
          <w:p w14:paraId="723BB0CF"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309,000,000</w:t>
            </w:r>
          </w:p>
        </w:tc>
        <w:tc>
          <w:tcPr>
            <w:tcW w:w="615" w:type="dxa"/>
            <w:tcBorders>
              <w:top w:val="nil"/>
              <w:left w:val="nil"/>
              <w:bottom w:val="single" w:sz="4" w:space="0" w:color="auto"/>
              <w:right w:val="single" w:sz="4" w:space="0" w:color="auto"/>
            </w:tcBorders>
            <w:shd w:val="clear" w:color="auto" w:fill="auto"/>
            <w:vAlign w:val="center"/>
            <w:hideMark/>
          </w:tcPr>
          <w:p w14:paraId="76FAD913"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0" w:type="dxa"/>
            <w:tcBorders>
              <w:top w:val="nil"/>
              <w:left w:val="nil"/>
              <w:bottom w:val="single" w:sz="4" w:space="0" w:color="auto"/>
              <w:right w:val="single" w:sz="4" w:space="0" w:color="auto"/>
            </w:tcBorders>
            <w:shd w:val="clear" w:color="auto" w:fill="auto"/>
            <w:vAlign w:val="center"/>
            <w:hideMark/>
          </w:tcPr>
          <w:p w14:paraId="1066B30E"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4EEFCB05"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60" w:type="dxa"/>
            <w:tcBorders>
              <w:top w:val="nil"/>
              <w:left w:val="nil"/>
              <w:bottom w:val="single" w:sz="4" w:space="0" w:color="auto"/>
              <w:right w:val="single" w:sz="4" w:space="0" w:color="auto"/>
            </w:tcBorders>
            <w:shd w:val="clear" w:color="auto" w:fill="auto"/>
            <w:vAlign w:val="center"/>
            <w:hideMark/>
          </w:tcPr>
          <w:p w14:paraId="604C5BB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6C67D166"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476" w:type="dxa"/>
            <w:tcBorders>
              <w:top w:val="nil"/>
              <w:left w:val="nil"/>
              <w:bottom w:val="single" w:sz="4" w:space="0" w:color="auto"/>
              <w:right w:val="single" w:sz="4" w:space="0" w:color="auto"/>
            </w:tcBorders>
            <w:shd w:val="clear" w:color="auto" w:fill="auto"/>
            <w:vAlign w:val="center"/>
            <w:hideMark/>
          </w:tcPr>
          <w:p w14:paraId="65D9264C"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569F0F58"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615" w:type="dxa"/>
            <w:tcBorders>
              <w:top w:val="nil"/>
              <w:left w:val="nil"/>
              <w:bottom w:val="single" w:sz="4" w:space="0" w:color="auto"/>
              <w:right w:val="single" w:sz="4" w:space="0" w:color="auto"/>
            </w:tcBorders>
            <w:shd w:val="clear" w:color="auto" w:fill="auto"/>
            <w:vAlign w:val="center"/>
            <w:hideMark/>
          </w:tcPr>
          <w:p w14:paraId="2F1C85BA" w14:textId="77777777" w:rsidR="00152EE7" w:rsidRPr="002128A6" w:rsidRDefault="00152EE7" w:rsidP="00152EE7">
            <w:pPr>
              <w:spacing w:after="0" w:line="240" w:lineRule="auto"/>
              <w:jc w:val="center"/>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0</w:t>
            </w:r>
          </w:p>
        </w:tc>
        <w:tc>
          <w:tcPr>
            <w:tcW w:w="556" w:type="dxa"/>
            <w:tcBorders>
              <w:top w:val="nil"/>
              <w:left w:val="nil"/>
              <w:bottom w:val="single" w:sz="4" w:space="0" w:color="auto"/>
              <w:right w:val="single" w:sz="8" w:space="0" w:color="auto"/>
            </w:tcBorders>
            <w:shd w:val="clear" w:color="auto" w:fill="auto"/>
            <w:noWrap/>
            <w:vAlign w:val="center"/>
            <w:hideMark/>
          </w:tcPr>
          <w:p w14:paraId="7442F37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3,319,012</w:t>
            </w:r>
          </w:p>
        </w:tc>
      </w:tr>
      <w:tr w:rsidR="00F54824" w:rsidRPr="002128A6" w14:paraId="6F66633C" w14:textId="77777777" w:rsidTr="00152EE7">
        <w:trPr>
          <w:trHeight w:val="20"/>
        </w:trPr>
        <w:tc>
          <w:tcPr>
            <w:tcW w:w="2275" w:type="dxa"/>
            <w:tcBorders>
              <w:top w:val="nil"/>
              <w:left w:val="single" w:sz="8" w:space="0" w:color="auto"/>
              <w:bottom w:val="single" w:sz="8" w:space="0" w:color="auto"/>
              <w:right w:val="single" w:sz="4" w:space="0" w:color="auto"/>
            </w:tcBorders>
            <w:shd w:val="clear" w:color="000000" w:fill="E2EFDA"/>
            <w:vAlign w:val="center"/>
            <w:hideMark/>
          </w:tcPr>
          <w:p w14:paraId="1E53ABC6" w14:textId="70FEAAB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b/>
                <w:bCs/>
                <w:kern w:val="0"/>
                <w:sz w:val="8"/>
                <w:szCs w:val="14"/>
                <w14:ligatures w14:val="none"/>
              </w:rPr>
              <w:t>Kosto</w:t>
            </w:r>
            <w:r w:rsidR="008A598F" w:rsidRPr="002128A6">
              <w:rPr>
                <w:rFonts w:ascii="Garamond" w:eastAsia="Times New Roman" w:hAnsi="Garamond" w:cs="Times New Roman"/>
                <w:b/>
                <w:bCs/>
                <w:kern w:val="0"/>
                <w:sz w:val="8"/>
                <w:szCs w:val="14"/>
                <w14:ligatures w14:val="none"/>
              </w:rPr>
              <w:t>ja</w:t>
            </w:r>
            <w:r w:rsidRPr="002128A6">
              <w:rPr>
                <w:rFonts w:ascii="Garamond" w:eastAsia="Times New Roman" w:hAnsi="Garamond" w:cs="Times New Roman"/>
                <w:b/>
                <w:bCs/>
                <w:kern w:val="0"/>
                <w:sz w:val="8"/>
                <w:szCs w:val="14"/>
                <w14:ligatures w14:val="none"/>
              </w:rPr>
              <w:t xml:space="preserve"> totale Qëllimi i Politikës III</w:t>
            </w:r>
            <w:r w:rsidRPr="002128A6">
              <w:rPr>
                <w:rFonts w:ascii="Garamond" w:eastAsia="Times New Roman" w:hAnsi="Garamond" w:cs="Times New Roman"/>
                <w:kern w:val="0"/>
                <w:sz w:val="8"/>
                <w:szCs w:val="14"/>
                <w14:ligatures w14:val="none"/>
              </w:rPr>
              <w:br/>
            </w:r>
            <w:r w:rsidRPr="002128A6">
              <w:rPr>
                <w:rFonts w:ascii="Garamond" w:eastAsia="Times New Roman" w:hAnsi="Garamond" w:cs="Times New Roman"/>
                <w:b/>
                <w:bCs/>
                <w:kern w:val="0"/>
                <w:sz w:val="8"/>
                <w:szCs w:val="14"/>
                <w14:ligatures w14:val="none"/>
              </w:rPr>
              <w:t>(objektiva specifik</w:t>
            </w:r>
            <w:r w:rsidR="008A598F" w:rsidRPr="002128A6">
              <w:rPr>
                <w:rFonts w:ascii="Garamond" w:eastAsia="Times New Roman" w:hAnsi="Garamond" w:cs="Times New Roman"/>
                <w:b/>
                <w:bCs/>
                <w:kern w:val="0"/>
                <w:sz w:val="8"/>
                <w:szCs w:val="14"/>
                <w14:ligatures w14:val="none"/>
              </w:rPr>
              <w:t>ë</w:t>
            </w:r>
            <w:r w:rsidRPr="002128A6">
              <w:rPr>
                <w:rFonts w:ascii="Garamond" w:eastAsia="Times New Roman" w:hAnsi="Garamond" w:cs="Times New Roman"/>
                <w:b/>
                <w:bCs/>
                <w:kern w:val="0"/>
                <w:sz w:val="8"/>
                <w:szCs w:val="14"/>
                <w14:ligatures w14:val="none"/>
              </w:rPr>
              <w:t xml:space="preserve"> 3.1+3.2)</w:t>
            </w:r>
          </w:p>
        </w:tc>
        <w:tc>
          <w:tcPr>
            <w:tcW w:w="861" w:type="dxa"/>
            <w:tcBorders>
              <w:top w:val="nil"/>
              <w:left w:val="nil"/>
              <w:bottom w:val="single" w:sz="8" w:space="0" w:color="auto"/>
              <w:right w:val="single" w:sz="4" w:space="0" w:color="auto"/>
            </w:tcBorders>
            <w:shd w:val="clear" w:color="000000" w:fill="E2EFDA"/>
            <w:noWrap/>
            <w:vAlign w:val="bottom"/>
            <w:hideMark/>
          </w:tcPr>
          <w:p w14:paraId="0AF1999C"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719" w:type="dxa"/>
            <w:tcBorders>
              <w:top w:val="nil"/>
              <w:left w:val="nil"/>
              <w:bottom w:val="single" w:sz="8" w:space="0" w:color="auto"/>
              <w:right w:val="single" w:sz="4" w:space="0" w:color="auto"/>
            </w:tcBorders>
            <w:shd w:val="clear" w:color="000000" w:fill="E2EFDA"/>
            <w:noWrap/>
            <w:vAlign w:val="bottom"/>
            <w:hideMark/>
          </w:tcPr>
          <w:p w14:paraId="719E9E81"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445" w:type="dxa"/>
            <w:tcBorders>
              <w:top w:val="nil"/>
              <w:left w:val="nil"/>
              <w:bottom w:val="single" w:sz="8" w:space="0" w:color="auto"/>
              <w:right w:val="single" w:sz="4" w:space="0" w:color="auto"/>
            </w:tcBorders>
            <w:shd w:val="clear" w:color="000000" w:fill="E2EFDA"/>
            <w:noWrap/>
            <w:vAlign w:val="bottom"/>
            <w:hideMark/>
          </w:tcPr>
          <w:p w14:paraId="6D33BAD7"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509" w:type="dxa"/>
            <w:tcBorders>
              <w:top w:val="nil"/>
              <w:left w:val="nil"/>
              <w:bottom w:val="single" w:sz="8" w:space="0" w:color="auto"/>
              <w:right w:val="single" w:sz="4" w:space="0" w:color="auto"/>
            </w:tcBorders>
            <w:shd w:val="clear" w:color="000000" w:fill="E2EFDA"/>
            <w:noWrap/>
            <w:vAlign w:val="bottom"/>
            <w:hideMark/>
          </w:tcPr>
          <w:p w14:paraId="7493AD3C" w14:textId="77777777" w:rsidR="00152EE7" w:rsidRPr="002128A6" w:rsidRDefault="00152EE7" w:rsidP="00152EE7">
            <w:pPr>
              <w:spacing w:after="0" w:line="240" w:lineRule="auto"/>
              <w:rPr>
                <w:rFonts w:ascii="Garamond" w:eastAsia="Times New Roman" w:hAnsi="Garamond" w:cs="Times New Roman"/>
                <w:kern w:val="0"/>
                <w:sz w:val="8"/>
                <w:szCs w:val="14"/>
                <w14:ligatures w14:val="none"/>
              </w:rPr>
            </w:pPr>
            <w:r w:rsidRPr="002128A6">
              <w:rPr>
                <w:rFonts w:ascii="Garamond" w:eastAsia="Times New Roman" w:hAnsi="Garamond" w:cs="Times New Roman"/>
                <w:kern w:val="0"/>
                <w:sz w:val="8"/>
                <w:szCs w:val="14"/>
                <w14:ligatures w14:val="none"/>
              </w:rPr>
              <w:t> </w:t>
            </w:r>
          </w:p>
        </w:tc>
        <w:tc>
          <w:tcPr>
            <w:tcW w:w="639" w:type="dxa"/>
            <w:tcBorders>
              <w:top w:val="nil"/>
              <w:left w:val="nil"/>
              <w:bottom w:val="single" w:sz="8" w:space="0" w:color="auto"/>
              <w:right w:val="single" w:sz="4" w:space="0" w:color="auto"/>
            </w:tcBorders>
            <w:shd w:val="clear" w:color="000000" w:fill="E2EFDA"/>
            <w:noWrap/>
            <w:vAlign w:val="center"/>
            <w:hideMark/>
          </w:tcPr>
          <w:p w14:paraId="6069BC9F"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1,049,844,292</w:t>
            </w:r>
          </w:p>
        </w:tc>
        <w:tc>
          <w:tcPr>
            <w:tcW w:w="639" w:type="dxa"/>
            <w:tcBorders>
              <w:top w:val="nil"/>
              <w:left w:val="nil"/>
              <w:bottom w:val="single" w:sz="8" w:space="0" w:color="auto"/>
              <w:right w:val="single" w:sz="4" w:space="0" w:color="auto"/>
            </w:tcBorders>
            <w:shd w:val="clear" w:color="000000" w:fill="E2EFDA"/>
            <w:noWrap/>
            <w:vAlign w:val="center"/>
            <w:hideMark/>
          </w:tcPr>
          <w:p w14:paraId="53761A4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44" w:type="dxa"/>
            <w:tcBorders>
              <w:top w:val="nil"/>
              <w:left w:val="nil"/>
              <w:bottom w:val="single" w:sz="8" w:space="0" w:color="auto"/>
              <w:right w:val="single" w:sz="4" w:space="0" w:color="auto"/>
            </w:tcBorders>
            <w:shd w:val="clear" w:color="000000" w:fill="E2EFDA"/>
            <w:noWrap/>
            <w:vAlign w:val="center"/>
            <w:hideMark/>
          </w:tcPr>
          <w:p w14:paraId="74DAA23A"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1,049,844,292</w:t>
            </w:r>
          </w:p>
        </w:tc>
        <w:tc>
          <w:tcPr>
            <w:tcW w:w="644" w:type="dxa"/>
            <w:tcBorders>
              <w:top w:val="nil"/>
              <w:left w:val="nil"/>
              <w:bottom w:val="single" w:sz="8" w:space="0" w:color="auto"/>
              <w:right w:val="single" w:sz="4" w:space="0" w:color="auto"/>
            </w:tcBorders>
            <w:shd w:val="clear" w:color="000000" w:fill="E2EFDA"/>
            <w:noWrap/>
            <w:vAlign w:val="center"/>
            <w:hideMark/>
          </w:tcPr>
          <w:p w14:paraId="028E911F"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939,293,124</w:t>
            </w:r>
          </w:p>
        </w:tc>
        <w:tc>
          <w:tcPr>
            <w:tcW w:w="610" w:type="dxa"/>
            <w:tcBorders>
              <w:top w:val="nil"/>
              <w:left w:val="nil"/>
              <w:bottom w:val="single" w:sz="8" w:space="0" w:color="auto"/>
              <w:right w:val="single" w:sz="4" w:space="0" w:color="auto"/>
            </w:tcBorders>
            <w:shd w:val="clear" w:color="000000" w:fill="E2EFDA"/>
            <w:noWrap/>
            <w:vAlign w:val="center"/>
            <w:hideMark/>
          </w:tcPr>
          <w:p w14:paraId="3262041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39" w:type="dxa"/>
            <w:tcBorders>
              <w:top w:val="nil"/>
              <w:left w:val="nil"/>
              <w:bottom w:val="single" w:sz="8" w:space="0" w:color="auto"/>
              <w:right w:val="single" w:sz="4" w:space="0" w:color="auto"/>
            </w:tcBorders>
            <w:shd w:val="clear" w:color="000000" w:fill="E2EFDA"/>
            <w:noWrap/>
            <w:vAlign w:val="center"/>
            <w:hideMark/>
          </w:tcPr>
          <w:p w14:paraId="7543B82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939,293,124</w:t>
            </w:r>
          </w:p>
        </w:tc>
        <w:tc>
          <w:tcPr>
            <w:tcW w:w="615" w:type="dxa"/>
            <w:tcBorders>
              <w:top w:val="nil"/>
              <w:left w:val="nil"/>
              <w:bottom w:val="single" w:sz="8" w:space="0" w:color="auto"/>
              <w:right w:val="single" w:sz="4" w:space="0" w:color="auto"/>
            </w:tcBorders>
            <w:shd w:val="clear" w:color="000000" w:fill="E2EFDA"/>
            <w:noWrap/>
            <w:vAlign w:val="center"/>
            <w:hideMark/>
          </w:tcPr>
          <w:p w14:paraId="41FD94AD"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110,551,168</w:t>
            </w:r>
          </w:p>
        </w:tc>
        <w:tc>
          <w:tcPr>
            <w:tcW w:w="610" w:type="dxa"/>
            <w:tcBorders>
              <w:top w:val="nil"/>
              <w:left w:val="nil"/>
              <w:bottom w:val="single" w:sz="8" w:space="0" w:color="auto"/>
              <w:right w:val="single" w:sz="4" w:space="0" w:color="auto"/>
            </w:tcBorders>
            <w:shd w:val="clear" w:color="000000" w:fill="E2EFDA"/>
            <w:noWrap/>
            <w:vAlign w:val="center"/>
            <w:hideMark/>
          </w:tcPr>
          <w:p w14:paraId="383D944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2D6E430F"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110,551,168</w:t>
            </w:r>
          </w:p>
        </w:tc>
        <w:tc>
          <w:tcPr>
            <w:tcW w:w="460" w:type="dxa"/>
            <w:tcBorders>
              <w:top w:val="nil"/>
              <w:left w:val="nil"/>
              <w:bottom w:val="single" w:sz="8" w:space="0" w:color="auto"/>
              <w:right w:val="single" w:sz="4" w:space="0" w:color="auto"/>
            </w:tcBorders>
            <w:shd w:val="clear" w:color="000000" w:fill="E2EFDA"/>
            <w:noWrap/>
            <w:vAlign w:val="center"/>
            <w:hideMark/>
          </w:tcPr>
          <w:p w14:paraId="7A0F5310"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38F28AF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476" w:type="dxa"/>
            <w:tcBorders>
              <w:top w:val="nil"/>
              <w:left w:val="nil"/>
              <w:bottom w:val="single" w:sz="8" w:space="0" w:color="auto"/>
              <w:right w:val="single" w:sz="4" w:space="0" w:color="auto"/>
            </w:tcBorders>
            <w:shd w:val="clear" w:color="000000" w:fill="E2EFDA"/>
            <w:noWrap/>
            <w:vAlign w:val="center"/>
            <w:hideMark/>
          </w:tcPr>
          <w:p w14:paraId="4BCB079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46F00DF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nil"/>
              <w:left w:val="nil"/>
              <w:bottom w:val="single" w:sz="8" w:space="0" w:color="auto"/>
              <w:right w:val="single" w:sz="4" w:space="0" w:color="auto"/>
            </w:tcBorders>
            <w:shd w:val="clear" w:color="000000" w:fill="E2EFDA"/>
            <w:noWrap/>
            <w:vAlign w:val="center"/>
            <w:hideMark/>
          </w:tcPr>
          <w:p w14:paraId="0254A73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556" w:type="dxa"/>
            <w:tcBorders>
              <w:top w:val="nil"/>
              <w:left w:val="nil"/>
              <w:bottom w:val="single" w:sz="8" w:space="0" w:color="auto"/>
              <w:right w:val="single" w:sz="8" w:space="0" w:color="auto"/>
            </w:tcBorders>
            <w:shd w:val="clear" w:color="000000" w:fill="92D050"/>
            <w:noWrap/>
            <w:vAlign w:val="center"/>
            <w:hideMark/>
          </w:tcPr>
          <w:p w14:paraId="049F540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11,276,523</w:t>
            </w:r>
          </w:p>
        </w:tc>
      </w:tr>
      <w:tr w:rsidR="00F54824" w:rsidRPr="002128A6" w14:paraId="47015CCD" w14:textId="77777777" w:rsidTr="00152EE7">
        <w:trPr>
          <w:trHeight w:val="20"/>
        </w:trPr>
        <w:tc>
          <w:tcPr>
            <w:tcW w:w="2275" w:type="dxa"/>
            <w:tcBorders>
              <w:top w:val="single" w:sz="4" w:space="0" w:color="auto"/>
              <w:left w:val="single" w:sz="8" w:space="0" w:color="auto"/>
              <w:bottom w:val="single" w:sz="8" w:space="0" w:color="auto"/>
              <w:right w:val="single" w:sz="4" w:space="0" w:color="auto"/>
            </w:tcBorders>
            <w:shd w:val="clear" w:color="000000" w:fill="BDD7EE"/>
            <w:vAlign w:val="center"/>
            <w:hideMark/>
          </w:tcPr>
          <w:p w14:paraId="45F9E076" w14:textId="6B5B7B4C"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Kosto</w:t>
            </w:r>
            <w:r w:rsidR="00F145C6" w:rsidRPr="002128A6">
              <w:rPr>
                <w:rFonts w:ascii="Garamond" w:eastAsia="Times New Roman" w:hAnsi="Garamond" w:cs="Times New Roman"/>
                <w:b/>
                <w:bCs/>
                <w:kern w:val="0"/>
                <w:sz w:val="8"/>
                <w:szCs w:val="14"/>
                <w14:ligatures w14:val="none"/>
              </w:rPr>
              <w:t>ja t</w:t>
            </w:r>
            <w:r w:rsidRPr="002128A6">
              <w:rPr>
                <w:rFonts w:ascii="Garamond" w:eastAsia="Times New Roman" w:hAnsi="Garamond" w:cs="Times New Roman"/>
                <w:b/>
                <w:bCs/>
                <w:kern w:val="0"/>
                <w:sz w:val="8"/>
                <w:szCs w:val="14"/>
                <w14:ligatures w14:val="none"/>
              </w:rPr>
              <w:t>otale e PV</w:t>
            </w:r>
          </w:p>
        </w:tc>
        <w:tc>
          <w:tcPr>
            <w:tcW w:w="861" w:type="dxa"/>
            <w:tcBorders>
              <w:top w:val="single" w:sz="4" w:space="0" w:color="auto"/>
              <w:left w:val="nil"/>
              <w:bottom w:val="single" w:sz="8" w:space="0" w:color="auto"/>
              <w:right w:val="single" w:sz="4" w:space="0" w:color="auto"/>
            </w:tcBorders>
            <w:shd w:val="clear" w:color="000000" w:fill="BDD7EE"/>
            <w:noWrap/>
            <w:vAlign w:val="center"/>
            <w:hideMark/>
          </w:tcPr>
          <w:p w14:paraId="1E24DA2C"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719" w:type="dxa"/>
            <w:tcBorders>
              <w:top w:val="single" w:sz="4" w:space="0" w:color="auto"/>
              <w:left w:val="nil"/>
              <w:bottom w:val="single" w:sz="8" w:space="0" w:color="auto"/>
              <w:right w:val="single" w:sz="4" w:space="0" w:color="auto"/>
            </w:tcBorders>
            <w:shd w:val="clear" w:color="000000" w:fill="BDD7EE"/>
            <w:noWrap/>
            <w:vAlign w:val="center"/>
            <w:hideMark/>
          </w:tcPr>
          <w:p w14:paraId="06D29285"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445" w:type="dxa"/>
            <w:tcBorders>
              <w:top w:val="single" w:sz="4" w:space="0" w:color="auto"/>
              <w:left w:val="nil"/>
              <w:bottom w:val="single" w:sz="8" w:space="0" w:color="auto"/>
              <w:right w:val="single" w:sz="4" w:space="0" w:color="auto"/>
            </w:tcBorders>
            <w:shd w:val="clear" w:color="000000" w:fill="BDD7EE"/>
            <w:noWrap/>
            <w:vAlign w:val="center"/>
            <w:hideMark/>
          </w:tcPr>
          <w:p w14:paraId="574BA533"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509" w:type="dxa"/>
            <w:tcBorders>
              <w:top w:val="single" w:sz="4" w:space="0" w:color="auto"/>
              <w:left w:val="nil"/>
              <w:bottom w:val="single" w:sz="8" w:space="0" w:color="auto"/>
              <w:right w:val="single" w:sz="4" w:space="0" w:color="auto"/>
            </w:tcBorders>
            <w:shd w:val="clear" w:color="000000" w:fill="BDD7EE"/>
            <w:noWrap/>
            <w:vAlign w:val="center"/>
            <w:hideMark/>
          </w:tcPr>
          <w:p w14:paraId="0C0D67CD" w14:textId="77777777" w:rsidR="00152EE7" w:rsidRPr="002128A6" w:rsidRDefault="00152EE7" w:rsidP="00152EE7">
            <w:pPr>
              <w:spacing w:after="0" w:line="240" w:lineRule="auto"/>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 </w:t>
            </w:r>
          </w:p>
        </w:tc>
        <w:tc>
          <w:tcPr>
            <w:tcW w:w="639" w:type="dxa"/>
            <w:tcBorders>
              <w:top w:val="single" w:sz="4" w:space="0" w:color="auto"/>
              <w:left w:val="nil"/>
              <w:bottom w:val="single" w:sz="8" w:space="0" w:color="auto"/>
              <w:right w:val="single" w:sz="4" w:space="0" w:color="auto"/>
            </w:tcBorders>
            <w:shd w:val="clear" w:color="000000" w:fill="BDD7EE"/>
            <w:noWrap/>
            <w:vAlign w:val="center"/>
            <w:hideMark/>
          </w:tcPr>
          <w:p w14:paraId="7953E7E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25,661,134,416</w:t>
            </w:r>
          </w:p>
        </w:tc>
        <w:tc>
          <w:tcPr>
            <w:tcW w:w="639" w:type="dxa"/>
            <w:tcBorders>
              <w:top w:val="single" w:sz="4" w:space="0" w:color="auto"/>
              <w:left w:val="nil"/>
              <w:bottom w:val="single" w:sz="8" w:space="0" w:color="auto"/>
              <w:right w:val="single" w:sz="4" w:space="0" w:color="auto"/>
            </w:tcBorders>
            <w:shd w:val="clear" w:color="000000" w:fill="BDD7EE"/>
            <w:noWrap/>
            <w:vAlign w:val="center"/>
            <w:hideMark/>
          </w:tcPr>
          <w:p w14:paraId="22F39CB9"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11,869,687,406</w:t>
            </w:r>
          </w:p>
        </w:tc>
        <w:tc>
          <w:tcPr>
            <w:tcW w:w="644" w:type="dxa"/>
            <w:tcBorders>
              <w:top w:val="single" w:sz="4" w:space="0" w:color="auto"/>
              <w:left w:val="nil"/>
              <w:bottom w:val="single" w:sz="8" w:space="0" w:color="auto"/>
              <w:right w:val="single" w:sz="4" w:space="0" w:color="auto"/>
            </w:tcBorders>
            <w:shd w:val="clear" w:color="000000" w:fill="BDD7EE"/>
            <w:noWrap/>
            <w:vAlign w:val="center"/>
            <w:hideMark/>
          </w:tcPr>
          <w:p w14:paraId="76D033F4"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37,530,821,822</w:t>
            </w:r>
          </w:p>
        </w:tc>
        <w:tc>
          <w:tcPr>
            <w:tcW w:w="644" w:type="dxa"/>
            <w:tcBorders>
              <w:top w:val="single" w:sz="4" w:space="0" w:color="auto"/>
              <w:left w:val="nil"/>
              <w:bottom w:val="single" w:sz="8" w:space="0" w:color="auto"/>
              <w:right w:val="single" w:sz="4" w:space="0" w:color="auto"/>
            </w:tcBorders>
            <w:shd w:val="clear" w:color="000000" w:fill="BDD7EE"/>
            <w:noWrap/>
            <w:vAlign w:val="center"/>
            <w:hideMark/>
          </w:tcPr>
          <w:p w14:paraId="2C66142C"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20,437,788,418</w:t>
            </w:r>
          </w:p>
        </w:tc>
        <w:tc>
          <w:tcPr>
            <w:tcW w:w="610" w:type="dxa"/>
            <w:tcBorders>
              <w:top w:val="single" w:sz="4" w:space="0" w:color="auto"/>
              <w:left w:val="nil"/>
              <w:bottom w:val="single" w:sz="8" w:space="0" w:color="auto"/>
              <w:right w:val="single" w:sz="4" w:space="0" w:color="auto"/>
            </w:tcBorders>
            <w:shd w:val="clear" w:color="000000" w:fill="BDD7EE"/>
            <w:noWrap/>
            <w:vAlign w:val="center"/>
            <w:hideMark/>
          </w:tcPr>
          <w:p w14:paraId="6320B1A0"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2,201,627,998</w:t>
            </w:r>
          </w:p>
        </w:tc>
        <w:tc>
          <w:tcPr>
            <w:tcW w:w="639" w:type="dxa"/>
            <w:tcBorders>
              <w:top w:val="single" w:sz="4" w:space="0" w:color="auto"/>
              <w:left w:val="nil"/>
              <w:bottom w:val="single" w:sz="8" w:space="0" w:color="auto"/>
              <w:right w:val="single" w:sz="4" w:space="0" w:color="auto"/>
            </w:tcBorders>
            <w:shd w:val="clear" w:color="000000" w:fill="BDD7EE"/>
            <w:noWrap/>
            <w:vAlign w:val="center"/>
            <w:hideMark/>
          </w:tcPr>
          <w:p w14:paraId="784B3890"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22,639,416,416</w:t>
            </w:r>
          </w:p>
        </w:tc>
        <w:tc>
          <w:tcPr>
            <w:tcW w:w="615" w:type="dxa"/>
            <w:tcBorders>
              <w:top w:val="single" w:sz="4" w:space="0" w:color="auto"/>
              <w:left w:val="nil"/>
              <w:bottom w:val="single" w:sz="8" w:space="0" w:color="auto"/>
              <w:right w:val="single" w:sz="4" w:space="0" w:color="auto"/>
            </w:tcBorders>
            <w:shd w:val="clear" w:color="000000" w:fill="BDD7EE"/>
            <w:noWrap/>
            <w:vAlign w:val="center"/>
            <w:hideMark/>
          </w:tcPr>
          <w:p w14:paraId="78C5ECA9"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5,223,345,998</w:t>
            </w:r>
          </w:p>
        </w:tc>
        <w:tc>
          <w:tcPr>
            <w:tcW w:w="610" w:type="dxa"/>
            <w:tcBorders>
              <w:top w:val="single" w:sz="4" w:space="0" w:color="auto"/>
              <w:left w:val="nil"/>
              <w:bottom w:val="single" w:sz="8" w:space="0" w:color="auto"/>
              <w:right w:val="single" w:sz="4" w:space="0" w:color="auto"/>
            </w:tcBorders>
            <w:shd w:val="clear" w:color="000000" w:fill="BDD7EE"/>
            <w:noWrap/>
            <w:vAlign w:val="center"/>
            <w:hideMark/>
          </w:tcPr>
          <w:p w14:paraId="5C151571"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2,701,050,000</w:t>
            </w:r>
          </w:p>
        </w:tc>
        <w:tc>
          <w:tcPr>
            <w:tcW w:w="615" w:type="dxa"/>
            <w:tcBorders>
              <w:top w:val="single" w:sz="4" w:space="0" w:color="auto"/>
              <w:left w:val="nil"/>
              <w:bottom w:val="single" w:sz="8" w:space="0" w:color="auto"/>
              <w:right w:val="single" w:sz="4" w:space="0" w:color="auto"/>
            </w:tcBorders>
            <w:shd w:val="clear" w:color="000000" w:fill="BDD7EE"/>
            <w:noWrap/>
            <w:vAlign w:val="center"/>
            <w:hideMark/>
          </w:tcPr>
          <w:p w14:paraId="2FE4683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7,924,395,998</w:t>
            </w:r>
          </w:p>
        </w:tc>
        <w:tc>
          <w:tcPr>
            <w:tcW w:w="460" w:type="dxa"/>
            <w:tcBorders>
              <w:top w:val="single" w:sz="4" w:space="0" w:color="auto"/>
              <w:left w:val="nil"/>
              <w:bottom w:val="single" w:sz="8" w:space="0" w:color="auto"/>
              <w:right w:val="single" w:sz="4" w:space="0" w:color="auto"/>
            </w:tcBorders>
            <w:shd w:val="clear" w:color="000000" w:fill="BDD7EE"/>
            <w:noWrap/>
            <w:vAlign w:val="center"/>
            <w:hideMark/>
          </w:tcPr>
          <w:p w14:paraId="687FE458"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single" w:sz="4" w:space="0" w:color="auto"/>
              <w:left w:val="nil"/>
              <w:bottom w:val="single" w:sz="8" w:space="0" w:color="auto"/>
              <w:right w:val="single" w:sz="4" w:space="0" w:color="auto"/>
            </w:tcBorders>
            <w:shd w:val="clear" w:color="000000" w:fill="BDD7EE"/>
            <w:noWrap/>
            <w:vAlign w:val="center"/>
            <w:hideMark/>
          </w:tcPr>
          <w:p w14:paraId="0D67EB4C"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3,974,455,408</w:t>
            </w:r>
          </w:p>
        </w:tc>
        <w:tc>
          <w:tcPr>
            <w:tcW w:w="476" w:type="dxa"/>
            <w:tcBorders>
              <w:top w:val="single" w:sz="4" w:space="0" w:color="auto"/>
              <w:left w:val="nil"/>
              <w:bottom w:val="single" w:sz="8" w:space="0" w:color="auto"/>
              <w:right w:val="single" w:sz="4" w:space="0" w:color="auto"/>
            </w:tcBorders>
            <w:shd w:val="clear" w:color="000000" w:fill="BDD7EE"/>
            <w:noWrap/>
            <w:vAlign w:val="center"/>
            <w:hideMark/>
          </w:tcPr>
          <w:p w14:paraId="66BA8897"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0</w:t>
            </w:r>
          </w:p>
        </w:tc>
        <w:tc>
          <w:tcPr>
            <w:tcW w:w="615" w:type="dxa"/>
            <w:tcBorders>
              <w:top w:val="single" w:sz="4" w:space="0" w:color="auto"/>
              <w:left w:val="nil"/>
              <w:bottom w:val="single" w:sz="8" w:space="0" w:color="auto"/>
              <w:right w:val="single" w:sz="4" w:space="0" w:color="auto"/>
            </w:tcBorders>
            <w:shd w:val="clear" w:color="000000" w:fill="BDD7EE"/>
            <w:noWrap/>
            <w:vAlign w:val="center"/>
            <w:hideMark/>
          </w:tcPr>
          <w:p w14:paraId="1D16FBB9"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3,974,455,408</w:t>
            </w:r>
          </w:p>
        </w:tc>
        <w:tc>
          <w:tcPr>
            <w:tcW w:w="615" w:type="dxa"/>
            <w:tcBorders>
              <w:top w:val="single" w:sz="4" w:space="0" w:color="auto"/>
              <w:left w:val="nil"/>
              <w:bottom w:val="single" w:sz="8" w:space="0" w:color="auto"/>
              <w:right w:val="single" w:sz="4" w:space="0" w:color="auto"/>
            </w:tcBorders>
            <w:shd w:val="clear" w:color="000000" w:fill="BDD7EE"/>
            <w:noWrap/>
            <w:vAlign w:val="center"/>
            <w:hideMark/>
          </w:tcPr>
          <w:p w14:paraId="15C3AD25"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2,992,554,000</w:t>
            </w:r>
          </w:p>
        </w:tc>
        <w:tc>
          <w:tcPr>
            <w:tcW w:w="556" w:type="dxa"/>
            <w:tcBorders>
              <w:top w:val="single" w:sz="4" w:space="0" w:color="auto"/>
              <w:left w:val="nil"/>
              <w:bottom w:val="single" w:sz="8" w:space="0" w:color="auto"/>
              <w:right w:val="single" w:sz="4" w:space="0" w:color="auto"/>
            </w:tcBorders>
            <w:shd w:val="clear" w:color="000000" w:fill="BDD7EE"/>
            <w:noWrap/>
            <w:vAlign w:val="center"/>
            <w:hideMark/>
          </w:tcPr>
          <w:p w14:paraId="0ED61C1E" w14:textId="77777777" w:rsidR="00152EE7" w:rsidRPr="002128A6" w:rsidRDefault="00152EE7" w:rsidP="00152EE7">
            <w:pPr>
              <w:spacing w:after="0" w:line="240" w:lineRule="auto"/>
              <w:jc w:val="center"/>
              <w:rPr>
                <w:rFonts w:ascii="Garamond" w:eastAsia="Times New Roman" w:hAnsi="Garamond" w:cs="Times New Roman"/>
                <w:b/>
                <w:bCs/>
                <w:kern w:val="0"/>
                <w:sz w:val="8"/>
                <w:szCs w:val="14"/>
                <w14:ligatures w14:val="none"/>
              </w:rPr>
            </w:pPr>
            <w:r w:rsidRPr="002128A6">
              <w:rPr>
                <w:rFonts w:ascii="Garamond" w:eastAsia="Times New Roman" w:hAnsi="Garamond" w:cs="Times New Roman"/>
                <w:b/>
                <w:bCs/>
                <w:kern w:val="0"/>
                <w:sz w:val="8"/>
                <w:szCs w:val="14"/>
                <w14:ligatures w14:val="none"/>
              </w:rPr>
              <w:t>403,123,757</w:t>
            </w:r>
          </w:p>
        </w:tc>
      </w:tr>
    </w:tbl>
    <w:p w14:paraId="28D587FD" w14:textId="0E262138" w:rsidR="00152EE7" w:rsidRPr="002128A6" w:rsidRDefault="00152EE7" w:rsidP="00152EE7">
      <w:pPr>
        <w:spacing w:after="0"/>
        <w:rPr>
          <w:rFonts w:ascii="Garamond" w:hAnsi="Garamond" w:cstheme="majorBidi"/>
          <w:b/>
          <w:bCs/>
        </w:rPr>
      </w:pPr>
    </w:p>
    <w:tbl>
      <w:tblPr>
        <w:tblW w:w="5000" w:type="pct"/>
        <w:tblLook w:val="04A0" w:firstRow="1" w:lastRow="0" w:firstColumn="1" w:lastColumn="0" w:noHBand="0" w:noVBand="1"/>
      </w:tblPr>
      <w:tblGrid>
        <w:gridCol w:w="1069"/>
        <w:gridCol w:w="1642"/>
        <w:gridCol w:w="1438"/>
        <w:gridCol w:w="2098"/>
        <w:gridCol w:w="1367"/>
        <w:gridCol w:w="1329"/>
        <w:gridCol w:w="1363"/>
        <w:gridCol w:w="1363"/>
        <w:gridCol w:w="1291"/>
      </w:tblGrid>
      <w:tr w:rsidR="00F54824" w:rsidRPr="002128A6" w14:paraId="4BD90BB1" w14:textId="77777777" w:rsidTr="00F862D3">
        <w:trPr>
          <w:trHeight w:val="20"/>
        </w:trPr>
        <w:tc>
          <w:tcPr>
            <w:tcW w:w="418" w:type="pct"/>
            <w:tcBorders>
              <w:top w:val="nil"/>
              <w:left w:val="nil"/>
              <w:bottom w:val="nil"/>
              <w:right w:val="nil"/>
            </w:tcBorders>
            <w:shd w:val="clear" w:color="auto" w:fill="auto"/>
            <w:noWrap/>
            <w:vAlign w:val="bottom"/>
            <w:hideMark/>
          </w:tcPr>
          <w:p w14:paraId="53239E10" w14:textId="77777777" w:rsidR="00F862D3" w:rsidRPr="002128A6" w:rsidRDefault="00F862D3" w:rsidP="00F862D3">
            <w:pPr>
              <w:spacing w:after="0" w:line="240" w:lineRule="auto"/>
              <w:rPr>
                <w:rFonts w:ascii="Garamond" w:eastAsia="Times New Roman" w:hAnsi="Garamond" w:cs="Times New Roman"/>
                <w:kern w:val="0"/>
                <w:sz w:val="14"/>
                <w:szCs w:val="16"/>
                <w14:ligatures w14:val="none"/>
              </w:rPr>
            </w:pPr>
          </w:p>
        </w:tc>
        <w:tc>
          <w:tcPr>
            <w:tcW w:w="639" w:type="pct"/>
            <w:tcBorders>
              <w:top w:val="nil"/>
              <w:left w:val="nil"/>
              <w:bottom w:val="nil"/>
              <w:right w:val="nil"/>
            </w:tcBorders>
            <w:shd w:val="clear" w:color="auto" w:fill="auto"/>
            <w:noWrap/>
            <w:vAlign w:val="center"/>
            <w:hideMark/>
          </w:tcPr>
          <w:p w14:paraId="1873BB62" w14:textId="77777777" w:rsidR="00F862D3" w:rsidRPr="002128A6" w:rsidRDefault="00F862D3" w:rsidP="00F862D3">
            <w:pPr>
              <w:spacing w:after="0" w:line="240" w:lineRule="auto"/>
              <w:rPr>
                <w:rFonts w:ascii="Garamond" w:eastAsia="Times New Roman" w:hAnsi="Garamond" w:cs="Times New Roman"/>
                <w:kern w:val="0"/>
                <w:sz w:val="14"/>
                <w:szCs w:val="16"/>
                <w14:ligatures w14:val="none"/>
              </w:rPr>
            </w:pPr>
          </w:p>
        </w:tc>
        <w:tc>
          <w:tcPr>
            <w:tcW w:w="560" w:type="pct"/>
            <w:tcBorders>
              <w:top w:val="nil"/>
              <w:left w:val="nil"/>
              <w:bottom w:val="nil"/>
              <w:right w:val="nil"/>
            </w:tcBorders>
            <w:shd w:val="clear" w:color="auto" w:fill="auto"/>
            <w:noWrap/>
            <w:vAlign w:val="center"/>
            <w:hideMark/>
          </w:tcPr>
          <w:p w14:paraId="2AE863D6"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815" w:type="pct"/>
            <w:tcBorders>
              <w:top w:val="nil"/>
              <w:left w:val="nil"/>
              <w:bottom w:val="nil"/>
              <w:right w:val="nil"/>
            </w:tcBorders>
            <w:shd w:val="clear" w:color="auto" w:fill="auto"/>
            <w:noWrap/>
            <w:vAlign w:val="center"/>
            <w:hideMark/>
          </w:tcPr>
          <w:p w14:paraId="304ADC4A"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485" w:type="pct"/>
            <w:tcBorders>
              <w:top w:val="single" w:sz="4" w:space="0" w:color="auto"/>
              <w:left w:val="single" w:sz="4" w:space="0" w:color="auto"/>
              <w:bottom w:val="single" w:sz="4" w:space="0" w:color="auto"/>
              <w:right w:val="single" w:sz="4" w:space="0" w:color="auto"/>
            </w:tcBorders>
            <w:shd w:val="clear" w:color="000000" w:fill="548235"/>
            <w:noWrap/>
            <w:vAlign w:val="center"/>
            <w:hideMark/>
          </w:tcPr>
          <w:p w14:paraId="42F1CAAA"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 </w:t>
            </w:r>
          </w:p>
        </w:tc>
        <w:tc>
          <w:tcPr>
            <w:tcW w:w="518" w:type="pct"/>
            <w:tcBorders>
              <w:top w:val="single" w:sz="4" w:space="0" w:color="auto"/>
              <w:left w:val="nil"/>
              <w:bottom w:val="single" w:sz="4" w:space="0" w:color="auto"/>
              <w:right w:val="single" w:sz="4" w:space="0" w:color="auto"/>
            </w:tcBorders>
            <w:shd w:val="clear" w:color="000000" w:fill="548235"/>
            <w:noWrap/>
            <w:vAlign w:val="center"/>
            <w:hideMark/>
          </w:tcPr>
          <w:p w14:paraId="50F8B60C" w14:textId="20717DEA"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Kosto</w:t>
            </w:r>
            <w:r w:rsidR="00F145C6" w:rsidRPr="002128A6">
              <w:rPr>
                <w:rFonts w:ascii="Garamond" w:eastAsia="Times New Roman" w:hAnsi="Garamond" w:cs="Times New Roman"/>
                <w:b/>
                <w:bCs/>
                <w:kern w:val="0"/>
                <w:sz w:val="14"/>
                <w:szCs w:val="16"/>
                <w14:ligatures w14:val="none"/>
              </w:rPr>
              <w:t>ja</w:t>
            </w:r>
            <w:r w:rsidRPr="002128A6">
              <w:rPr>
                <w:rFonts w:ascii="Garamond" w:eastAsia="Times New Roman" w:hAnsi="Garamond" w:cs="Times New Roman"/>
                <w:b/>
                <w:bCs/>
                <w:kern w:val="0"/>
                <w:sz w:val="14"/>
                <w:szCs w:val="16"/>
                <w14:ligatures w14:val="none"/>
              </w:rPr>
              <w:t xml:space="preserve"> </w:t>
            </w:r>
            <w:r w:rsidR="00F145C6" w:rsidRPr="002128A6">
              <w:rPr>
                <w:rFonts w:ascii="Garamond" w:eastAsia="Times New Roman" w:hAnsi="Garamond" w:cs="Times New Roman"/>
                <w:b/>
                <w:bCs/>
                <w:kern w:val="0"/>
                <w:sz w:val="14"/>
                <w:szCs w:val="16"/>
                <w14:ligatures w14:val="none"/>
              </w:rPr>
              <w:t>korrente</w:t>
            </w:r>
          </w:p>
        </w:tc>
        <w:tc>
          <w:tcPr>
            <w:tcW w:w="531" w:type="pct"/>
            <w:tcBorders>
              <w:top w:val="single" w:sz="4" w:space="0" w:color="auto"/>
              <w:left w:val="nil"/>
              <w:bottom w:val="single" w:sz="4" w:space="0" w:color="auto"/>
              <w:right w:val="single" w:sz="4" w:space="0" w:color="auto"/>
            </w:tcBorders>
            <w:shd w:val="clear" w:color="000000" w:fill="548235"/>
            <w:noWrap/>
            <w:vAlign w:val="center"/>
            <w:hideMark/>
          </w:tcPr>
          <w:p w14:paraId="706CBF7A" w14:textId="19220F04"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Kosto</w:t>
            </w:r>
            <w:r w:rsidR="00F145C6" w:rsidRPr="002128A6">
              <w:rPr>
                <w:rFonts w:ascii="Garamond" w:eastAsia="Times New Roman" w:hAnsi="Garamond" w:cs="Times New Roman"/>
                <w:b/>
                <w:bCs/>
                <w:kern w:val="0"/>
                <w:sz w:val="14"/>
                <w:szCs w:val="16"/>
                <w14:ligatures w14:val="none"/>
              </w:rPr>
              <w:t>ja</w:t>
            </w:r>
            <w:r w:rsidRPr="002128A6">
              <w:rPr>
                <w:rFonts w:ascii="Garamond" w:eastAsia="Times New Roman" w:hAnsi="Garamond" w:cs="Times New Roman"/>
                <w:b/>
                <w:bCs/>
                <w:kern w:val="0"/>
                <w:sz w:val="14"/>
                <w:szCs w:val="16"/>
                <w14:ligatures w14:val="none"/>
              </w:rPr>
              <w:t xml:space="preserve"> </w:t>
            </w:r>
            <w:r w:rsidR="00F145C6" w:rsidRPr="002128A6">
              <w:rPr>
                <w:rFonts w:ascii="Garamond" w:eastAsia="Times New Roman" w:hAnsi="Garamond" w:cs="Times New Roman"/>
                <w:b/>
                <w:bCs/>
                <w:kern w:val="0"/>
                <w:sz w:val="14"/>
                <w:szCs w:val="16"/>
                <w14:ligatures w14:val="none"/>
              </w:rPr>
              <w:t>kapitale</w:t>
            </w:r>
          </w:p>
        </w:tc>
        <w:tc>
          <w:tcPr>
            <w:tcW w:w="531" w:type="pct"/>
            <w:tcBorders>
              <w:top w:val="single" w:sz="4" w:space="0" w:color="auto"/>
              <w:left w:val="nil"/>
              <w:bottom w:val="single" w:sz="4" w:space="0" w:color="auto"/>
              <w:right w:val="single" w:sz="4" w:space="0" w:color="auto"/>
            </w:tcBorders>
            <w:shd w:val="clear" w:color="000000" w:fill="548235"/>
            <w:noWrap/>
            <w:vAlign w:val="center"/>
            <w:hideMark/>
          </w:tcPr>
          <w:p w14:paraId="16FA9259"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Totali</w:t>
            </w:r>
          </w:p>
        </w:tc>
        <w:tc>
          <w:tcPr>
            <w:tcW w:w="503" w:type="pct"/>
            <w:tcBorders>
              <w:top w:val="nil"/>
              <w:left w:val="nil"/>
              <w:bottom w:val="nil"/>
              <w:right w:val="nil"/>
            </w:tcBorders>
            <w:shd w:val="clear" w:color="auto" w:fill="auto"/>
            <w:noWrap/>
            <w:vAlign w:val="center"/>
            <w:hideMark/>
          </w:tcPr>
          <w:p w14:paraId="25CD30E2"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w:t>
            </w:r>
          </w:p>
        </w:tc>
      </w:tr>
      <w:tr w:rsidR="00F54824" w:rsidRPr="002128A6" w14:paraId="5D185C5E" w14:textId="77777777" w:rsidTr="00F862D3">
        <w:trPr>
          <w:trHeight w:val="20"/>
        </w:trPr>
        <w:tc>
          <w:tcPr>
            <w:tcW w:w="418" w:type="pct"/>
            <w:tcBorders>
              <w:top w:val="nil"/>
              <w:left w:val="nil"/>
              <w:bottom w:val="nil"/>
              <w:right w:val="nil"/>
            </w:tcBorders>
            <w:shd w:val="clear" w:color="auto" w:fill="auto"/>
            <w:vAlign w:val="center"/>
            <w:hideMark/>
          </w:tcPr>
          <w:p w14:paraId="60A26AFA" w14:textId="75D2E39F"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 xml:space="preserve">% e </w:t>
            </w:r>
            <w:r w:rsidR="00FC5887" w:rsidRPr="002128A6">
              <w:rPr>
                <w:rFonts w:ascii="Garamond" w:eastAsia="Times New Roman" w:hAnsi="Garamond" w:cs="Times New Roman"/>
                <w:b/>
                <w:bCs/>
                <w:kern w:val="0"/>
                <w:sz w:val="14"/>
                <w:szCs w:val="16"/>
                <w14:ligatures w14:val="none"/>
              </w:rPr>
              <w:t xml:space="preserve">financimit </w:t>
            </w:r>
            <w:r w:rsidRPr="002128A6">
              <w:rPr>
                <w:rFonts w:ascii="Garamond" w:eastAsia="Times New Roman" w:hAnsi="Garamond" w:cs="Times New Roman"/>
                <w:b/>
                <w:bCs/>
                <w:kern w:val="0"/>
                <w:sz w:val="14"/>
                <w:szCs w:val="16"/>
                <w14:ligatures w14:val="none"/>
              </w:rPr>
              <w:t xml:space="preserve">nga </w:t>
            </w:r>
            <w:r w:rsidR="00FC5887" w:rsidRPr="002128A6">
              <w:rPr>
                <w:rFonts w:ascii="Garamond" w:eastAsia="Times New Roman" w:hAnsi="Garamond" w:cs="Times New Roman"/>
                <w:b/>
                <w:bCs/>
                <w:kern w:val="0"/>
                <w:sz w:val="14"/>
                <w:szCs w:val="16"/>
                <w14:ligatures w14:val="none"/>
              </w:rPr>
              <w:t xml:space="preserve">buxheti </w:t>
            </w:r>
          </w:p>
        </w:tc>
        <w:tc>
          <w:tcPr>
            <w:tcW w:w="639" w:type="pct"/>
            <w:tcBorders>
              <w:top w:val="single" w:sz="4" w:space="0" w:color="auto"/>
              <w:left w:val="single" w:sz="4" w:space="0" w:color="auto"/>
              <w:bottom w:val="single" w:sz="4" w:space="0" w:color="auto"/>
              <w:right w:val="single" w:sz="4" w:space="0" w:color="auto"/>
            </w:tcBorders>
            <w:shd w:val="clear" w:color="000000" w:fill="5B9BD5"/>
            <w:vAlign w:val="center"/>
            <w:hideMark/>
          </w:tcPr>
          <w:p w14:paraId="51EEE551" w14:textId="5B693BC1"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 xml:space="preserve">Kostot </w:t>
            </w:r>
            <w:r w:rsidR="008A598F" w:rsidRPr="002128A6">
              <w:rPr>
                <w:rFonts w:ascii="Garamond" w:eastAsia="Times New Roman" w:hAnsi="Garamond" w:cs="Times New Roman"/>
                <w:kern w:val="0"/>
                <w:sz w:val="14"/>
                <w:szCs w:val="16"/>
                <w14:ligatures w14:val="none"/>
              </w:rPr>
              <w:t xml:space="preserve">totale </w:t>
            </w:r>
            <w:r w:rsidRPr="002128A6">
              <w:rPr>
                <w:rFonts w:ascii="Garamond" w:eastAsia="Times New Roman" w:hAnsi="Garamond" w:cs="Times New Roman"/>
                <w:kern w:val="0"/>
                <w:sz w:val="14"/>
                <w:szCs w:val="16"/>
                <w14:ligatures w14:val="none"/>
              </w:rPr>
              <w:t>të PV</w:t>
            </w:r>
          </w:p>
        </w:tc>
        <w:tc>
          <w:tcPr>
            <w:tcW w:w="560" w:type="pct"/>
            <w:tcBorders>
              <w:top w:val="single" w:sz="4" w:space="0" w:color="auto"/>
              <w:left w:val="nil"/>
              <w:bottom w:val="single" w:sz="4" w:space="0" w:color="auto"/>
              <w:right w:val="single" w:sz="4" w:space="0" w:color="auto"/>
            </w:tcBorders>
            <w:shd w:val="clear" w:color="000000" w:fill="5B9BD5"/>
            <w:noWrap/>
            <w:vAlign w:val="center"/>
            <w:hideMark/>
          </w:tcPr>
          <w:p w14:paraId="54E02EDD" w14:textId="77777777" w:rsidR="00F862D3" w:rsidRPr="002128A6" w:rsidRDefault="00F862D3" w:rsidP="00D44D49">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37,530,821,822</w:t>
            </w:r>
          </w:p>
        </w:tc>
        <w:tc>
          <w:tcPr>
            <w:tcW w:w="815" w:type="pct"/>
            <w:tcBorders>
              <w:top w:val="nil"/>
              <w:left w:val="nil"/>
              <w:bottom w:val="nil"/>
              <w:right w:val="nil"/>
            </w:tcBorders>
            <w:shd w:val="clear" w:color="auto" w:fill="auto"/>
            <w:noWrap/>
            <w:vAlign w:val="center"/>
            <w:hideMark/>
          </w:tcPr>
          <w:p w14:paraId="3772B757"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w:t>
            </w:r>
          </w:p>
        </w:tc>
        <w:tc>
          <w:tcPr>
            <w:tcW w:w="485" w:type="pct"/>
            <w:tcBorders>
              <w:top w:val="nil"/>
              <w:left w:val="single" w:sz="4" w:space="0" w:color="auto"/>
              <w:bottom w:val="single" w:sz="4" w:space="0" w:color="auto"/>
              <w:right w:val="single" w:sz="4" w:space="0" w:color="auto"/>
            </w:tcBorders>
            <w:shd w:val="clear" w:color="000000" w:fill="548235"/>
            <w:noWrap/>
            <w:vAlign w:val="center"/>
            <w:hideMark/>
          </w:tcPr>
          <w:p w14:paraId="46F06364" w14:textId="77777777" w:rsidR="00F862D3" w:rsidRPr="002128A6" w:rsidRDefault="00F862D3" w:rsidP="00F145C6">
            <w:pPr>
              <w:spacing w:after="0" w:line="240" w:lineRule="auto"/>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Qëllimi i Politikës I</w:t>
            </w:r>
          </w:p>
        </w:tc>
        <w:tc>
          <w:tcPr>
            <w:tcW w:w="518" w:type="pct"/>
            <w:tcBorders>
              <w:top w:val="nil"/>
              <w:left w:val="nil"/>
              <w:bottom w:val="single" w:sz="4" w:space="0" w:color="auto"/>
              <w:right w:val="single" w:sz="4" w:space="0" w:color="auto"/>
            </w:tcBorders>
            <w:shd w:val="clear" w:color="000000" w:fill="548235"/>
            <w:noWrap/>
            <w:vAlign w:val="center"/>
            <w:hideMark/>
          </w:tcPr>
          <w:p w14:paraId="0F21C48E"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12,866,771,779</w:t>
            </w:r>
          </w:p>
        </w:tc>
        <w:tc>
          <w:tcPr>
            <w:tcW w:w="531" w:type="pct"/>
            <w:tcBorders>
              <w:top w:val="nil"/>
              <w:left w:val="nil"/>
              <w:bottom w:val="single" w:sz="4" w:space="0" w:color="auto"/>
              <w:right w:val="single" w:sz="4" w:space="0" w:color="auto"/>
            </w:tcBorders>
            <w:shd w:val="clear" w:color="000000" w:fill="548235"/>
            <w:noWrap/>
            <w:vAlign w:val="center"/>
            <w:hideMark/>
          </w:tcPr>
          <w:p w14:paraId="1D7E2B2B"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1,844,487,408</w:t>
            </w:r>
          </w:p>
        </w:tc>
        <w:tc>
          <w:tcPr>
            <w:tcW w:w="531" w:type="pct"/>
            <w:tcBorders>
              <w:top w:val="nil"/>
              <w:left w:val="nil"/>
              <w:bottom w:val="single" w:sz="4" w:space="0" w:color="auto"/>
              <w:right w:val="single" w:sz="4" w:space="0" w:color="auto"/>
            </w:tcBorders>
            <w:shd w:val="clear" w:color="000000" w:fill="548235"/>
            <w:noWrap/>
            <w:vAlign w:val="center"/>
            <w:hideMark/>
          </w:tcPr>
          <w:p w14:paraId="0C4AD136"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14,711,259,187</w:t>
            </w:r>
          </w:p>
        </w:tc>
        <w:tc>
          <w:tcPr>
            <w:tcW w:w="503" w:type="pct"/>
            <w:tcBorders>
              <w:top w:val="nil"/>
              <w:left w:val="nil"/>
              <w:bottom w:val="nil"/>
              <w:right w:val="nil"/>
            </w:tcBorders>
            <w:shd w:val="clear" w:color="auto" w:fill="auto"/>
            <w:noWrap/>
            <w:vAlign w:val="center"/>
            <w:hideMark/>
          </w:tcPr>
          <w:p w14:paraId="2D48CE20"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39</w:t>
            </w:r>
          </w:p>
        </w:tc>
      </w:tr>
      <w:tr w:rsidR="00F54824" w:rsidRPr="002128A6" w14:paraId="1C4A9A2C" w14:textId="77777777" w:rsidTr="00F862D3">
        <w:trPr>
          <w:trHeight w:val="20"/>
        </w:trPr>
        <w:tc>
          <w:tcPr>
            <w:tcW w:w="418" w:type="pct"/>
            <w:vMerge w:val="restart"/>
            <w:tcBorders>
              <w:top w:val="nil"/>
              <w:left w:val="nil"/>
              <w:bottom w:val="nil"/>
              <w:right w:val="single" w:sz="4" w:space="0" w:color="auto"/>
            </w:tcBorders>
            <w:shd w:val="clear" w:color="auto" w:fill="auto"/>
            <w:noWrap/>
            <w:vAlign w:val="center"/>
            <w:hideMark/>
          </w:tcPr>
          <w:p w14:paraId="0A9C6B93"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81</w:t>
            </w:r>
          </w:p>
        </w:tc>
        <w:tc>
          <w:tcPr>
            <w:tcW w:w="639" w:type="pct"/>
            <w:tcBorders>
              <w:top w:val="nil"/>
              <w:left w:val="nil"/>
              <w:bottom w:val="single" w:sz="4" w:space="0" w:color="auto"/>
              <w:right w:val="single" w:sz="4" w:space="0" w:color="auto"/>
            </w:tcBorders>
            <w:shd w:val="clear" w:color="000000" w:fill="5B9BD5"/>
            <w:vAlign w:val="center"/>
            <w:hideMark/>
          </w:tcPr>
          <w:p w14:paraId="2DD7AFAF" w14:textId="7F08F629"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PBA 2026</w:t>
            </w:r>
            <w:r w:rsidR="00D44D49">
              <w:rPr>
                <w:rFonts w:ascii="Garamond" w:eastAsia="Times New Roman" w:hAnsi="Garamond" w:cs="Times New Roman"/>
                <w:kern w:val="0"/>
                <w:sz w:val="14"/>
                <w:szCs w:val="16"/>
                <w14:ligatures w14:val="none"/>
              </w:rPr>
              <w:t>–</w:t>
            </w:r>
            <w:r w:rsidRPr="002128A6">
              <w:rPr>
                <w:rFonts w:ascii="Garamond" w:eastAsia="Times New Roman" w:hAnsi="Garamond" w:cs="Times New Roman"/>
                <w:kern w:val="0"/>
                <w:sz w:val="14"/>
                <w:szCs w:val="16"/>
                <w14:ligatures w14:val="none"/>
              </w:rPr>
              <w:t>2028</w:t>
            </w:r>
          </w:p>
        </w:tc>
        <w:tc>
          <w:tcPr>
            <w:tcW w:w="560" w:type="pct"/>
            <w:tcBorders>
              <w:top w:val="nil"/>
              <w:left w:val="nil"/>
              <w:bottom w:val="single" w:sz="4" w:space="0" w:color="auto"/>
              <w:right w:val="single" w:sz="4" w:space="0" w:color="auto"/>
            </w:tcBorders>
            <w:shd w:val="clear" w:color="000000" w:fill="5B9BD5"/>
            <w:noWrap/>
            <w:vAlign w:val="center"/>
            <w:hideMark/>
          </w:tcPr>
          <w:p w14:paraId="467B98C7" w14:textId="77777777" w:rsidR="00F862D3" w:rsidRPr="002128A6" w:rsidRDefault="00F862D3" w:rsidP="00D44D49">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22,639,416,416</w:t>
            </w:r>
          </w:p>
        </w:tc>
        <w:tc>
          <w:tcPr>
            <w:tcW w:w="815" w:type="pct"/>
            <w:tcBorders>
              <w:top w:val="nil"/>
              <w:left w:val="nil"/>
              <w:bottom w:val="nil"/>
              <w:right w:val="nil"/>
            </w:tcBorders>
            <w:shd w:val="clear" w:color="auto" w:fill="auto"/>
            <w:noWrap/>
            <w:vAlign w:val="center"/>
            <w:hideMark/>
          </w:tcPr>
          <w:p w14:paraId="0EA0D9B8"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60</w:t>
            </w:r>
          </w:p>
        </w:tc>
        <w:tc>
          <w:tcPr>
            <w:tcW w:w="485" w:type="pct"/>
            <w:tcBorders>
              <w:top w:val="nil"/>
              <w:left w:val="single" w:sz="4" w:space="0" w:color="auto"/>
              <w:bottom w:val="single" w:sz="4" w:space="0" w:color="auto"/>
              <w:right w:val="single" w:sz="4" w:space="0" w:color="auto"/>
            </w:tcBorders>
            <w:shd w:val="clear" w:color="000000" w:fill="548235"/>
            <w:noWrap/>
            <w:vAlign w:val="center"/>
            <w:hideMark/>
          </w:tcPr>
          <w:p w14:paraId="4BCD3000" w14:textId="77777777" w:rsidR="00F862D3" w:rsidRPr="002128A6" w:rsidRDefault="00F862D3" w:rsidP="00F145C6">
            <w:pPr>
              <w:spacing w:after="0" w:line="240" w:lineRule="auto"/>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Qëllimi i Politikës II</w:t>
            </w:r>
          </w:p>
        </w:tc>
        <w:tc>
          <w:tcPr>
            <w:tcW w:w="518" w:type="pct"/>
            <w:tcBorders>
              <w:top w:val="nil"/>
              <w:left w:val="nil"/>
              <w:bottom w:val="single" w:sz="4" w:space="0" w:color="auto"/>
              <w:right w:val="single" w:sz="4" w:space="0" w:color="auto"/>
            </w:tcBorders>
            <w:shd w:val="clear" w:color="000000" w:fill="548235"/>
            <w:noWrap/>
            <w:vAlign w:val="center"/>
            <w:hideMark/>
          </w:tcPr>
          <w:p w14:paraId="19B746C5"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11,744,518,345</w:t>
            </w:r>
          </w:p>
        </w:tc>
        <w:tc>
          <w:tcPr>
            <w:tcW w:w="531" w:type="pct"/>
            <w:tcBorders>
              <w:top w:val="nil"/>
              <w:left w:val="nil"/>
              <w:bottom w:val="single" w:sz="4" w:space="0" w:color="auto"/>
              <w:right w:val="single" w:sz="4" w:space="0" w:color="auto"/>
            </w:tcBorders>
            <w:shd w:val="clear" w:color="000000" w:fill="548235"/>
            <w:noWrap/>
            <w:vAlign w:val="center"/>
            <w:hideMark/>
          </w:tcPr>
          <w:p w14:paraId="2722B415"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10,025,199,998</w:t>
            </w:r>
          </w:p>
        </w:tc>
        <w:tc>
          <w:tcPr>
            <w:tcW w:w="531" w:type="pct"/>
            <w:tcBorders>
              <w:top w:val="nil"/>
              <w:left w:val="nil"/>
              <w:bottom w:val="single" w:sz="4" w:space="0" w:color="auto"/>
              <w:right w:val="single" w:sz="4" w:space="0" w:color="auto"/>
            </w:tcBorders>
            <w:shd w:val="clear" w:color="000000" w:fill="548235"/>
            <w:noWrap/>
            <w:vAlign w:val="center"/>
            <w:hideMark/>
          </w:tcPr>
          <w:p w14:paraId="79634C29"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21,769,718,343</w:t>
            </w:r>
          </w:p>
        </w:tc>
        <w:tc>
          <w:tcPr>
            <w:tcW w:w="503" w:type="pct"/>
            <w:tcBorders>
              <w:top w:val="nil"/>
              <w:left w:val="nil"/>
              <w:bottom w:val="nil"/>
              <w:right w:val="nil"/>
            </w:tcBorders>
            <w:shd w:val="clear" w:color="auto" w:fill="auto"/>
            <w:noWrap/>
            <w:vAlign w:val="center"/>
            <w:hideMark/>
          </w:tcPr>
          <w:p w14:paraId="716DCC7C"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58</w:t>
            </w:r>
          </w:p>
        </w:tc>
      </w:tr>
      <w:tr w:rsidR="00F54824" w:rsidRPr="002128A6" w14:paraId="5A003868" w14:textId="77777777" w:rsidTr="00F862D3">
        <w:trPr>
          <w:trHeight w:val="20"/>
        </w:trPr>
        <w:tc>
          <w:tcPr>
            <w:tcW w:w="418" w:type="pct"/>
            <w:vMerge/>
            <w:tcBorders>
              <w:top w:val="nil"/>
              <w:left w:val="nil"/>
              <w:bottom w:val="nil"/>
              <w:right w:val="single" w:sz="4" w:space="0" w:color="auto"/>
            </w:tcBorders>
            <w:vAlign w:val="center"/>
            <w:hideMark/>
          </w:tcPr>
          <w:p w14:paraId="75095DD4" w14:textId="77777777" w:rsidR="00F862D3" w:rsidRPr="002128A6" w:rsidRDefault="00F862D3" w:rsidP="00F862D3">
            <w:pPr>
              <w:spacing w:after="0" w:line="240" w:lineRule="auto"/>
              <w:rPr>
                <w:rFonts w:ascii="Garamond" w:eastAsia="Times New Roman" w:hAnsi="Garamond" w:cs="Times New Roman"/>
                <w:b/>
                <w:bCs/>
                <w:kern w:val="0"/>
                <w:sz w:val="14"/>
                <w:szCs w:val="16"/>
                <w14:ligatures w14:val="none"/>
              </w:rPr>
            </w:pPr>
          </w:p>
        </w:tc>
        <w:tc>
          <w:tcPr>
            <w:tcW w:w="639" w:type="pct"/>
            <w:tcBorders>
              <w:top w:val="nil"/>
              <w:left w:val="nil"/>
              <w:bottom w:val="single" w:sz="4" w:space="0" w:color="auto"/>
              <w:right w:val="single" w:sz="4" w:space="0" w:color="auto"/>
            </w:tcBorders>
            <w:shd w:val="clear" w:color="000000" w:fill="5B9BD5"/>
            <w:vAlign w:val="center"/>
            <w:hideMark/>
          </w:tcPr>
          <w:p w14:paraId="036171AD" w14:textId="1614F176"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PBA 2028</w:t>
            </w:r>
            <w:r w:rsidR="00D44D49">
              <w:rPr>
                <w:rFonts w:ascii="Garamond" w:eastAsia="Times New Roman" w:hAnsi="Garamond" w:cs="Times New Roman"/>
                <w:kern w:val="0"/>
                <w:sz w:val="14"/>
                <w:szCs w:val="16"/>
                <w14:ligatures w14:val="none"/>
              </w:rPr>
              <w:t>–</w:t>
            </w:r>
            <w:r w:rsidRPr="002128A6">
              <w:rPr>
                <w:rFonts w:ascii="Garamond" w:eastAsia="Times New Roman" w:hAnsi="Garamond" w:cs="Times New Roman"/>
                <w:kern w:val="0"/>
                <w:sz w:val="14"/>
                <w:szCs w:val="16"/>
                <w14:ligatures w14:val="none"/>
              </w:rPr>
              <w:t>2030</w:t>
            </w:r>
          </w:p>
        </w:tc>
        <w:tc>
          <w:tcPr>
            <w:tcW w:w="560" w:type="pct"/>
            <w:tcBorders>
              <w:top w:val="nil"/>
              <w:left w:val="nil"/>
              <w:bottom w:val="single" w:sz="4" w:space="0" w:color="auto"/>
              <w:right w:val="single" w:sz="4" w:space="0" w:color="auto"/>
            </w:tcBorders>
            <w:shd w:val="clear" w:color="000000" w:fill="5B9BD5"/>
            <w:noWrap/>
            <w:vAlign w:val="center"/>
            <w:hideMark/>
          </w:tcPr>
          <w:p w14:paraId="4C529D70" w14:textId="77777777" w:rsidR="00F862D3" w:rsidRPr="002128A6" w:rsidRDefault="00F862D3" w:rsidP="00D44D49">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7,924,395,998</w:t>
            </w:r>
          </w:p>
        </w:tc>
        <w:tc>
          <w:tcPr>
            <w:tcW w:w="815" w:type="pct"/>
            <w:tcBorders>
              <w:top w:val="nil"/>
              <w:left w:val="nil"/>
              <w:bottom w:val="nil"/>
              <w:right w:val="nil"/>
            </w:tcBorders>
            <w:shd w:val="clear" w:color="auto" w:fill="auto"/>
            <w:noWrap/>
            <w:vAlign w:val="center"/>
            <w:hideMark/>
          </w:tcPr>
          <w:p w14:paraId="186EB63E"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21</w:t>
            </w:r>
          </w:p>
        </w:tc>
        <w:tc>
          <w:tcPr>
            <w:tcW w:w="485" w:type="pct"/>
            <w:tcBorders>
              <w:top w:val="nil"/>
              <w:left w:val="single" w:sz="4" w:space="0" w:color="auto"/>
              <w:bottom w:val="single" w:sz="4" w:space="0" w:color="auto"/>
              <w:right w:val="single" w:sz="4" w:space="0" w:color="auto"/>
            </w:tcBorders>
            <w:shd w:val="clear" w:color="000000" w:fill="548235"/>
            <w:noWrap/>
            <w:vAlign w:val="center"/>
            <w:hideMark/>
          </w:tcPr>
          <w:p w14:paraId="6A523938" w14:textId="77777777" w:rsidR="00F862D3" w:rsidRPr="002128A6" w:rsidRDefault="00F862D3" w:rsidP="00F145C6">
            <w:pPr>
              <w:spacing w:after="0" w:line="240" w:lineRule="auto"/>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Qëllimi i Politikës III</w:t>
            </w:r>
          </w:p>
        </w:tc>
        <w:tc>
          <w:tcPr>
            <w:tcW w:w="518" w:type="pct"/>
            <w:tcBorders>
              <w:top w:val="nil"/>
              <w:left w:val="nil"/>
              <w:bottom w:val="single" w:sz="4" w:space="0" w:color="auto"/>
              <w:right w:val="single" w:sz="4" w:space="0" w:color="auto"/>
            </w:tcBorders>
            <w:shd w:val="clear" w:color="000000" w:fill="548235"/>
            <w:noWrap/>
            <w:vAlign w:val="center"/>
            <w:hideMark/>
          </w:tcPr>
          <w:p w14:paraId="6F6A0B3B"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1,049,844,292</w:t>
            </w:r>
          </w:p>
        </w:tc>
        <w:tc>
          <w:tcPr>
            <w:tcW w:w="531" w:type="pct"/>
            <w:tcBorders>
              <w:top w:val="nil"/>
              <w:left w:val="nil"/>
              <w:bottom w:val="single" w:sz="4" w:space="0" w:color="auto"/>
              <w:right w:val="single" w:sz="4" w:space="0" w:color="auto"/>
            </w:tcBorders>
            <w:shd w:val="clear" w:color="000000" w:fill="548235"/>
            <w:noWrap/>
            <w:vAlign w:val="center"/>
            <w:hideMark/>
          </w:tcPr>
          <w:p w14:paraId="523DDA3B"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0</w:t>
            </w:r>
          </w:p>
        </w:tc>
        <w:tc>
          <w:tcPr>
            <w:tcW w:w="531" w:type="pct"/>
            <w:tcBorders>
              <w:top w:val="nil"/>
              <w:left w:val="nil"/>
              <w:bottom w:val="single" w:sz="4" w:space="0" w:color="auto"/>
              <w:right w:val="single" w:sz="4" w:space="0" w:color="auto"/>
            </w:tcBorders>
            <w:shd w:val="clear" w:color="000000" w:fill="548235"/>
            <w:noWrap/>
            <w:vAlign w:val="center"/>
            <w:hideMark/>
          </w:tcPr>
          <w:p w14:paraId="29E9F6C1" w14:textId="77777777" w:rsidR="00F862D3" w:rsidRPr="002128A6" w:rsidRDefault="00F862D3" w:rsidP="00F145C6">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1,049,844,292</w:t>
            </w:r>
          </w:p>
        </w:tc>
        <w:tc>
          <w:tcPr>
            <w:tcW w:w="503" w:type="pct"/>
            <w:tcBorders>
              <w:top w:val="nil"/>
              <w:left w:val="nil"/>
              <w:bottom w:val="nil"/>
              <w:right w:val="nil"/>
            </w:tcBorders>
            <w:shd w:val="clear" w:color="auto" w:fill="auto"/>
            <w:noWrap/>
            <w:vAlign w:val="center"/>
            <w:hideMark/>
          </w:tcPr>
          <w:p w14:paraId="0FAC247B"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3</w:t>
            </w:r>
          </w:p>
        </w:tc>
      </w:tr>
      <w:tr w:rsidR="00F54824" w:rsidRPr="002128A6" w14:paraId="097EDAD7" w14:textId="77777777" w:rsidTr="00F862D3">
        <w:trPr>
          <w:trHeight w:val="20"/>
        </w:trPr>
        <w:tc>
          <w:tcPr>
            <w:tcW w:w="418" w:type="pct"/>
            <w:tcBorders>
              <w:top w:val="nil"/>
              <w:left w:val="nil"/>
              <w:bottom w:val="nil"/>
              <w:right w:val="nil"/>
            </w:tcBorders>
            <w:shd w:val="clear" w:color="auto" w:fill="auto"/>
            <w:noWrap/>
            <w:vAlign w:val="center"/>
            <w:hideMark/>
          </w:tcPr>
          <w:p w14:paraId="5580D0B0"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11</w:t>
            </w:r>
          </w:p>
        </w:tc>
        <w:tc>
          <w:tcPr>
            <w:tcW w:w="639" w:type="pct"/>
            <w:tcBorders>
              <w:top w:val="nil"/>
              <w:left w:val="single" w:sz="4" w:space="0" w:color="auto"/>
              <w:bottom w:val="single" w:sz="4" w:space="0" w:color="auto"/>
              <w:right w:val="single" w:sz="4" w:space="0" w:color="auto"/>
            </w:tcBorders>
            <w:shd w:val="clear" w:color="000000" w:fill="5B9BD5"/>
            <w:vAlign w:val="center"/>
            <w:hideMark/>
          </w:tcPr>
          <w:p w14:paraId="49D2C0C9" w14:textId="3C8712A3" w:rsidR="00F862D3" w:rsidRPr="002128A6" w:rsidRDefault="00D44D49" w:rsidP="00F862D3">
            <w:pPr>
              <w:spacing w:after="0" w:line="240" w:lineRule="auto"/>
              <w:jc w:val="center"/>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Financimi</w:t>
            </w:r>
            <w:r w:rsidR="00F862D3" w:rsidRPr="002128A6">
              <w:rPr>
                <w:rFonts w:ascii="Garamond" w:eastAsia="Times New Roman" w:hAnsi="Garamond" w:cs="Times New Roman"/>
                <w:kern w:val="0"/>
                <w:sz w:val="14"/>
                <w:szCs w:val="16"/>
                <w14:ligatures w14:val="none"/>
              </w:rPr>
              <w:t xml:space="preserve"> </w:t>
            </w:r>
            <w:r w:rsidR="008A598F" w:rsidRPr="002128A6">
              <w:rPr>
                <w:rFonts w:ascii="Garamond" w:eastAsia="Times New Roman" w:hAnsi="Garamond" w:cs="Times New Roman"/>
                <w:kern w:val="0"/>
                <w:sz w:val="14"/>
                <w:szCs w:val="16"/>
                <w14:ligatures w14:val="none"/>
              </w:rPr>
              <w:t>i huaj</w:t>
            </w:r>
          </w:p>
        </w:tc>
        <w:tc>
          <w:tcPr>
            <w:tcW w:w="560" w:type="pct"/>
            <w:tcBorders>
              <w:top w:val="nil"/>
              <w:left w:val="nil"/>
              <w:bottom w:val="single" w:sz="4" w:space="0" w:color="auto"/>
              <w:right w:val="single" w:sz="4" w:space="0" w:color="auto"/>
            </w:tcBorders>
            <w:shd w:val="clear" w:color="000000" w:fill="5B9BD5"/>
            <w:noWrap/>
            <w:vAlign w:val="center"/>
            <w:hideMark/>
          </w:tcPr>
          <w:p w14:paraId="353AB87C" w14:textId="77777777" w:rsidR="00F862D3" w:rsidRPr="002128A6" w:rsidRDefault="00F862D3" w:rsidP="00D44D49">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3,974,455,408</w:t>
            </w:r>
          </w:p>
        </w:tc>
        <w:tc>
          <w:tcPr>
            <w:tcW w:w="815" w:type="pct"/>
            <w:tcBorders>
              <w:top w:val="nil"/>
              <w:left w:val="nil"/>
              <w:bottom w:val="nil"/>
              <w:right w:val="nil"/>
            </w:tcBorders>
            <w:shd w:val="clear" w:color="auto" w:fill="auto"/>
            <w:noWrap/>
            <w:vAlign w:val="center"/>
            <w:hideMark/>
          </w:tcPr>
          <w:p w14:paraId="28C4423E"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11</w:t>
            </w:r>
          </w:p>
        </w:tc>
        <w:tc>
          <w:tcPr>
            <w:tcW w:w="485" w:type="pct"/>
            <w:tcBorders>
              <w:top w:val="nil"/>
              <w:left w:val="nil"/>
              <w:bottom w:val="nil"/>
              <w:right w:val="nil"/>
            </w:tcBorders>
            <w:shd w:val="clear" w:color="auto" w:fill="auto"/>
            <w:noWrap/>
            <w:vAlign w:val="center"/>
            <w:hideMark/>
          </w:tcPr>
          <w:p w14:paraId="0C2E0C29"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18" w:type="pct"/>
            <w:tcBorders>
              <w:top w:val="nil"/>
              <w:left w:val="nil"/>
              <w:bottom w:val="nil"/>
              <w:right w:val="nil"/>
            </w:tcBorders>
            <w:shd w:val="clear" w:color="auto" w:fill="auto"/>
            <w:noWrap/>
            <w:vAlign w:val="center"/>
            <w:hideMark/>
          </w:tcPr>
          <w:p w14:paraId="5D9526E2"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531" w:type="pct"/>
            <w:tcBorders>
              <w:top w:val="nil"/>
              <w:left w:val="nil"/>
              <w:bottom w:val="nil"/>
              <w:right w:val="nil"/>
            </w:tcBorders>
            <w:shd w:val="clear" w:color="auto" w:fill="auto"/>
            <w:noWrap/>
            <w:vAlign w:val="center"/>
            <w:hideMark/>
          </w:tcPr>
          <w:p w14:paraId="3E018976"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531" w:type="pct"/>
            <w:tcBorders>
              <w:top w:val="nil"/>
              <w:left w:val="nil"/>
              <w:bottom w:val="nil"/>
              <w:right w:val="nil"/>
            </w:tcBorders>
            <w:shd w:val="clear" w:color="auto" w:fill="auto"/>
            <w:noWrap/>
            <w:vAlign w:val="center"/>
            <w:hideMark/>
          </w:tcPr>
          <w:p w14:paraId="5C035A25"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503" w:type="pct"/>
            <w:tcBorders>
              <w:top w:val="nil"/>
              <w:left w:val="nil"/>
              <w:bottom w:val="nil"/>
              <w:right w:val="nil"/>
            </w:tcBorders>
            <w:shd w:val="clear" w:color="auto" w:fill="auto"/>
            <w:noWrap/>
            <w:vAlign w:val="center"/>
            <w:hideMark/>
          </w:tcPr>
          <w:p w14:paraId="07A614F6"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r w:rsidR="00F54824" w:rsidRPr="002128A6" w14:paraId="3149C020" w14:textId="77777777" w:rsidTr="00F862D3">
        <w:trPr>
          <w:trHeight w:val="20"/>
        </w:trPr>
        <w:tc>
          <w:tcPr>
            <w:tcW w:w="418" w:type="pct"/>
            <w:tcBorders>
              <w:top w:val="nil"/>
              <w:left w:val="nil"/>
              <w:bottom w:val="nil"/>
              <w:right w:val="nil"/>
            </w:tcBorders>
            <w:shd w:val="clear" w:color="auto" w:fill="auto"/>
            <w:noWrap/>
            <w:vAlign w:val="bottom"/>
            <w:hideMark/>
          </w:tcPr>
          <w:p w14:paraId="629E29CB"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639" w:type="pct"/>
            <w:tcBorders>
              <w:top w:val="nil"/>
              <w:left w:val="single" w:sz="4" w:space="0" w:color="auto"/>
              <w:bottom w:val="single" w:sz="4" w:space="0" w:color="auto"/>
              <w:right w:val="single" w:sz="4" w:space="0" w:color="auto"/>
            </w:tcBorders>
            <w:shd w:val="clear" w:color="000000" w:fill="5B9BD5"/>
            <w:vAlign w:val="center"/>
            <w:hideMark/>
          </w:tcPr>
          <w:p w14:paraId="68B639B8"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Hendek financiar 2026-2030</w:t>
            </w:r>
          </w:p>
        </w:tc>
        <w:tc>
          <w:tcPr>
            <w:tcW w:w="560" w:type="pct"/>
            <w:tcBorders>
              <w:top w:val="nil"/>
              <w:left w:val="nil"/>
              <w:bottom w:val="single" w:sz="4" w:space="0" w:color="auto"/>
              <w:right w:val="single" w:sz="4" w:space="0" w:color="auto"/>
            </w:tcBorders>
            <w:shd w:val="clear" w:color="000000" w:fill="5B9BD5"/>
            <w:noWrap/>
            <w:vAlign w:val="center"/>
            <w:hideMark/>
          </w:tcPr>
          <w:p w14:paraId="31D1340B" w14:textId="77777777" w:rsidR="00F862D3" w:rsidRPr="002128A6" w:rsidRDefault="00F862D3" w:rsidP="00D44D49">
            <w:pPr>
              <w:spacing w:after="0" w:line="240" w:lineRule="auto"/>
              <w:jc w:val="right"/>
              <w:rPr>
                <w:rFonts w:ascii="Garamond" w:eastAsia="Times New Roman" w:hAnsi="Garamond" w:cs="Times New Roman"/>
                <w:kern w:val="0"/>
                <w:sz w:val="14"/>
                <w:szCs w:val="16"/>
                <w14:ligatures w14:val="none"/>
              </w:rPr>
            </w:pPr>
            <w:r w:rsidRPr="002128A6">
              <w:rPr>
                <w:rFonts w:ascii="Garamond" w:eastAsia="Times New Roman" w:hAnsi="Garamond" w:cs="Times New Roman"/>
                <w:kern w:val="0"/>
                <w:sz w:val="14"/>
                <w:szCs w:val="16"/>
                <w14:ligatures w14:val="none"/>
              </w:rPr>
              <w:t>2,992,554,000</w:t>
            </w:r>
          </w:p>
        </w:tc>
        <w:tc>
          <w:tcPr>
            <w:tcW w:w="815" w:type="pct"/>
            <w:tcBorders>
              <w:top w:val="nil"/>
              <w:left w:val="nil"/>
              <w:bottom w:val="nil"/>
              <w:right w:val="nil"/>
            </w:tcBorders>
            <w:shd w:val="clear" w:color="auto" w:fill="auto"/>
            <w:noWrap/>
            <w:vAlign w:val="center"/>
            <w:hideMark/>
          </w:tcPr>
          <w:p w14:paraId="41C64890"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8</w:t>
            </w:r>
          </w:p>
        </w:tc>
        <w:tc>
          <w:tcPr>
            <w:tcW w:w="485" w:type="pct"/>
            <w:tcBorders>
              <w:top w:val="nil"/>
              <w:left w:val="nil"/>
              <w:bottom w:val="nil"/>
              <w:right w:val="nil"/>
            </w:tcBorders>
            <w:shd w:val="clear" w:color="auto" w:fill="auto"/>
            <w:noWrap/>
            <w:vAlign w:val="center"/>
            <w:hideMark/>
          </w:tcPr>
          <w:p w14:paraId="6EDA897C"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95DB2" w14:textId="42799A56"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Lek</w:t>
            </w:r>
            <w:r w:rsidR="00F145C6" w:rsidRPr="002128A6">
              <w:rPr>
                <w:rFonts w:ascii="Garamond" w:eastAsia="Times New Roman" w:hAnsi="Garamond" w:cs="Times New Roman"/>
                <w:b/>
                <w:bCs/>
                <w:kern w:val="0"/>
                <w:sz w:val="14"/>
                <w:szCs w:val="16"/>
                <w14:ligatures w14:val="none"/>
              </w:rPr>
              <w:t>ë</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3DEC550C"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Euro</w:t>
            </w:r>
          </w:p>
        </w:tc>
        <w:tc>
          <w:tcPr>
            <w:tcW w:w="531" w:type="pct"/>
            <w:tcBorders>
              <w:top w:val="nil"/>
              <w:left w:val="nil"/>
              <w:bottom w:val="nil"/>
              <w:right w:val="nil"/>
            </w:tcBorders>
            <w:shd w:val="clear" w:color="auto" w:fill="auto"/>
            <w:noWrap/>
            <w:vAlign w:val="center"/>
            <w:hideMark/>
          </w:tcPr>
          <w:p w14:paraId="2E878FF7"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03" w:type="pct"/>
            <w:tcBorders>
              <w:top w:val="nil"/>
              <w:left w:val="nil"/>
              <w:bottom w:val="nil"/>
              <w:right w:val="nil"/>
            </w:tcBorders>
            <w:shd w:val="clear" w:color="auto" w:fill="auto"/>
            <w:noWrap/>
            <w:vAlign w:val="center"/>
            <w:hideMark/>
          </w:tcPr>
          <w:p w14:paraId="21AAD212"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r w:rsidR="00F54824" w:rsidRPr="002128A6" w14:paraId="58C677B0" w14:textId="77777777" w:rsidTr="00F862D3">
        <w:trPr>
          <w:trHeight w:val="20"/>
        </w:trPr>
        <w:tc>
          <w:tcPr>
            <w:tcW w:w="418" w:type="pct"/>
            <w:tcBorders>
              <w:top w:val="nil"/>
              <w:left w:val="nil"/>
              <w:bottom w:val="nil"/>
              <w:right w:val="nil"/>
            </w:tcBorders>
            <w:shd w:val="clear" w:color="auto" w:fill="auto"/>
            <w:noWrap/>
            <w:vAlign w:val="bottom"/>
            <w:hideMark/>
          </w:tcPr>
          <w:p w14:paraId="755C5F51"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639" w:type="pct"/>
            <w:tcBorders>
              <w:top w:val="nil"/>
              <w:left w:val="nil"/>
              <w:bottom w:val="nil"/>
              <w:right w:val="nil"/>
            </w:tcBorders>
            <w:shd w:val="clear" w:color="auto" w:fill="auto"/>
            <w:noWrap/>
            <w:vAlign w:val="center"/>
            <w:hideMark/>
          </w:tcPr>
          <w:p w14:paraId="73C1A281" w14:textId="77777777" w:rsidR="00F862D3" w:rsidRPr="002128A6" w:rsidRDefault="00F862D3" w:rsidP="00F862D3">
            <w:pPr>
              <w:spacing w:after="0" w:line="240" w:lineRule="auto"/>
              <w:rPr>
                <w:rFonts w:ascii="Garamond" w:eastAsia="Times New Roman" w:hAnsi="Garamond" w:cs="Times New Roman"/>
                <w:kern w:val="0"/>
                <w:sz w:val="14"/>
                <w:szCs w:val="16"/>
                <w14:ligatures w14:val="none"/>
              </w:rPr>
            </w:pPr>
          </w:p>
        </w:tc>
        <w:tc>
          <w:tcPr>
            <w:tcW w:w="560" w:type="pct"/>
            <w:tcBorders>
              <w:top w:val="nil"/>
              <w:left w:val="nil"/>
              <w:bottom w:val="nil"/>
              <w:right w:val="nil"/>
            </w:tcBorders>
            <w:shd w:val="clear" w:color="auto" w:fill="auto"/>
            <w:noWrap/>
            <w:vAlign w:val="center"/>
            <w:hideMark/>
          </w:tcPr>
          <w:p w14:paraId="66842745"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815" w:type="pct"/>
            <w:tcBorders>
              <w:top w:val="nil"/>
              <w:left w:val="nil"/>
              <w:bottom w:val="nil"/>
              <w:right w:val="nil"/>
            </w:tcBorders>
            <w:shd w:val="clear" w:color="auto" w:fill="auto"/>
            <w:noWrap/>
            <w:vAlign w:val="center"/>
            <w:hideMark/>
          </w:tcPr>
          <w:p w14:paraId="76E37E5F"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w:t>
            </w:r>
          </w:p>
        </w:tc>
        <w:tc>
          <w:tcPr>
            <w:tcW w:w="485" w:type="pct"/>
            <w:tcBorders>
              <w:top w:val="nil"/>
              <w:left w:val="nil"/>
              <w:bottom w:val="nil"/>
              <w:right w:val="nil"/>
            </w:tcBorders>
            <w:shd w:val="clear" w:color="auto" w:fill="auto"/>
            <w:noWrap/>
            <w:vAlign w:val="center"/>
            <w:hideMark/>
          </w:tcPr>
          <w:p w14:paraId="1073E977" w14:textId="71632FC6"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Kosto</w:t>
            </w:r>
            <w:r w:rsidR="00C40921" w:rsidRPr="002128A6">
              <w:rPr>
                <w:rFonts w:ascii="Garamond" w:eastAsia="Times New Roman" w:hAnsi="Garamond" w:cs="Times New Roman"/>
                <w:b/>
                <w:bCs/>
                <w:kern w:val="0"/>
                <w:sz w:val="14"/>
                <w:szCs w:val="16"/>
                <w14:ligatures w14:val="none"/>
              </w:rPr>
              <w:t>ja</w:t>
            </w:r>
            <w:r w:rsidRPr="002128A6">
              <w:rPr>
                <w:rFonts w:ascii="Garamond" w:eastAsia="Times New Roman" w:hAnsi="Garamond" w:cs="Times New Roman"/>
                <w:b/>
                <w:bCs/>
                <w:kern w:val="0"/>
                <w:sz w:val="14"/>
                <w:szCs w:val="16"/>
                <w14:ligatures w14:val="none"/>
              </w:rPr>
              <w:t xml:space="preserve"> totale</w:t>
            </w:r>
            <w:r w:rsidR="00F54824" w:rsidRPr="002128A6">
              <w:rPr>
                <w:rFonts w:ascii="Garamond" w:eastAsia="Times New Roman" w:hAnsi="Garamond" w:cs="Times New Roman"/>
                <w:b/>
                <w:bCs/>
                <w:kern w:val="0"/>
                <w:sz w:val="14"/>
                <w:szCs w:val="16"/>
                <w14:ligatures w14:val="none"/>
              </w:rPr>
              <w:t xml:space="preserve"> </w:t>
            </w:r>
            <w:r w:rsidRPr="002128A6">
              <w:rPr>
                <w:rFonts w:ascii="Garamond" w:eastAsia="Times New Roman" w:hAnsi="Garamond" w:cs="Times New Roman"/>
                <w:b/>
                <w:bCs/>
                <w:kern w:val="0"/>
                <w:sz w:val="14"/>
                <w:szCs w:val="16"/>
                <w14:ligatures w14:val="none"/>
              </w:rPr>
              <w:t>PV</w:t>
            </w:r>
          </w:p>
        </w:tc>
        <w:tc>
          <w:tcPr>
            <w:tcW w:w="518" w:type="pct"/>
            <w:tcBorders>
              <w:top w:val="nil"/>
              <w:left w:val="single" w:sz="4" w:space="0" w:color="auto"/>
              <w:bottom w:val="single" w:sz="4" w:space="0" w:color="auto"/>
              <w:right w:val="single" w:sz="4" w:space="0" w:color="auto"/>
            </w:tcBorders>
            <w:shd w:val="clear" w:color="000000" w:fill="FFE699"/>
            <w:noWrap/>
            <w:vAlign w:val="center"/>
            <w:hideMark/>
          </w:tcPr>
          <w:p w14:paraId="49D043E2"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37,530,821,822</w:t>
            </w:r>
          </w:p>
        </w:tc>
        <w:tc>
          <w:tcPr>
            <w:tcW w:w="531" w:type="pct"/>
            <w:tcBorders>
              <w:top w:val="nil"/>
              <w:left w:val="nil"/>
              <w:bottom w:val="single" w:sz="4" w:space="0" w:color="auto"/>
              <w:right w:val="single" w:sz="4" w:space="0" w:color="auto"/>
            </w:tcBorders>
            <w:shd w:val="clear" w:color="000000" w:fill="FFE699"/>
            <w:noWrap/>
            <w:vAlign w:val="center"/>
            <w:hideMark/>
          </w:tcPr>
          <w:p w14:paraId="55C92425"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403,123,757</w:t>
            </w:r>
          </w:p>
        </w:tc>
        <w:tc>
          <w:tcPr>
            <w:tcW w:w="531" w:type="pct"/>
            <w:tcBorders>
              <w:top w:val="nil"/>
              <w:left w:val="nil"/>
              <w:bottom w:val="nil"/>
              <w:right w:val="nil"/>
            </w:tcBorders>
            <w:shd w:val="clear" w:color="auto" w:fill="auto"/>
            <w:noWrap/>
            <w:vAlign w:val="center"/>
            <w:hideMark/>
          </w:tcPr>
          <w:p w14:paraId="207C80A0"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03" w:type="pct"/>
            <w:tcBorders>
              <w:top w:val="nil"/>
              <w:left w:val="nil"/>
              <w:bottom w:val="nil"/>
              <w:right w:val="nil"/>
            </w:tcBorders>
            <w:shd w:val="clear" w:color="auto" w:fill="auto"/>
            <w:noWrap/>
            <w:vAlign w:val="center"/>
            <w:hideMark/>
          </w:tcPr>
          <w:p w14:paraId="635F4427"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r w:rsidR="00F54824" w:rsidRPr="002128A6" w14:paraId="489EC3D8" w14:textId="77777777" w:rsidTr="00F862D3">
        <w:trPr>
          <w:trHeight w:val="20"/>
        </w:trPr>
        <w:tc>
          <w:tcPr>
            <w:tcW w:w="418" w:type="pct"/>
            <w:tcBorders>
              <w:top w:val="nil"/>
              <w:left w:val="nil"/>
              <w:bottom w:val="nil"/>
              <w:right w:val="nil"/>
            </w:tcBorders>
            <w:shd w:val="clear" w:color="auto" w:fill="auto"/>
            <w:noWrap/>
            <w:vAlign w:val="bottom"/>
            <w:hideMark/>
          </w:tcPr>
          <w:p w14:paraId="50EA8DE0"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639" w:type="pct"/>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151BCA4" w14:textId="78884BF3"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Kosto</w:t>
            </w:r>
            <w:r w:rsidR="008A598F" w:rsidRPr="002128A6">
              <w:rPr>
                <w:rFonts w:ascii="Garamond" w:eastAsia="Times New Roman" w:hAnsi="Garamond" w:cs="Times New Roman"/>
                <w:b/>
                <w:bCs/>
                <w:kern w:val="0"/>
                <w:sz w:val="14"/>
                <w:szCs w:val="16"/>
                <w14:ligatures w14:val="none"/>
              </w:rPr>
              <w:t>ja</w:t>
            </w:r>
            <w:r w:rsidRPr="002128A6">
              <w:rPr>
                <w:rFonts w:ascii="Garamond" w:eastAsia="Times New Roman" w:hAnsi="Garamond" w:cs="Times New Roman"/>
                <w:b/>
                <w:bCs/>
                <w:kern w:val="0"/>
                <w:sz w:val="14"/>
                <w:szCs w:val="16"/>
                <w14:ligatures w14:val="none"/>
              </w:rPr>
              <w:t xml:space="preserve"> </w:t>
            </w:r>
            <w:r w:rsidR="008A598F" w:rsidRPr="002128A6">
              <w:rPr>
                <w:rFonts w:ascii="Garamond" w:eastAsia="Times New Roman" w:hAnsi="Garamond" w:cs="Times New Roman"/>
                <w:b/>
                <w:bCs/>
                <w:kern w:val="0"/>
                <w:sz w:val="14"/>
                <w:szCs w:val="16"/>
                <w14:ligatures w14:val="none"/>
              </w:rPr>
              <w:t xml:space="preserve">korrente </w:t>
            </w:r>
          </w:p>
        </w:tc>
        <w:tc>
          <w:tcPr>
            <w:tcW w:w="560" w:type="pct"/>
            <w:tcBorders>
              <w:top w:val="single" w:sz="4" w:space="0" w:color="auto"/>
              <w:left w:val="nil"/>
              <w:bottom w:val="single" w:sz="4" w:space="0" w:color="auto"/>
              <w:right w:val="single" w:sz="4" w:space="0" w:color="auto"/>
            </w:tcBorders>
            <w:shd w:val="clear" w:color="000000" w:fill="F4B084"/>
            <w:noWrap/>
            <w:vAlign w:val="center"/>
            <w:hideMark/>
          </w:tcPr>
          <w:p w14:paraId="47BEB97E" w14:textId="77777777" w:rsidR="00F862D3" w:rsidRPr="002128A6" w:rsidRDefault="00F862D3" w:rsidP="00D44D49">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25,661,134,416</w:t>
            </w:r>
          </w:p>
        </w:tc>
        <w:tc>
          <w:tcPr>
            <w:tcW w:w="815" w:type="pct"/>
            <w:tcBorders>
              <w:top w:val="nil"/>
              <w:left w:val="nil"/>
              <w:bottom w:val="nil"/>
              <w:right w:val="nil"/>
            </w:tcBorders>
            <w:shd w:val="clear" w:color="auto" w:fill="auto"/>
            <w:noWrap/>
            <w:vAlign w:val="center"/>
            <w:hideMark/>
          </w:tcPr>
          <w:p w14:paraId="7ADEEF69"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68</w:t>
            </w:r>
          </w:p>
        </w:tc>
        <w:tc>
          <w:tcPr>
            <w:tcW w:w="485" w:type="pct"/>
            <w:tcBorders>
              <w:top w:val="nil"/>
              <w:left w:val="nil"/>
              <w:bottom w:val="nil"/>
              <w:right w:val="nil"/>
            </w:tcBorders>
            <w:shd w:val="clear" w:color="auto" w:fill="auto"/>
            <w:noWrap/>
            <w:vAlign w:val="center"/>
            <w:hideMark/>
          </w:tcPr>
          <w:p w14:paraId="55938AC6"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PBA 26-28</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183FC30C"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22,639,416,416</w:t>
            </w:r>
          </w:p>
        </w:tc>
        <w:tc>
          <w:tcPr>
            <w:tcW w:w="531" w:type="pct"/>
            <w:tcBorders>
              <w:top w:val="nil"/>
              <w:left w:val="nil"/>
              <w:bottom w:val="single" w:sz="4" w:space="0" w:color="auto"/>
              <w:right w:val="single" w:sz="4" w:space="0" w:color="auto"/>
            </w:tcBorders>
            <w:shd w:val="clear" w:color="auto" w:fill="auto"/>
            <w:noWrap/>
            <w:vAlign w:val="center"/>
            <w:hideMark/>
          </w:tcPr>
          <w:p w14:paraId="612A5329"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243,173,109</w:t>
            </w:r>
          </w:p>
        </w:tc>
        <w:tc>
          <w:tcPr>
            <w:tcW w:w="531" w:type="pct"/>
            <w:tcBorders>
              <w:top w:val="nil"/>
              <w:left w:val="nil"/>
              <w:bottom w:val="nil"/>
              <w:right w:val="nil"/>
            </w:tcBorders>
            <w:shd w:val="clear" w:color="auto" w:fill="auto"/>
            <w:noWrap/>
            <w:vAlign w:val="center"/>
            <w:hideMark/>
          </w:tcPr>
          <w:p w14:paraId="2FC547C1"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03" w:type="pct"/>
            <w:tcBorders>
              <w:top w:val="nil"/>
              <w:left w:val="nil"/>
              <w:bottom w:val="nil"/>
              <w:right w:val="nil"/>
            </w:tcBorders>
            <w:shd w:val="clear" w:color="auto" w:fill="auto"/>
            <w:noWrap/>
            <w:vAlign w:val="center"/>
            <w:hideMark/>
          </w:tcPr>
          <w:p w14:paraId="3E5E7441"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r w:rsidR="00F54824" w:rsidRPr="002128A6" w14:paraId="310719F9" w14:textId="77777777" w:rsidTr="00F862D3">
        <w:trPr>
          <w:trHeight w:val="20"/>
        </w:trPr>
        <w:tc>
          <w:tcPr>
            <w:tcW w:w="418" w:type="pct"/>
            <w:tcBorders>
              <w:top w:val="nil"/>
              <w:left w:val="nil"/>
              <w:bottom w:val="nil"/>
              <w:right w:val="nil"/>
            </w:tcBorders>
            <w:shd w:val="clear" w:color="auto" w:fill="auto"/>
            <w:noWrap/>
            <w:vAlign w:val="bottom"/>
            <w:hideMark/>
          </w:tcPr>
          <w:p w14:paraId="0DCC1455"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639" w:type="pct"/>
            <w:tcBorders>
              <w:top w:val="nil"/>
              <w:left w:val="single" w:sz="4" w:space="0" w:color="auto"/>
              <w:bottom w:val="single" w:sz="4" w:space="0" w:color="auto"/>
              <w:right w:val="single" w:sz="4" w:space="0" w:color="auto"/>
            </w:tcBorders>
            <w:shd w:val="clear" w:color="000000" w:fill="F4B084"/>
            <w:noWrap/>
            <w:vAlign w:val="center"/>
            <w:hideMark/>
          </w:tcPr>
          <w:p w14:paraId="6934B2B4" w14:textId="095EA35D"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Kosto</w:t>
            </w:r>
            <w:r w:rsidR="008A598F" w:rsidRPr="002128A6">
              <w:rPr>
                <w:rFonts w:ascii="Garamond" w:eastAsia="Times New Roman" w:hAnsi="Garamond" w:cs="Times New Roman"/>
                <w:b/>
                <w:bCs/>
                <w:kern w:val="0"/>
                <w:sz w:val="14"/>
                <w:szCs w:val="16"/>
                <w14:ligatures w14:val="none"/>
              </w:rPr>
              <w:t>ja</w:t>
            </w:r>
            <w:r w:rsidRPr="002128A6">
              <w:rPr>
                <w:rFonts w:ascii="Garamond" w:eastAsia="Times New Roman" w:hAnsi="Garamond" w:cs="Times New Roman"/>
                <w:b/>
                <w:bCs/>
                <w:kern w:val="0"/>
                <w:sz w:val="14"/>
                <w:szCs w:val="16"/>
                <w14:ligatures w14:val="none"/>
              </w:rPr>
              <w:t xml:space="preserve"> kapitale</w:t>
            </w:r>
          </w:p>
        </w:tc>
        <w:tc>
          <w:tcPr>
            <w:tcW w:w="560" w:type="pct"/>
            <w:tcBorders>
              <w:top w:val="nil"/>
              <w:left w:val="nil"/>
              <w:bottom w:val="single" w:sz="4" w:space="0" w:color="auto"/>
              <w:right w:val="single" w:sz="4" w:space="0" w:color="auto"/>
            </w:tcBorders>
            <w:shd w:val="clear" w:color="000000" w:fill="F4B084"/>
            <w:noWrap/>
            <w:vAlign w:val="center"/>
            <w:hideMark/>
          </w:tcPr>
          <w:p w14:paraId="25B89B94" w14:textId="77777777" w:rsidR="00F862D3" w:rsidRPr="002128A6" w:rsidRDefault="00F862D3" w:rsidP="00D44D49">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11,869,687,406</w:t>
            </w:r>
          </w:p>
        </w:tc>
        <w:tc>
          <w:tcPr>
            <w:tcW w:w="815" w:type="pct"/>
            <w:tcBorders>
              <w:top w:val="nil"/>
              <w:left w:val="nil"/>
              <w:bottom w:val="nil"/>
              <w:right w:val="nil"/>
            </w:tcBorders>
            <w:shd w:val="clear" w:color="auto" w:fill="auto"/>
            <w:noWrap/>
            <w:vAlign w:val="center"/>
            <w:hideMark/>
          </w:tcPr>
          <w:p w14:paraId="36353DBB"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32</w:t>
            </w:r>
          </w:p>
        </w:tc>
        <w:tc>
          <w:tcPr>
            <w:tcW w:w="485" w:type="pct"/>
            <w:tcBorders>
              <w:top w:val="nil"/>
              <w:left w:val="nil"/>
              <w:bottom w:val="nil"/>
              <w:right w:val="nil"/>
            </w:tcBorders>
            <w:shd w:val="clear" w:color="auto" w:fill="auto"/>
            <w:noWrap/>
            <w:vAlign w:val="center"/>
            <w:hideMark/>
          </w:tcPr>
          <w:p w14:paraId="338DF4EB"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PBA 28-30</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67F9A7DF"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7,924,395,998</w:t>
            </w:r>
          </w:p>
        </w:tc>
        <w:tc>
          <w:tcPr>
            <w:tcW w:w="531" w:type="pct"/>
            <w:tcBorders>
              <w:top w:val="nil"/>
              <w:left w:val="nil"/>
              <w:bottom w:val="single" w:sz="4" w:space="0" w:color="auto"/>
              <w:right w:val="single" w:sz="4" w:space="0" w:color="auto"/>
            </w:tcBorders>
            <w:shd w:val="clear" w:color="auto" w:fill="auto"/>
            <w:noWrap/>
            <w:vAlign w:val="center"/>
            <w:hideMark/>
          </w:tcPr>
          <w:p w14:paraId="6FAA014E"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85,117,035</w:t>
            </w:r>
          </w:p>
        </w:tc>
        <w:tc>
          <w:tcPr>
            <w:tcW w:w="531" w:type="pct"/>
            <w:tcBorders>
              <w:top w:val="nil"/>
              <w:left w:val="nil"/>
              <w:bottom w:val="nil"/>
              <w:right w:val="nil"/>
            </w:tcBorders>
            <w:shd w:val="clear" w:color="auto" w:fill="auto"/>
            <w:noWrap/>
            <w:vAlign w:val="center"/>
            <w:hideMark/>
          </w:tcPr>
          <w:p w14:paraId="680111BB"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03" w:type="pct"/>
            <w:tcBorders>
              <w:top w:val="nil"/>
              <w:left w:val="nil"/>
              <w:bottom w:val="nil"/>
              <w:right w:val="nil"/>
            </w:tcBorders>
            <w:shd w:val="clear" w:color="auto" w:fill="auto"/>
            <w:noWrap/>
            <w:vAlign w:val="center"/>
            <w:hideMark/>
          </w:tcPr>
          <w:p w14:paraId="0C1231A4"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r w:rsidR="00F54824" w:rsidRPr="002128A6" w14:paraId="33C205E2" w14:textId="77777777" w:rsidTr="00F862D3">
        <w:trPr>
          <w:trHeight w:val="20"/>
        </w:trPr>
        <w:tc>
          <w:tcPr>
            <w:tcW w:w="418" w:type="pct"/>
            <w:tcBorders>
              <w:top w:val="nil"/>
              <w:left w:val="nil"/>
              <w:bottom w:val="nil"/>
              <w:right w:val="nil"/>
            </w:tcBorders>
            <w:shd w:val="clear" w:color="auto" w:fill="auto"/>
            <w:noWrap/>
            <w:vAlign w:val="bottom"/>
            <w:hideMark/>
          </w:tcPr>
          <w:p w14:paraId="787C448A"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639" w:type="pct"/>
            <w:tcBorders>
              <w:top w:val="nil"/>
              <w:left w:val="single" w:sz="4" w:space="0" w:color="auto"/>
              <w:bottom w:val="single" w:sz="4" w:space="0" w:color="auto"/>
              <w:right w:val="single" w:sz="4" w:space="0" w:color="auto"/>
            </w:tcBorders>
            <w:shd w:val="clear" w:color="000000" w:fill="F4B084"/>
            <w:noWrap/>
            <w:vAlign w:val="center"/>
            <w:hideMark/>
          </w:tcPr>
          <w:p w14:paraId="525E4F3A" w14:textId="5F0F3535"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Total kosto</w:t>
            </w:r>
            <w:r w:rsidR="007A7F97">
              <w:rPr>
                <w:rFonts w:ascii="Garamond" w:eastAsia="Times New Roman" w:hAnsi="Garamond" w:cs="Times New Roman"/>
                <w:b/>
                <w:bCs/>
                <w:kern w:val="0"/>
                <w:sz w:val="14"/>
                <w:szCs w:val="16"/>
                <w14:ligatures w14:val="none"/>
              </w:rPr>
              <w:t>ja</w:t>
            </w:r>
          </w:p>
        </w:tc>
        <w:tc>
          <w:tcPr>
            <w:tcW w:w="560" w:type="pct"/>
            <w:tcBorders>
              <w:top w:val="nil"/>
              <w:left w:val="nil"/>
              <w:bottom w:val="single" w:sz="4" w:space="0" w:color="auto"/>
              <w:right w:val="single" w:sz="4" w:space="0" w:color="auto"/>
            </w:tcBorders>
            <w:shd w:val="clear" w:color="000000" w:fill="F4B084"/>
            <w:noWrap/>
            <w:vAlign w:val="center"/>
            <w:hideMark/>
          </w:tcPr>
          <w:p w14:paraId="07124FE5" w14:textId="77777777" w:rsidR="00F862D3" w:rsidRPr="002128A6" w:rsidRDefault="00F862D3" w:rsidP="00D44D49">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37,530,821,822</w:t>
            </w:r>
          </w:p>
        </w:tc>
        <w:tc>
          <w:tcPr>
            <w:tcW w:w="815" w:type="pct"/>
            <w:tcBorders>
              <w:top w:val="nil"/>
              <w:left w:val="nil"/>
              <w:bottom w:val="nil"/>
              <w:right w:val="nil"/>
            </w:tcBorders>
            <w:shd w:val="clear" w:color="auto" w:fill="auto"/>
            <w:noWrap/>
            <w:vAlign w:val="center"/>
            <w:hideMark/>
          </w:tcPr>
          <w:p w14:paraId="648FC647"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485" w:type="pct"/>
            <w:tcBorders>
              <w:top w:val="nil"/>
              <w:left w:val="nil"/>
              <w:bottom w:val="nil"/>
              <w:right w:val="nil"/>
            </w:tcBorders>
            <w:shd w:val="clear" w:color="auto" w:fill="auto"/>
            <w:noWrap/>
            <w:vAlign w:val="center"/>
            <w:hideMark/>
          </w:tcPr>
          <w:p w14:paraId="7AB67392" w14:textId="3DDFF0FB"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 xml:space="preserve">Financim </w:t>
            </w:r>
            <w:r w:rsidR="00F336A1" w:rsidRPr="002128A6">
              <w:rPr>
                <w:rFonts w:ascii="Garamond" w:eastAsia="Times New Roman" w:hAnsi="Garamond" w:cs="Times New Roman"/>
                <w:b/>
                <w:bCs/>
                <w:kern w:val="0"/>
                <w:sz w:val="14"/>
                <w:szCs w:val="16"/>
                <w14:ligatures w14:val="none"/>
              </w:rPr>
              <w:t>i</w:t>
            </w:r>
            <w:r w:rsidRPr="002128A6">
              <w:rPr>
                <w:rFonts w:ascii="Garamond" w:eastAsia="Times New Roman" w:hAnsi="Garamond" w:cs="Times New Roman"/>
                <w:b/>
                <w:bCs/>
                <w:kern w:val="0"/>
                <w:sz w:val="14"/>
                <w:szCs w:val="16"/>
                <w14:ligatures w14:val="none"/>
              </w:rPr>
              <w:t xml:space="preserve"> huaj</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447CA9D1"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3,974,455,408</w:t>
            </w:r>
          </w:p>
        </w:tc>
        <w:tc>
          <w:tcPr>
            <w:tcW w:w="531" w:type="pct"/>
            <w:tcBorders>
              <w:top w:val="nil"/>
              <w:left w:val="nil"/>
              <w:bottom w:val="single" w:sz="4" w:space="0" w:color="auto"/>
              <w:right w:val="single" w:sz="4" w:space="0" w:color="auto"/>
            </w:tcBorders>
            <w:shd w:val="clear" w:color="auto" w:fill="auto"/>
            <w:noWrap/>
            <w:vAlign w:val="center"/>
            <w:hideMark/>
          </w:tcPr>
          <w:p w14:paraId="7D8B817A"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42,690,176</w:t>
            </w:r>
          </w:p>
        </w:tc>
        <w:tc>
          <w:tcPr>
            <w:tcW w:w="531" w:type="pct"/>
            <w:tcBorders>
              <w:top w:val="nil"/>
              <w:left w:val="nil"/>
              <w:bottom w:val="nil"/>
              <w:right w:val="nil"/>
            </w:tcBorders>
            <w:shd w:val="clear" w:color="auto" w:fill="auto"/>
            <w:noWrap/>
            <w:vAlign w:val="center"/>
            <w:hideMark/>
          </w:tcPr>
          <w:p w14:paraId="6BF31B41"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03" w:type="pct"/>
            <w:tcBorders>
              <w:top w:val="nil"/>
              <w:left w:val="nil"/>
              <w:bottom w:val="nil"/>
              <w:right w:val="nil"/>
            </w:tcBorders>
            <w:shd w:val="clear" w:color="auto" w:fill="auto"/>
            <w:noWrap/>
            <w:vAlign w:val="center"/>
            <w:hideMark/>
          </w:tcPr>
          <w:p w14:paraId="68698938"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r w:rsidR="00F54824" w:rsidRPr="002128A6" w14:paraId="12FEF69E" w14:textId="77777777" w:rsidTr="00F862D3">
        <w:trPr>
          <w:trHeight w:val="20"/>
        </w:trPr>
        <w:tc>
          <w:tcPr>
            <w:tcW w:w="418" w:type="pct"/>
            <w:tcBorders>
              <w:top w:val="nil"/>
              <w:left w:val="nil"/>
              <w:bottom w:val="nil"/>
              <w:right w:val="nil"/>
            </w:tcBorders>
            <w:shd w:val="clear" w:color="auto" w:fill="auto"/>
            <w:noWrap/>
            <w:vAlign w:val="bottom"/>
            <w:hideMark/>
          </w:tcPr>
          <w:p w14:paraId="35686F17"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639" w:type="pct"/>
            <w:tcBorders>
              <w:top w:val="nil"/>
              <w:left w:val="nil"/>
              <w:bottom w:val="nil"/>
              <w:right w:val="nil"/>
            </w:tcBorders>
            <w:shd w:val="clear" w:color="auto" w:fill="auto"/>
            <w:noWrap/>
            <w:vAlign w:val="center"/>
            <w:hideMark/>
          </w:tcPr>
          <w:p w14:paraId="027AA3D8" w14:textId="77777777" w:rsidR="00F862D3" w:rsidRPr="002128A6" w:rsidRDefault="00F862D3" w:rsidP="00F862D3">
            <w:pPr>
              <w:spacing w:after="0" w:line="240" w:lineRule="auto"/>
              <w:rPr>
                <w:rFonts w:ascii="Garamond" w:eastAsia="Times New Roman" w:hAnsi="Garamond" w:cs="Times New Roman"/>
                <w:kern w:val="0"/>
                <w:sz w:val="14"/>
                <w:szCs w:val="16"/>
                <w14:ligatures w14:val="none"/>
              </w:rPr>
            </w:pPr>
          </w:p>
        </w:tc>
        <w:tc>
          <w:tcPr>
            <w:tcW w:w="560" w:type="pct"/>
            <w:tcBorders>
              <w:top w:val="nil"/>
              <w:left w:val="nil"/>
              <w:bottom w:val="nil"/>
              <w:right w:val="nil"/>
            </w:tcBorders>
            <w:shd w:val="clear" w:color="auto" w:fill="auto"/>
            <w:noWrap/>
            <w:vAlign w:val="center"/>
            <w:hideMark/>
          </w:tcPr>
          <w:p w14:paraId="35EC4AD2"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815" w:type="pct"/>
            <w:tcBorders>
              <w:top w:val="nil"/>
              <w:left w:val="nil"/>
              <w:bottom w:val="nil"/>
              <w:right w:val="nil"/>
            </w:tcBorders>
            <w:shd w:val="clear" w:color="auto" w:fill="auto"/>
            <w:noWrap/>
            <w:vAlign w:val="center"/>
            <w:hideMark/>
          </w:tcPr>
          <w:p w14:paraId="44FF1A5B"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485" w:type="pct"/>
            <w:tcBorders>
              <w:top w:val="nil"/>
              <w:left w:val="nil"/>
              <w:bottom w:val="nil"/>
              <w:right w:val="nil"/>
            </w:tcBorders>
            <w:shd w:val="clear" w:color="auto" w:fill="auto"/>
            <w:noWrap/>
            <w:vAlign w:val="center"/>
            <w:hideMark/>
          </w:tcPr>
          <w:p w14:paraId="09A2EB28"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 xml:space="preserve">hendeku </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4A2405B1"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2,992,554,000</w:t>
            </w:r>
          </w:p>
        </w:tc>
        <w:tc>
          <w:tcPr>
            <w:tcW w:w="531" w:type="pct"/>
            <w:tcBorders>
              <w:top w:val="nil"/>
              <w:left w:val="nil"/>
              <w:bottom w:val="single" w:sz="4" w:space="0" w:color="auto"/>
              <w:right w:val="single" w:sz="4" w:space="0" w:color="auto"/>
            </w:tcBorders>
            <w:shd w:val="clear" w:color="auto" w:fill="auto"/>
            <w:noWrap/>
            <w:vAlign w:val="center"/>
            <w:hideMark/>
          </w:tcPr>
          <w:p w14:paraId="62FB3EED"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32,143,437</w:t>
            </w:r>
          </w:p>
        </w:tc>
        <w:tc>
          <w:tcPr>
            <w:tcW w:w="531" w:type="pct"/>
            <w:tcBorders>
              <w:top w:val="nil"/>
              <w:left w:val="nil"/>
              <w:bottom w:val="nil"/>
              <w:right w:val="nil"/>
            </w:tcBorders>
            <w:shd w:val="clear" w:color="auto" w:fill="auto"/>
            <w:noWrap/>
            <w:vAlign w:val="center"/>
            <w:hideMark/>
          </w:tcPr>
          <w:p w14:paraId="5BA9EBF4"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03" w:type="pct"/>
            <w:tcBorders>
              <w:top w:val="nil"/>
              <w:left w:val="nil"/>
              <w:bottom w:val="nil"/>
              <w:right w:val="nil"/>
            </w:tcBorders>
            <w:shd w:val="clear" w:color="auto" w:fill="auto"/>
            <w:noWrap/>
            <w:vAlign w:val="center"/>
            <w:hideMark/>
          </w:tcPr>
          <w:p w14:paraId="20CDD206"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r w:rsidR="00F54824" w:rsidRPr="002128A6" w14:paraId="1AC6194D" w14:textId="77777777" w:rsidTr="00F862D3">
        <w:trPr>
          <w:trHeight w:val="20"/>
        </w:trPr>
        <w:tc>
          <w:tcPr>
            <w:tcW w:w="418" w:type="pct"/>
            <w:tcBorders>
              <w:top w:val="nil"/>
              <w:left w:val="nil"/>
              <w:bottom w:val="nil"/>
              <w:right w:val="nil"/>
            </w:tcBorders>
            <w:shd w:val="clear" w:color="auto" w:fill="auto"/>
            <w:noWrap/>
            <w:vAlign w:val="bottom"/>
            <w:hideMark/>
          </w:tcPr>
          <w:p w14:paraId="5A47B4FB"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639" w:type="pct"/>
            <w:tcBorders>
              <w:top w:val="nil"/>
              <w:left w:val="nil"/>
              <w:bottom w:val="nil"/>
              <w:right w:val="nil"/>
            </w:tcBorders>
            <w:shd w:val="clear" w:color="auto" w:fill="auto"/>
            <w:noWrap/>
            <w:vAlign w:val="center"/>
            <w:hideMark/>
          </w:tcPr>
          <w:p w14:paraId="0BF6FA1F" w14:textId="77777777" w:rsidR="00F862D3" w:rsidRPr="002128A6" w:rsidRDefault="00F862D3" w:rsidP="00F862D3">
            <w:pPr>
              <w:spacing w:after="0" w:line="240" w:lineRule="auto"/>
              <w:rPr>
                <w:rFonts w:ascii="Garamond" w:eastAsia="Times New Roman" w:hAnsi="Garamond" w:cs="Times New Roman"/>
                <w:kern w:val="0"/>
                <w:sz w:val="14"/>
                <w:szCs w:val="16"/>
                <w14:ligatures w14:val="none"/>
              </w:rPr>
            </w:pPr>
          </w:p>
        </w:tc>
        <w:tc>
          <w:tcPr>
            <w:tcW w:w="560" w:type="pct"/>
            <w:tcBorders>
              <w:top w:val="nil"/>
              <w:left w:val="nil"/>
              <w:bottom w:val="nil"/>
              <w:right w:val="nil"/>
            </w:tcBorders>
            <w:shd w:val="clear" w:color="auto" w:fill="auto"/>
            <w:noWrap/>
            <w:vAlign w:val="center"/>
            <w:hideMark/>
          </w:tcPr>
          <w:p w14:paraId="1CE6312F"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815" w:type="pct"/>
            <w:tcBorders>
              <w:top w:val="nil"/>
              <w:left w:val="nil"/>
              <w:bottom w:val="nil"/>
              <w:right w:val="nil"/>
            </w:tcBorders>
            <w:shd w:val="clear" w:color="auto" w:fill="auto"/>
            <w:noWrap/>
            <w:vAlign w:val="center"/>
            <w:hideMark/>
          </w:tcPr>
          <w:p w14:paraId="45F99B36"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485" w:type="pct"/>
            <w:tcBorders>
              <w:top w:val="nil"/>
              <w:left w:val="nil"/>
              <w:bottom w:val="nil"/>
              <w:right w:val="nil"/>
            </w:tcBorders>
            <w:shd w:val="clear" w:color="auto" w:fill="auto"/>
            <w:noWrap/>
            <w:vAlign w:val="center"/>
            <w:hideMark/>
          </w:tcPr>
          <w:p w14:paraId="13C436DE" w14:textId="3FE2A1D8" w:rsidR="00F862D3" w:rsidRPr="002128A6" w:rsidRDefault="00B7686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Korrente</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6979AABA"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25,661,134,416</w:t>
            </w:r>
          </w:p>
        </w:tc>
        <w:tc>
          <w:tcPr>
            <w:tcW w:w="531" w:type="pct"/>
            <w:tcBorders>
              <w:top w:val="nil"/>
              <w:left w:val="nil"/>
              <w:bottom w:val="single" w:sz="4" w:space="0" w:color="auto"/>
              <w:right w:val="single" w:sz="4" w:space="0" w:color="auto"/>
            </w:tcBorders>
            <w:shd w:val="clear" w:color="auto" w:fill="auto"/>
            <w:noWrap/>
            <w:vAlign w:val="center"/>
            <w:hideMark/>
          </w:tcPr>
          <w:p w14:paraId="7B9797BB"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275,629,800</w:t>
            </w:r>
          </w:p>
        </w:tc>
        <w:tc>
          <w:tcPr>
            <w:tcW w:w="531" w:type="pct"/>
            <w:tcBorders>
              <w:top w:val="nil"/>
              <w:left w:val="nil"/>
              <w:bottom w:val="nil"/>
              <w:right w:val="nil"/>
            </w:tcBorders>
            <w:shd w:val="clear" w:color="auto" w:fill="auto"/>
            <w:noWrap/>
            <w:vAlign w:val="center"/>
            <w:hideMark/>
          </w:tcPr>
          <w:p w14:paraId="01A4CBEF"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03" w:type="pct"/>
            <w:tcBorders>
              <w:top w:val="nil"/>
              <w:left w:val="nil"/>
              <w:bottom w:val="nil"/>
              <w:right w:val="nil"/>
            </w:tcBorders>
            <w:shd w:val="clear" w:color="auto" w:fill="auto"/>
            <w:noWrap/>
            <w:vAlign w:val="center"/>
            <w:hideMark/>
          </w:tcPr>
          <w:p w14:paraId="2A3051FD"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r w:rsidR="00F862D3" w:rsidRPr="002128A6" w14:paraId="5F953E15" w14:textId="77777777" w:rsidTr="00F862D3">
        <w:trPr>
          <w:trHeight w:val="20"/>
        </w:trPr>
        <w:tc>
          <w:tcPr>
            <w:tcW w:w="418" w:type="pct"/>
            <w:tcBorders>
              <w:top w:val="nil"/>
              <w:left w:val="nil"/>
              <w:bottom w:val="nil"/>
              <w:right w:val="nil"/>
            </w:tcBorders>
            <w:shd w:val="clear" w:color="auto" w:fill="auto"/>
            <w:noWrap/>
            <w:vAlign w:val="bottom"/>
            <w:hideMark/>
          </w:tcPr>
          <w:p w14:paraId="3CC55B67"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639" w:type="pct"/>
            <w:tcBorders>
              <w:top w:val="nil"/>
              <w:left w:val="nil"/>
              <w:bottom w:val="nil"/>
              <w:right w:val="nil"/>
            </w:tcBorders>
            <w:shd w:val="clear" w:color="auto" w:fill="auto"/>
            <w:noWrap/>
            <w:vAlign w:val="center"/>
            <w:hideMark/>
          </w:tcPr>
          <w:p w14:paraId="7A5057FE" w14:textId="77777777" w:rsidR="00F862D3" w:rsidRPr="002128A6" w:rsidRDefault="00F862D3" w:rsidP="00F862D3">
            <w:pPr>
              <w:spacing w:after="0" w:line="240" w:lineRule="auto"/>
              <w:rPr>
                <w:rFonts w:ascii="Garamond" w:eastAsia="Times New Roman" w:hAnsi="Garamond" w:cs="Times New Roman"/>
                <w:kern w:val="0"/>
                <w:sz w:val="14"/>
                <w:szCs w:val="16"/>
                <w14:ligatures w14:val="none"/>
              </w:rPr>
            </w:pPr>
          </w:p>
        </w:tc>
        <w:tc>
          <w:tcPr>
            <w:tcW w:w="560" w:type="pct"/>
            <w:tcBorders>
              <w:top w:val="nil"/>
              <w:left w:val="nil"/>
              <w:bottom w:val="nil"/>
              <w:right w:val="nil"/>
            </w:tcBorders>
            <w:shd w:val="clear" w:color="auto" w:fill="auto"/>
            <w:noWrap/>
            <w:vAlign w:val="center"/>
            <w:hideMark/>
          </w:tcPr>
          <w:p w14:paraId="774C9E0F"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815" w:type="pct"/>
            <w:tcBorders>
              <w:top w:val="nil"/>
              <w:left w:val="nil"/>
              <w:bottom w:val="nil"/>
              <w:right w:val="nil"/>
            </w:tcBorders>
            <w:shd w:val="clear" w:color="auto" w:fill="auto"/>
            <w:noWrap/>
            <w:vAlign w:val="center"/>
            <w:hideMark/>
          </w:tcPr>
          <w:p w14:paraId="5158B024"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c>
          <w:tcPr>
            <w:tcW w:w="485" w:type="pct"/>
            <w:tcBorders>
              <w:top w:val="nil"/>
              <w:left w:val="nil"/>
              <w:bottom w:val="nil"/>
              <w:right w:val="nil"/>
            </w:tcBorders>
            <w:shd w:val="clear" w:color="auto" w:fill="auto"/>
            <w:noWrap/>
            <w:vAlign w:val="center"/>
            <w:hideMark/>
          </w:tcPr>
          <w:p w14:paraId="526A374F"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Kapitale</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4FD8B08F"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11,869,687,406</w:t>
            </w:r>
          </w:p>
        </w:tc>
        <w:tc>
          <w:tcPr>
            <w:tcW w:w="531" w:type="pct"/>
            <w:tcBorders>
              <w:top w:val="nil"/>
              <w:left w:val="nil"/>
              <w:bottom w:val="single" w:sz="4" w:space="0" w:color="auto"/>
              <w:right w:val="single" w:sz="4" w:space="0" w:color="auto"/>
            </w:tcBorders>
            <w:shd w:val="clear" w:color="auto" w:fill="auto"/>
            <w:noWrap/>
            <w:vAlign w:val="center"/>
            <w:hideMark/>
          </w:tcPr>
          <w:p w14:paraId="46FA3624" w14:textId="77777777" w:rsidR="00F862D3" w:rsidRPr="002128A6" w:rsidRDefault="00F862D3" w:rsidP="00F145C6">
            <w:pPr>
              <w:spacing w:after="0" w:line="240" w:lineRule="auto"/>
              <w:jc w:val="right"/>
              <w:rPr>
                <w:rFonts w:ascii="Garamond" w:eastAsia="Times New Roman" w:hAnsi="Garamond" w:cs="Times New Roman"/>
                <w:b/>
                <w:bCs/>
                <w:kern w:val="0"/>
                <w:sz w:val="14"/>
                <w:szCs w:val="16"/>
                <w14:ligatures w14:val="none"/>
              </w:rPr>
            </w:pPr>
            <w:r w:rsidRPr="002128A6">
              <w:rPr>
                <w:rFonts w:ascii="Garamond" w:eastAsia="Times New Roman" w:hAnsi="Garamond" w:cs="Times New Roman"/>
                <w:b/>
                <w:bCs/>
                <w:kern w:val="0"/>
                <w:sz w:val="14"/>
                <w:szCs w:val="16"/>
                <w14:ligatures w14:val="none"/>
              </w:rPr>
              <w:t>127,493,957</w:t>
            </w:r>
          </w:p>
        </w:tc>
        <w:tc>
          <w:tcPr>
            <w:tcW w:w="531" w:type="pct"/>
            <w:tcBorders>
              <w:top w:val="nil"/>
              <w:left w:val="nil"/>
              <w:bottom w:val="nil"/>
              <w:right w:val="nil"/>
            </w:tcBorders>
            <w:shd w:val="clear" w:color="auto" w:fill="auto"/>
            <w:noWrap/>
            <w:vAlign w:val="center"/>
            <w:hideMark/>
          </w:tcPr>
          <w:p w14:paraId="07FBD4E7" w14:textId="77777777" w:rsidR="00F862D3" w:rsidRPr="002128A6" w:rsidRDefault="00F862D3" w:rsidP="00F862D3">
            <w:pPr>
              <w:spacing w:after="0" w:line="240" w:lineRule="auto"/>
              <w:jc w:val="center"/>
              <w:rPr>
                <w:rFonts w:ascii="Garamond" w:eastAsia="Times New Roman" w:hAnsi="Garamond" w:cs="Times New Roman"/>
                <w:b/>
                <w:bCs/>
                <w:kern w:val="0"/>
                <w:sz w:val="14"/>
                <w:szCs w:val="16"/>
                <w14:ligatures w14:val="none"/>
              </w:rPr>
            </w:pPr>
          </w:p>
        </w:tc>
        <w:tc>
          <w:tcPr>
            <w:tcW w:w="503" w:type="pct"/>
            <w:tcBorders>
              <w:top w:val="nil"/>
              <w:left w:val="nil"/>
              <w:bottom w:val="nil"/>
              <w:right w:val="nil"/>
            </w:tcBorders>
            <w:shd w:val="clear" w:color="auto" w:fill="auto"/>
            <w:noWrap/>
            <w:vAlign w:val="center"/>
            <w:hideMark/>
          </w:tcPr>
          <w:p w14:paraId="632362E1" w14:textId="77777777" w:rsidR="00F862D3" w:rsidRPr="002128A6" w:rsidRDefault="00F862D3" w:rsidP="00F862D3">
            <w:pPr>
              <w:spacing w:after="0" w:line="240" w:lineRule="auto"/>
              <w:jc w:val="center"/>
              <w:rPr>
                <w:rFonts w:ascii="Garamond" w:eastAsia="Times New Roman" w:hAnsi="Garamond" w:cs="Times New Roman"/>
                <w:kern w:val="0"/>
                <w:sz w:val="14"/>
                <w:szCs w:val="16"/>
                <w14:ligatures w14:val="none"/>
              </w:rPr>
            </w:pPr>
          </w:p>
        </w:tc>
      </w:tr>
    </w:tbl>
    <w:p w14:paraId="67D52C0C" w14:textId="73B88AE9" w:rsidR="00F862D3" w:rsidRPr="002128A6" w:rsidRDefault="00F862D3" w:rsidP="00152EE7">
      <w:pPr>
        <w:spacing w:after="0"/>
        <w:rPr>
          <w:rFonts w:ascii="Garamond" w:hAnsi="Garamond" w:cstheme="majorBidi"/>
          <w:b/>
          <w:bCs/>
        </w:rPr>
      </w:pPr>
    </w:p>
    <w:p w14:paraId="7BB5C490" w14:textId="77777777" w:rsidR="00F862D3" w:rsidRPr="002128A6" w:rsidRDefault="00F862D3" w:rsidP="00152EE7">
      <w:pPr>
        <w:spacing w:after="0"/>
        <w:rPr>
          <w:rFonts w:ascii="Garamond" w:hAnsi="Garamond" w:cstheme="majorBidi"/>
          <w:b/>
          <w:bCs/>
        </w:rPr>
        <w:sectPr w:rsidR="00F862D3" w:rsidRPr="002128A6" w:rsidSect="00DB1B67">
          <w:pgSz w:w="15840" w:h="12240" w:orient="landscape"/>
          <w:pgMar w:top="1440" w:right="1440" w:bottom="1440" w:left="1440" w:header="720" w:footer="720" w:gutter="0"/>
          <w:pgNumType w:start="0"/>
          <w:cols w:space="720"/>
          <w:titlePg/>
          <w:docGrid w:linePitch="360"/>
        </w:sectPr>
      </w:pPr>
    </w:p>
    <w:p w14:paraId="09B5EFDA" w14:textId="55125F73" w:rsidR="00F862D3" w:rsidRPr="002128A6" w:rsidRDefault="00F862D3" w:rsidP="00F862D3">
      <w:pPr>
        <w:spacing w:after="0"/>
        <w:jc w:val="center"/>
        <w:rPr>
          <w:rFonts w:ascii="Garamond" w:hAnsi="Garamond" w:cstheme="majorBidi"/>
          <w:b/>
          <w:bCs/>
        </w:rPr>
      </w:pPr>
      <w:r w:rsidRPr="002128A6">
        <w:rPr>
          <w:rFonts w:ascii="Garamond" w:hAnsi="Garamond" w:cstheme="majorBidi"/>
          <w:b/>
          <w:bCs/>
        </w:rPr>
        <w:lastRenderedPageBreak/>
        <w:t xml:space="preserve">Nevojat </w:t>
      </w:r>
      <w:r w:rsidR="00204FE4" w:rsidRPr="002128A6">
        <w:rPr>
          <w:rFonts w:ascii="Garamond" w:hAnsi="Garamond" w:cstheme="majorBidi"/>
          <w:b/>
          <w:bCs/>
        </w:rPr>
        <w:t xml:space="preserve">kapitale </w:t>
      </w:r>
      <w:r w:rsidRPr="002128A6">
        <w:rPr>
          <w:rFonts w:ascii="Garamond" w:hAnsi="Garamond" w:cstheme="majorBidi"/>
          <w:b/>
          <w:bCs/>
        </w:rPr>
        <w:t xml:space="preserve">(në </w:t>
      </w:r>
      <w:r w:rsidR="00204FE4" w:rsidRPr="002128A6">
        <w:rPr>
          <w:rFonts w:ascii="Garamond" w:hAnsi="Garamond" w:cstheme="majorBidi"/>
          <w:b/>
          <w:bCs/>
        </w:rPr>
        <w:t>lek</w:t>
      </w:r>
      <w:r w:rsidR="00204FE4">
        <w:rPr>
          <w:rFonts w:ascii="Garamond" w:hAnsi="Garamond" w:cstheme="majorBidi"/>
          <w:b/>
          <w:bCs/>
        </w:rPr>
        <w:t>ë</w:t>
      </w:r>
      <w:r w:rsidRPr="002128A6">
        <w:rPr>
          <w:rFonts w:ascii="Garamond" w:hAnsi="Garamond" w:cstheme="majorBidi"/>
          <w:b/>
          <w:bCs/>
        </w:rPr>
        <w:t>)</w:t>
      </w:r>
    </w:p>
    <w:tbl>
      <w:tblPr>
        <w:tblW w:w="9780" w:type="dxa"/>
        <w:jc w:val="center"/>
        <w:tblLook w:val="04A0" w:firstRow="1" w:lastRow="0" w:firstColumn="1" w:lastColumn="0" w:noHBand="0" w:noVBand="1"/>
      </w:tblPr>
      <w:tblGrid>
        <w:gridCol w:w="1102"/>
        <w:gridCol w:w="1714"/>
        <w:gridCol w:w="1452"/>
        <w:gridCol w:w="1396"/>
        <w:gridCol w:w="1397"/>
        <w:gridCol w:w="1397"/>
        <w:gridCol w:w="1322"/>
      </w:tblGrid>
      <w:tr w:rsidR="00FC5887" w:rsidRPr="002128A6" w14:paraId="36196ADA" w14:textId="77777777" w:rsidTr="00FC5887">
        <w:trPr>
          <w:trHeight w:val="20"/>
          <w:jc w:val="center"/>
        </w:trPr>
        <w:tc>
          <w:tcPr>
            <w:tcW w:w="1102" w:type="dxa"/>
            <w:vMerge w:val="restart"/>
            <w:tcBorders>
              <w:top w:val="single" w:sz="8" w:space="0" w:color="auto"/>
              <w:left w:val="single" w:sz="8" w:space="0" w:color="auto"/>
              <w:bottom w:val="single" w:sz="8" w:space="0" w:color="4472C4"/>
              <w:right w:val="nil"/>
            </w:tcBorders>
            <w:shd w:val="clear" w:color="000000" w:fill="4472C4"/>
            <w:vAlign w:val="center"/>
            <w:hideMark/>
          </w:tcPr>
          <w:p w14:paraId="46912511" w14:textId="64B5A711"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Qëllimi i </w:t>
            </w:r>
            <w:r w:rsidR="00204FE4" w:rsidRPr="002128A6">
              <w:rPr>
                <w:rFonts w:ascii="Garamond" w:eastAsia="Times New Roman" w:hAnsi="Garamond" w:cs="Arial"/>
                <w:b/>
                <w:bCs/>
                <w:kern w:val="0"/>
                <w:sz w:val="20"/>
                <w14:ligatures w14:val="none"/>
              </w:rPr>
              <w:t>politikave</w:t>
            </w:r>
          </w:p>
        </w:tc>
        <w:tc>
          <w:tcPr>
            <w:tcW w:w="1714" w:type="dxa"/>
            <w:vMerge w:val="restart"/>
            <w:tcBorders>
              <w:top w:val="single" w:sz="8" w:space="0" w:color="auto"/>
              <w:left w:val="nil"/>
              <w:bottom w:val="single" w:sz="8" w:space="0" w:color="4472C4"/>
              <w:right w:val="nil"/>
            </w:tcBorders>
            <w:shd w:val="clear" w:color="000000" w:fill="4472C4"/>
            <w:vAlign w:val="center"/>
            <w:hideMark/>
          </w:tcPr>
          <w:p w14:paraId="4947E819" w14:textId="3664136E"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Natyra</w:t>
            </w:r>
            <w:r w:rsidR="005C084B" w:rsidRPr="002128A6">
              <w:rPr>
                <w:rFonts w:ascii="Garamond" w:eastAsia="Times New Roman" w:hAnsi="Garamond" w:cs="Arial"/>
                <w:b/>
                <w:bCs/>
                <w:kern w:val="0"/>
                <w:sz w:val="20"/>
                <w14:ligatures w14:val="none"/>
              </w:rPr>
              <w:t>/</w:t>
            </w:r>
            <w:r w:rsidR="00204FE4" w:rsidRPr="002128A6">
              <w:rPr>
                <w:rFonts w:ascii="Garamond" w:eastAsia="Times New Roman" w:hAnsi="Garamond" w:cs="Arial"/>
                <w:b/>
                <w:bCs/>
                <w:kern w:val="0"/>
                <w:sz w:val="20"/>
                <w14:ligatures w14:val="none"/>
              </w:rPr>
              <w:t>tipologjia e kostov</w:t>
            </w:r>
            <w:r w:rsidRPr="002128A6">
              <w:rPr>
                <w:rFonts w:ascii="Garamond" w:eastAsia="Times New Roman" w:hAnsi="Garamond" w:cs="Arial"/>
                <w:b/>
                <w:bCs/>
                <w:kern w:val="0"/>
                <w:sz w:val="20"/>
                <w14:ligatures w14:val="none"/>
              </w:rPr>
              <w:t>e</w:t>
            </w:r>
          </w:p>
        </w:tc>
        <w:tc>
          <w:tcPr>
            <w:tcW w:w="1452" w:type="dxa"/>
            <w:tcBorders>
              <w:top w:val="single" w:sz="8" w:space="0" w:color="auto"/>
              <w:left w:val="nil"/>
              <w:bottom w:val="nil"/>
              <w:right w:val="nil"/>
            </w:tcBorders>
            <w:shd w:val="clear" w:color="000000" w:fill="4472C4"/>
            <w:vAlign w:val="center"/>
            <w:hideMark/>
          </w:tcPr>
          <w:p w14:paraId="669FE8A3" w14:textId="588324DA"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Kostoja </w:t>
            </w:r>
            <w:r w:rsidR="00204FE4" w:rsidRPr="002128A6">
              <w:rPr>
                <w:rFonts w:ascii="Garamond" w:eastAsia="Times New Roman" w:hAnsi="Garamond" w:cs="Arial"/>
                <w:b/>
                <w:bCs/>
                <w:kern w:val="0"/>
                <w:sz w:val="20"/>
                <w14:ligatures w14:val="none"/>
              </w:rPr>
              <w:t>totale</w:t>
            </w:r>
          </w:p>
        </w:tc>
        <w:tc>
          <w:tcPr>
            <w:tcW w:w="1396" w:type="dxa"/>
            <w:tcBorders>
              <w:top w:val="single" w:sz="8" w:space="0" w:color="auto"/>
              <w:left w:val="nil"/>
              <w:bottom w:val="nil"/>
              <w:right w:val="nil"/>
            </w:tcBorders>
            <w:shd w:val="clear" w:color="000000" w:fill="4472C4"/>
            <w:vAlign w:val="center"/>
            <w:hideMark/>
          </w:tcPr>
          <w:p w14:paraId="1FACA217" w14:textId="0AD7126E"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Kostot e </w:t>
            </w:r>
            <w:r w:rsidR="00204FE4" w:rsidRPr="002128A6">
              <w:rPr>
                <w:rFonts w:ascii="Garamond" w:eastAsia="Times New Roman" w:hAnsi="Garamond" w:cs="Arial"/>
                <w:b/>
                <w:bCs/>
                <w:kern w:val="0"/>
                <w:sz w:val="20"/>
                <w14:ligatures w14:val="none"/>
              </w:rPr>
              <w:t>planifikuara</w:t>
            </w:r>
          </w:p>
        </w:tc>
        <w:tc>
          <w:tcPr>
            <w:tcW w:w="1397" w:type="dxa"/>
            <w:tcBorders>
              <w:top w:val="single" w:sz="8" w:space="0" w:color="auto"/>
              <w:left w:val="nil"/>
              <w:bottom w:val="nil"/>
              <w:right w:val="nil"/>
            </w:tcBorders>
            <w:shd w:val="clear" w:color="000000" w:fill="4472C4"/>
            <w:vAlign w:val="center"/>
            <w:hideMark/>
          </w:tcPr>
          <w:p w14:paraId="3CD2FCE9" w14:textId="422B45D7"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Kostot e </w:t>
            </w:r>
            <w:r w:rsidR="00204FE4" w:rsidRPr="002128A6">
              <w:rPr>
                <w:rFonts w:ascii="Garamond" w:eastAsia="Times New Roman" w:hAnsi="Garamond" w:cs="Arial"/>
                <w:b/>
                <w:bCs/>
                <w:kern w:val="0"/>
                <w:sz w:val="20"/>
                <w14:ligatures w14:val="none"/>
              </w:rPr>
              <w:t>planifikuara</w:t>
            </w:r>
          </w:p>
        </w:tc>
        <w:tc>
          <w:tcPr>
            <w:tcW w:w="1397" w:type="dxa"/>
            <w:tcBorders>
              <w:top w:val="single" w:sz="8" w:space="0" w:color="auto"/>
              <w:left w:val="nil"/>
              <w:bottom w:val="nil"/>
              <w:right w:val="nil"/>
            </w:tcBorders>
            <w:shd w:val="clear" w:color="000000" w:fill="4472C4"/>
            <w:vAlign w:val="center"/>
            <w:hideMark/>
          </w:tcPr>
          <w:p w14:paraId="053D4519" w14:textId="488C8270"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Kostot e </w:t>
            </w:r>
            <w:r w:rsidR="00204FE4" w:rsidRPr="002128A6">
              <w:rPr>
                <w:rFonts w:ascii="Garamond" w:eastAsia="Times New Roman" w:hAnsi="Garamond" w:cs="Arial"/>
                <w:b/>
                <w:bCs/>
                <w:kern w:val="0"/>
                <w:sz w:val="20"/>
                <w14:ligatures w14:val="none"/>
              </w:rPr>
              <w:t>planifikuara</w:t>
            </w:r>
          </w:p>
        </w:tc>
        <w:tc>
          <w:tcPr>
            <w:tcW w:w="1322" w:type="dxa"/>
            <w:tcBorders>
              <w:top w:val="single" w:sz="8" w:space="0" w:color="auto"/>
              <w:left w:val="nil"/>
              <w:bottom w:val="nil"/>
              <w:right w:val="single" w:sz="8" w:space="0" w:color="auto"/>
            </w:tcBorders>
            <w:shd w:val="clear" w:color="000000" w:fill="4472C4"/>
            <w:vAlign w:val="center"/>
            <w:hideMark/>
          </w:tcPr>
          <w:p w14:paraId="1A908A61" w14:textId="0F0DBE2F"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Hendeku </w:t>
            </w:r>
            <w:r w:rsidR="00204FE4" w:rsidRPr="002128A6">
              <w:rPr>
                <w:rFonts w:ascii="Garamond" w:eastAsia="Times New Roman" w:hAnsi="Garamond" w:cs="Arial"/>
                <w:b/>
                <w:bCs/>
                <w:kern w:val="0"/>
                <w:sz w:val="20"/>
                <w14:ligatures w14:val="none"/>
              </w:rPr>
              <w:t>financiar</w:t>
            </w:r>
          </w:p>
        </w:tc>
      </w:tr>
      <w:tr w:rsidR="00FC5887" w:rsidRPr="002128A6" w14:paraId="609E790A" w14:textId="77777777" w:rsidTr="00FC5887">
        <w:trPr>
          <w:trHeight w:val="20"/>
          <w:jc w:val="center"/>
        </w:trPr>
        <w:tc>
          <w:tcPr>
            <w:tcW w:w="1102" w:type="dxa"/>
            <w:vMerge/>
            <w:tcBorders>
              <w:top w:val="single" w:sz="8" w:space="0" w:color="auto"/>
              <w:left w:val="single" w:sz="8" w:space="0" w:color="auto"/>
              <w:bottom w:val="single" w:sz="8" w:space="0" w:color="4472C4"/>
              <w:right w:val="nil"/>
            </w:tcBorders>
            <w:vAlign w:val="center"/>
            <w:hideMark/>
          </w:tcPr>
          <w:p w14:paraId="08250F35"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714" w:type="dxa"/>
            <w:vMerge/>
            <w:tcBorders>
              <w:top w:val="single" w:sz="8" w:space="0" w:color="auto"/>
              <w:left w:val="nil"/>
              <w:bottom w:val="single" w:sz="8" w:space="0" w:color="4472C4"/>
              <w:right w:val="nil"/>
            </w:tcBorders>
            <w:vAlign w:val="center"/>
            <w:hideMark/>
          </w:tcPr>
          <w:p w14:paraId="10C507D9"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452" w:type="dxa"/>
            <w:tcBorders>
              <w:top w:val="nil"/>
              <w:left w:val="nil"/>
              <w:bottom w:val="nil"/>
              <w:right w:val="nil"/>
            </w:tcBorders>
            <w:shd w:val="clear" w:color="000000" w:fill="4472C4"/>
            <w:vAlign w:val="center"/>
            <w:hideMark/>
          </w:tcPr>
          <w:p w14:paraId="71CACE05" w14:textId="5296D36E"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2026</w:t>
            </w:r>
            <w:r w:rsidR="000E4A55">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2030</w:t>
            </w:r>
          </w:p>
        </w:tc>
        <w:tc>
          <w:tcPr>
            <w:tcW w:w="1396" w:type="dxa"/>
            <w:tcBorders>
              <w:top w:val="nil"/>
              <w:left w:val="nil"/>
              <w:bottom w:val="nil"/>
              <w:right w:val="nil"/>
            </w:tcBorders>
            <w:shd w:val="clear" w:color="000000" w:fill="4472C4"/>
            <w:vAlign w:val="center"/>
            <w:hideMark/>
          </w:tcPr>
          <w:p w14:paraId="0C4E8CE2" w14:textId="4A59854D"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PBA 2026</w:t>
            </w:r>
            <w:r w:rsidR="00204FE4">
              <w:rPr>
                <w:rFonts w:ascii="Garamond" w:eastAsia="Times New Roman" w:hAnsi="Garamond" w:cs="Arial"/>
                <w:b/>
                <w:bCs/>
                <w:kern w:val="0"/>
                <w:sz w:val="20"/>
                <w14:ligatures w14:val="none"/>
              </w:rPr>
              <w:t xml:space="preserve">– </w:t>
            </w:r>
            <w:r w:rsidRPr="002128A6">
              <w:rPr>
                <w:rFonts w:ascii="Garamond" w:eastAsia="Times New Roman" w:hAnsi="Garamond" w:cs="Arial"/>
                <w:b/>
                <w:bCs/>
                <w:kern w:val="0"/>
                <w:sz w:val="20"/>
                <w14:ligatures w14:val="none"/>
              </w:rPr>
              <w:t>2028</w:t>
            </w:r>
          </w:p>
        </w:tc>
        <w:tc>
          <w:tcPr>
            <w:tcW w:w="1397" w:type="dxa"/>
            <w:tcBorders>
              <w:top w:val="nil"/>
              <w:left w:val="nil"/>
              <w:bottom w:val="nil"/>
              <w:right w:val="nil"/>
            </w:tcBorders>
            <w:shd w:val="clear" w:color="000000" w:fill="4472C4"/>
            <w:vAlign w:val="center"/>
            <w:hideMark/>
          </w:tcPr>
          <w:p w14:paraId="3C7F5F57" w14:textId="4D232106"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PBA 2026</w:t>
            </w:r>
            <w:r w:rsidR="00204FE4">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2030</w:t>
            </w:r>
          </w:p>
        </w:tc>
        <w:tc>
          <w:tcPr>
            <w:tcW w:w="1397" w:type="dxa"/>
            <w:tcBorders>
              <w:top w:val="nil"/>
              <w:left w:val="nil"/>
              <w:bottom w:val="nil"/>
              <w:right w:val="nil"/>
            </w:tcBorders>
            <w:shd w:val="clear" w:color="000000" w:fill="4472C4"/>
            <w:vAlign w:val="center"/>
            <w:hideMark/>
          </w:tcPr>
          <w:p w14:paraId="7D797102" w14:textId="2FBE122E"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PBA 2026</w:t>
            </w:r>
            <w:r w:rsidR="00204FE4">
              <w:rPr>
                <w:rFonts w:ascii="Garamond" w:eastAsia="Times New Roman" w:hAnsi="Garamond" w:cs="Arial"/>
                <w:b/>
                <w:bCs/>
                <w:kern w:val="0"/>
                <w:sz w:val="20"/>
                <w14:ligatures w14:val="none"/>
              </w:rPr>
              <w:t xml:space="preserve">– </w:t>
            </w:r>
            <w:r w:rsidRPr="002128A6">
              <w:rPr>
                <w:rFonts w:ascii="Garamond" w:eastAsia="Times New Roman" w:hAnsi="Garamond" w:cs="Arial"/>
                <w:b/>
                <w:bCs/>
                <w:kern w:val="0"/>
                <w:sz w:val="20"/>
                <w14:ligatures w14:val="none"/>
              </w:rPr>
              <w:t>2030</w:t>
            </w:r>
          </w:p>
        </w:tc>
        <w:tc>
          <w:tcPr>
            <w:tcW w:w="1322" w:type="dxa"/>
            <w:tcBorders>
              <w:top w:val="nil"/>
              <w:left w:val="nil"/>
              <w:bottom w:val="nil"/>
              <w:right w:val="single" w:sz="8" w:space="0" w:color="auto"/>
            </w:tcBorders>
            <w:shd w:val="clear" w:color="000000" w:fill="4472C4"/>
            <w:vAlign w:val="center"/>
            <w:hideMark/>
          </w:tcPr>
          <w:p w14:paraId="36F142DA" w14:textId="7DB36E89"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2026</w:t>
            </w:r>
            <w:r w:rsidR="00204FE4">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2030</w:t>
            </w:r>
          </w:p>
        </w:tc>
      </w:tr>
      <w:tr w:rsidR="00FC5887" w:rsidRPr="002128A6" w14:paraId="6D8E4509" w14:textId="77777777" w:rsidTr="00FC5887">
        <w:trPr>
          <w:trHeight w:val="20"/>
          <w:jc w:val="center"/>
        </w:trPr>
        <w:tc>
          <w:tcPr>
            <w:tcW w:w="1102" w:type="dxa"/>
            <w:vMerge/>
            <w:tcBorders>
              <w:top w:val="single" w:sz="8" w:space="0" w:color="auto"/>
              <w:left w:val="single" w:sz="8" w:space="0" w:color="auto"/>
              <w:bottom w:val="single" w:sz="8" w:space="0" w:color="4472C4"/>
              <w:right w:val="nil"/>
            </w:tcBorders>
            <w:vAlign w:val="center"/>
            <w:hideMark/>
          </w:tcPr>
          <w:p w14:paraId="3A96584A"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714" w:type="dxa"/>
            <w:vMerge/>
            <w:tcBorders>
              <w:top w:val="single" w:sz="8" w:space="0" w:color="auto"/>
              <w:left w:val="nil"/>
              <w:bottom w:val="single" w:sz="8" w:space="0" w:color="4472C4"/>
              <w:right w:val="nil"/>
            </w:tcBorders>
            <w:vAlign w:val="center"/>
            <w:hideMark/>
          </w:tcPr>
          <w:p w14:paraId="34C5D8B0"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452" w:type="dxa"/>
            <w:tcBorders>
              <w:top w:val="nil"/>
              <w:left w:val="nil"/>
              <w:bottom w:val="single" w:sz="8" w:space="0" w:color="4472C4"/>
              <w:right w:val="nil"/>
            </w:tcBorders>
            <w:shd w:val="clear" w:color="000000" w:fill="4472C4"/>
            <w:vAlign w:val="center"/>
            <w:hideMark/>
          </w:tcPr>
          <w:p w14:paraId="2516AE8E" w14:textId="77777777" w:rsidR="00F862D3" w:rsidRPr="002128A6" w:rsidRDefault="00F862D3" w:rsidP="00F862D3">
            <w:pPr>
              <w:spacing w:after="0" w:line="240" w:lineRule="auto"/>
              <w:rPr>
                <w:rFonts w:ascii="Garamond" w:eastAsia="Times New Roman" w:hAnsi="Garamond" w:cs="Calibri"/>
                <w:kern w:val="0"/>
                <w:sz w:val="20"/>
                <w14:ligatures w14:val="none"/>
              </w:rPr>
            </w:pPr>
            <w:r w:rsidRPr="002128A6">
              <w:rPr>
                <w:rFonts w:ascii="Garamond" w:eastAsia="Times New Roman" w:hAnsi="Garamond" w:cs="Calibri"/>
                <w:kern w:val="0"/>
                <w:sz w:val="20"/>
                <w14:ligatures w14:val="none"/>
              </w:rPr>
              <w:t> </w:t>
            </w:r>
          </w:p>
        </w:tc>
        <w:tc>
          <w:tcPr>
            <w:tcW w:w="1396" w:type="dxa"/>
            <w:tcBorders>
              <w:top w:val="nil"/>
              <w:left w:val="nil"/>
              <w:bottom w:val="single" w:sz="8" w:space="0" w:color="4472C4"/>
              <w:right w:val="nil"/>
            </w:tcBorders>
            <w:shd w:val="clear" w:color="000000" w:fill="4472C4"/>
            <w:vAlign w:val="center"/>
            <w:hideMark/>
          </w:tcPr>
          <w:p w14:paraId="72335686" w14:textId="77777777"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Buxheti</w:t>
            </w:r>
          </w:p>
        </w:tc>
        <w:tc>
          <w:tcPr>
            <w:tcW w:w="1397" w:type="dxa"/>
            <w:tcBorders>
              <w:top w:val="nil"/>
              <w:left w:val="nil"/>
              <w:bottom w:val="single" w:sz="8" w:space="0" w:color="4472C4"/>
              <w:right w:val="nil"/>
            </w:tcBorders>
            <w:shd w:val="clear" w:color="000000" w:fill="4472C4"/>
            <w:vAlign w:val="center"/>
            <w:hideMark/>
          </w:tcPr>
          <w:p w14:paraId="368B43D3" w14:textId="77777777"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Buxheti</w:t>
            </w:r>
          </w:p>
        </w:tc>
        <w:tc>
          <w:tcPr>
            <w:tcW w:w="1397" w:type="dxa"/>
            <w:tcBorders>
              <w:top w:val="nil"/>
              <w:left w:val="nil"/>
              <w:bottom w:val="single" w:sz="8" w:space="0" w:color="4472C4"/>
              <w:right w:val="nil"/>
            </w:tcBorders>
            <w:shd w:val="clear" w:color="000000" w:fill="4472C4"/>
            <w:vAlign w:val="center"/>
            <w:hideMark/>
          </w:tcPr>
          <w:p w14:paraId="17B5B3EC" w14:textId="211ED81F"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 Donator</w:t>
            </w:r>
            <w:r w:rsidR="00195343">
              <w:rPr>
                <w:rFonts w:ascii="Garamond" w:eastAsia="Times New Roman" w:hAnsi="Garamond" w:cs="Arial"/>
                <w:b/>
                <w:bCs/>
                <w:kern w:val="0"/>
                <w:sz w:val="20"/>
                <w14:ligatures w14:val="none"/>
              </w:rPr>
              <w:t>ë</w:t>
            </w:r>
            <w:r w:rsidRPr="002128A6">
              <w:rPr>
                <w:rFonts w:ascii="Garamond" w:eastAsia="Times New Roman" w:hAnsi="Garamond" w:cs="Arial"/>
                <w:b/>
                <w:bCs/>
                <w:kern w:val="0"/>
                <w:sz w:val="20"/>
                <w14:ligatures w14:val="none"/>
              </w:rPr>
              <w:t>t</w:t>
            </w:r>
          </w:p>
        </w:tc>
        <w:tc>
          <w:tcPr>
            <w:tcW w:w="1322" w:type="dxa"/>
            <w:tcBorders>
              <w:top w:val="nil"/>
              <w:left w:val="nil"/>
              <w:bottom w:val="single" w:sz="8" w:space="0" w:color="4472C4"/>
              <w:right w:val="single" w:sz="8" w:space="0" w:color="auto"/>
            </w:tcBorders>
            <w:shd w:val="clear" w:color="000000" w:fill="4472C4"/>
            <w:vAlign w:val="center"/>
            <w:hideMark/>
          </w:tcPr>
          <w:p w14:paraId="30C4160A" w14:textId="77777777" w:rsidR="00F862D3" w:rsidRPr="002128A6" w:rsidRDefault="00F862D3" w:rsidP="00F862D3">
            <w:pPr>
              <w:spacing w:after="0" w:line="240" w:lineRule="auto"/>
              <w:rPr>
                <w:rFonts w:ascii="Garamond" w:eastAsia="Times New Roman" w:hAnsi="Garamond" w:cs="Calibri"/>
                <w:kern w:val="0"/>
                <w:sz w:val="20"/>
                <w14:ligatures w14:val="none"/>
              </w:rPr>
            </w:pPr>
            <w:r w:rsidRPr="002128A6">
              <w:rPr>
                <w:rFonts w:ascii="Garamond" w:eastAsia="Times New Roman" w:hAnsi="Garamond" w:cs="Calibri"/>
                <w:kern w:val="0"/>
                <w:sz w:val="20"/>
                <w14:ligatures w14:val="none"/>
              </w:rPr>
              <w:t> </w:t>
            </w:r>
          </w:p>
        </w:tc>
      </w:tr>
      <w:tr w:rsidR="00FC5887" w:rsidRPr="002128A6" w14:paraId="152CED21" w14:textId="77777777" w:rsidTr="00FC5887">
        <w:trPr>
          <w:trHeight w:val="20"/>
          <w:jc w:val="center"/>
        </w:trPr>
        <w:tc>
          <w:tcPr>
            <w:tcW w:w="1102"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05FB6E72" w14:textId="4A7EEB8F"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Qëllimi i </w:t>
            </w:r>
            <w:r w:rsidR="00FC5887" w:rsidRPr="002128A6">
              <w:rPr>
                <w:rFonts w:ascii="Garamond" w:eastAsia="Times New Roman" w:hAnsi="Garamond" w:cs="Arial"/>
                <w:b/>
                <w:bCs/>
                <w:kern w:val="0"/>
                <w:sz w:val="20"/>
                <w14:ligatures w14:val="none"/>
              </w:rPr>
              <w:t xml:space="preserve">politikës </w:t>
            </w:r>
            <w:r w:rsidRPr="002128A6">
              <w:rPr>
                <w:rFonts w:ascii="Garamond" w:eastAsia="Times New Roman" w:hAnsi="Garamond" w:cs="Arial"/>
                <w:b/>
                <w:bCs/>
                <w:kern w:val="0"/>
                <w:sz w:val="20"/>
                <w14:ligatures w14:val="none"/>
              </w:rPr>
              <w:t>I</w:t>
            </w:r>
          </w:p>
        </w:tc>
        <w:tc>
          <w:tcPr>
            <w:tcW w:w="1714" w:type="dxa"/>
            <w:tcBorders>
              <w:top w:val="nil"/>
              <w:left w:val="nil"/>
              <w:bottom w:val="single" w:sz="8" w:space="0" w:color="8EAADB"/>
              <w:right w:val="single" w:sz="8" w:space="0" w:color="8EAADB"/>
            </w:tcBorders>
            <w:shd w:val="clear" w:color="000000" w:fill="D9E2F3"/>
            <w:vAlign w:val="center"/>
            <w:hideMark/>
          </w:tcPr>
          <w:p w14:paraId="19C8CEC7" w14:textId="483C1989" w:rsidR="00F862D3" w:rsidRPr="002128A6" w:rsidRDefault="00B76863" w:rsidP="00F862D3">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Korrente</w:t>
            </w:r>
          </w:p>
        </w:tc>
        <w:tc>
          <w:tcPr>
            <w:tcW w:w="1452" w:type="dxa"/>
            <w:tcBorders>
              <w:top w:val="nil"/>
              <w:left w:val="nil"/>
              <w:bottom w:val="single" w:sz="8" w:space="0" w:color="8EAADB"/>
              <w:right w:val="single" w:sz="8" w:space="0" w:color="8EAADB"/>
            </w:tcBorders>
            <w:shd w:val="clear" w:color="000000" w:fill="D9E2F3"/>
            <w:vAlign w:val="center"/>
            <w:hideMark/>
          </w:tcPr>
          <w:p w14:paraId="47B16715"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12,866,771,779</w:t>
            </w:r>
          </w:p>
        </w:tc>
        <w:tc>
          <w:tcPr>
            <w:tcW w:w="1396" w:type="dxa"/>
            <w:tcBorders>
              <w:top w:val="nil"/>
              <w:left w:val="nil"/>
              <w:bottom w:val="single" w:sz="8" w:space="0" w:color="8EAADB"/>
              <w:right w:val="single" w:sz="8" w:space="0" w:color="8EAADB"/>
            </w:tcBorders>
            <w:shd w:val="clear" w:color="000000" w:fill="D9E2F3"/>
            <w:vAlign w:val="center"/>
            <w:hideMark/>
          </w:tcPr>
          <w:p w14:paraId="7BCC72B5"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12,149,928,017</w:t>
            </w:r>
          </w:p>
        </w:tc>
        <w:tc>
          <w:tcPr>
            <w:tcW w:w="1397" w:type="dxa"/>
            <w:tcBorders>
              <w:top w:val="nil"/>
              <w:left w:val="nil"/>
              <w:bottom w:val="single" w:sz="8" w:space="0" w:color="8EAADB"/>
              <w:right w:val="single" w:sz="8" w:space="0" w:color="8EAADB"/>
            </w:tcBorders>
            <w:shd w:val="clear" w:color="000000" w:fill="D9E2F3"/>
            <w:vAlign w:val="center"/>
            <w:hideMark/>
          </w:tcPr>
          <w:p w14:paraId="6D59810A"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716,843,762</w:t>
            </w:r>
          </w:p>
        </w:tc>
        <w:tc>
          <w:tcPr>
            <w:tcW w:w="1397" w:type="dxa"/>
            <w:tcBorders>
              <w:top w:val="nil"/>
              <w:left w:val="nil"/>
              <w:bottom w:val="single" w:sz="8" w:space="0" w:color="8EAADB"/>
              <w:right w:val="single" w:sz="8" w:space="0" w:color="8EAADB"/>
            </w:tcBorders>
            <w:shd w:val="clear" w:color="000000" w:fill="D9E2F3"/>
            <w:vAlign w:val="center"/>
            <w:hideMark/>
          </w:tcPr>
          <w:p w14:paraId="1DB83D11"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22" w:type="dxa"/>
            <w:vMerge w:val="restart"/>
            <w:tcBorders>
              <w:top w:val="nil"/>
              <w:left w:val="single" w:sz="8" w:space="0" w:color="8EAADB"/>
              <w:bottom w:val="single" w:sz="8" w:space="0" w:color="8EAADB"/>
              <w:right w:val="single" w:sz="8" w:space="0" w:color="auto"/>
            </w:tcBorders>
            <w:shd w:val="clear" w:color="000000" w:fill="D9E2F3"/>
            <w:vAlign w:val="center"/>
            <w:hideMark/>
          </w:tcPr>
          <w:p w14:paraId="400B8653" w14:textId="77777777" w:rsidR="00F862D3" w:rsidRPr="002128A6" w:rsidRDefault="00F862D3" w:rsidP="00204FE4">
            <w:pPr>
              <w:spacing w:after="0" w:line="240" w:lineRule="auto"/>
              <w:jc w:val="right"/>
              <w:rPr>
                <w:rFonts w:ascii="Garamond" w:eastAsia="Times New Roman" w:hAnsi="Garamond" w:cs="Arial"/>
                <w:b/>
                <w:bCs/>
                <w:i/>
                <w:iCs/>
                <w:kern w:val="0"/>
                <w:sz w:val="20"/>
                <w14:ligatures w14:val="none"/>
              </w:rPr>
            </w:pPr>
            <w:r w:rsidRPr="002128A6">
              <w:rPr>
                <w:rFonts w:ascii="Garamond" w:eastAsia="Times New Roman" w:hAnsi="Garamond" w:cs="Arial"/>
                <w:b/>
                <w:bCs/>
                <w:i/>
                <w:iCs/>
                <w:kern w:val="0"/>
                <w:sz w:val="20"/>
                <w14:ligatures w14:val="none"/>
              </w:rPr>
              <w:t>0</w:t>
            </w:r>
          </w:p>
        </w:tc>
      </w:tr>
      <w:tr w:rsidR="00FC5887" w:rsidRPr="002128A6" w14:paraId="5D40E27B" w14:textId="77777777" w:rsidTr="00FC5887">
        <w:trPr>
          <w:trHeight w:val="20"/>
          <w:jc w:val="center"/>
        </w:trPr>
        <w:tc>
          <w:tcPr>
            <w:tcW w:w="1102" w:type="dxa"/>
            <w:vMerge/>
            <w:tcBorders>
              <w:top w:val="nil"/>
              <w:left w:val="single" w:sz="8" w:space="0" w:color="auto"/>
              <w:bottom w:val="single" w:sz="8" w:space="0" w:color="8EAADB"/>
              <w:right w:val="single" w:sz="8" w:space="0" w:color="8EAADB"/>
            </w:tcBorders>
            <w:vAlign w:val="center"/>
            <w:hideMark/>
          </w:tcPr>
          <w:p w14:paraId="7791CFB2"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714" w:type="dxa"/>
            <w:tcBorders>
              <w:top w:val="nil"/>
              <w:left w:val="nil"/>
              <w:bottom w:val="single" w:sz="8" w:space="0" w:color="8EAADB"/>
              <w:right w:val="single" w:sz="8" w:space="0" w:color="8EAADB"/>
            </w:tcBorders>
            <w:shd w:val="clear" w:color="auto" w:fill="auto"/>
            <w:vAlign w:val="center"/>
            <w:hideMark/>
          </w:tcPr>
          <w:p w14:paraId="2FD9CF29" w14:textId="77777777" w:rsidR="00F862D3" w:rsidRPr="002128A6" w:rsidRDefault="00F862D3" w:rsidP="00F862D3">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Kapitale</w:t>
            </w:r>
          </w:p>
        </w:tc>
        <w:tc>
          <w:tcPr>
            <w:tcW w:w="1452" w:type="dxa"/>
            <w:tcBorders>
              <w:top w:val="nil"/>
              <w:left w:val="nil"/>
              <w:bottom w:val="single" w:sz="8" w:space="0" w:color="8EAADB"/>
              <w:right w:val="single" w:sz="8" w:space="0" w:color="8EAADB"/>
            </w:tcBorders>
            <w:shd w:val="clear" w:color="auto" w:fill="auto"/>
            <w:vAlign w:val="center"/>
            <w:hideMark/>
          </w:tcPr>
          <w:p w14:paraId="51ED1629"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1,844,487,408</w:t>
            </w:r>
          </w:p>
        </w:tc>
        <w:tc>
          <w:tcPr>
            <w:tcW w:w="1396" w:type="dxa"/>
            <w:tcBorders>
              <w:top w:val="nil"/>
              <w:left w:val="nil"/>
              <w:bottom w:val="single" w:sz="8" w:space="0" w:color="8EAADB"/>
              <w:right w:val="single" w:sz="8" w:space="0" w:color="8EAADB"/>
            </w:tcBorders>
            <w:shd w:val="clear" w:color="auto" w:fill="auto"/>
            <w:vAlign w:val="center"/>
            <w:hideMark/>
          </w:tcPr>
          <w:p w14:paraId="0F77FA90"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1,108,967,000</w:t>
            </w:r>
          </w:p>
        </w:tc>
        <w:tc>
          <w:tcPr>
            <w:tcW w:w="1397" w:type="dxa"/>
            <w:tcBorders>
              <w:top w:val="nil"/>
              <w:left w:val="nil"/>
              <w:bottom w:val="single" w:sz="8" w:space="0" w:color="8EAADB"/>
              <w:right w:val="single" w:sz="8" w:space="0" w:color="8EAADB"/>
            </w:tcBorders>
            <w:shd w:val="clear" w:color="auto" w:fill="auto"/>
            <w:vAlign w:val="center"/>
            <w:hideMark/>
          </w:tcPr>
          <w:p w14:paraId="08D42DB9"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97" w:type="dxa"/>
            <w:tcBorders>
              <w:top w:val="nil"/>
              <w:left w:val="nil"/>
              <w:bottom w:val="single" w:sz="8" w:space="0" w:color="8EAADB"/>
              <w:right w:val="single" w:sz="8" w:space="0" w:color="8EAADB"/>
            </w:tcBorders>
            <w:shd w:val="clear" w:color="auto" w:fill="auto"/>
            <w:vAlign w:val="center"/>
            <w:hideMark/>
          </w:tcPr>
          <w:p w14:paraId="4EEAC9A7"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735,520,408</w:t>
            </w:r>
          </w:p>
        </w:tc>
        <w:tc>
          <w:tcPr>
            <w:tcW w:w="1322" w:type="dxa"/>
            <w:vMerge/>
            <w:tcBorders>
              <w:top w:val="nil"/>
              <w:left w:val="single" w:sz="8" w:space="0" w:color="8EAADB"/>
              <w:bottom w:val="single" w:sz="8" w:space="0" w:color="8EAADB"/>
              <w:right w:val="single" w:sz="8" w:space="0" w:color="auto"/>
            </w:tcBorders>
            <w:vAlign w:val="center"/>
            <w:hideMark/>
          </w:tcPr>
          <w:p w14:paraId="2046F565" w14:textId="77777777" w:rsidR="00F862D3" w:rsidRPr="002128A6" w:rsidRDefault="00F862D3" w:rsidP="00204FE4">
            <w:pPr>
              <w:spacing w:after="0" w:line="240" w:lineRule="auto"/>
              <w:jc w:val="right"/>
              <w:rPr>
                <w:rFonts w:ascii="Garamond" w:eastAsia="Times New Roman" w:hAnsi="Garamond" w:cs="Arial"/>
                <w:b/>
                <w:bCs/>
                <w:i/>
                <w:iCs/>
                <w:kern w:val="0"/>
                <w:sz w:val="20"/>
                <w14:ligatures w14:val="none"/>
              </w:rPr>
            </w:pPr>
          </w:p>
        </w:tc>
      </w:tr>
      <w:tr w:rsidR="00FC5887" w:rsidRPr="002128A6" w14:paraId="2B1CE9F1" w14:textId="77777777" w:rsidTr="00FC5887">
        <w:trPr>
          <w:trHeight w:val="20"/>
          <w:jc w:val="center"/>
        </w:trPr>
        <w:tc>
          <w:tcPr>
            <w:tcW w:w="1102"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1D3D6AC4" w14:textId="5E367248"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Qëllimi i </w:t>
            </w:r>
            <w:r w:rsidR="00FC5887" w:rsidRPr="002128A6">
              <w:rPr>
                <w:rFonts w:ascii="Garamond" w:eastAsia="Times New Roman" w:hAnsi="Garamond" w:cs="Arial"/>
                <w:b/>
                <w:bCs/>
                <w:kern w:val="0"/>
                <w:sz w:val="20"/>
                <w14:ligatures w14:val="none"/>
              </w:rPr>
              <w:t xml:space="preserve">politikës </w:t>
            </w:r>
            <w:r w:rsidRPr="002128A6">
              <w:rPr>
                <w:rFonts w:ascii="Garamond" w:eastAsia="Times New Roman" w:hAnsi="Garamond" w:cs="Arial"/>
                <w:b/>
                <w:bCs/>
                <w:kern w:val="0"/>
                <w:sz w:val="20"/>
                <w14:ligatures w14:val="none"/>
              </w:rPr>
              <w:t>II</w:t>
            </w:r>
          </w:p>
        </w:tc>
        <w:tc>
          <w:tcPr>
            <w:tcW w:w="1714" w:type="dxa"/>
            <w:tcBorders>
              <w:top w:val="nil"/>
              <w:left w:val="nil"/>
              <w:bottom w:val="single" w:sz="8" w:space="0" w:color="8EAADB"/>
              <w:right w:val="single" w:sz="8" w:space="0" w:color="8EAADB"/>
            </w:tcBorders>
            <w:shd w:val="clear" w:color="000000" w:fill="D9E2F3"/>
            <w:vAlign w:val="center"/>
            <w:hideMark/>
          </w:tcPr>
          <w:p w14:paraId="5835B220" w14:textId="29B634AB" w:rsidR="00F862D3" w:rsidRPr="002128A6" w:rsidRDefault="00B76863" w:rsidP="00F862D3">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Korrente</w:t>
            </w:r>
          </w:p>
        </w:tc>
        <w:tc>
          <w:tcPr>
            <w:tcW w:w="1452" w:type="dxa"/>
            <w:tcBorders>
              <w:top w:val="nil"/>
              <w:left w:val="nil"/>
              <w:bottom w:val="single" w:sz="8" w:space="0" w:color="8EAADB"/>
              <w:right w:val="single" w:sz="8" w:space="0" w:color="8EAADB"/>
            </w:tcBorders>
            <w:shd w:val="clear" w:color="000000" w:fill="D9E2F3"/>
            <w:vAlign w:val="center"/>
            <w:hideMark/>
          </w:tcPr>
          <w:p w14:paraId="1EFF560F"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11,744,518,345</w:t>
            </w:r>
          </w:p>
        </w:tc>
        <w:tc>
          <w:tcPr>
            <w:tcW w:w="1396" w:type="dxa"/>
            <w:tcBorders>
              <w:top w:val="nil"/>
              <w:left w:val="nil"/>
              <w:bottom w:val="single" w:sz="8" w:space="0" w:color="8EAADB"/>
              <w:right w:val="single" w:sz="8" w:space="0" w:color="8EAADB"/>
            </w:tcBorders>
            <w:shd w:val="clear" w:color="000000" w:fill="D9E2F3"/>
            <w:vAlign w:val="center"/>
            <w:hideMark/>
          </w:tcPr>
          <w:p w14:paraId="44954E86"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7,348,567,277</w:t>
            </w:r>
          </w:p>
        </w:tc>
        <w:tc>
          <w:tcPr>
            <w:tcW w:w="1397" w:type="dxa"/>
            <w:tcBorders>
              <w:top w:val="nil"/>
              <w:left w:val="nil"/>
              <w:bottom w:val="single" w:sz="8" w:space="0" w:color="8EAADB"/>
              <w:right w:val="single" w:sz="8" w:space="0" w:color="8EAADB"/>
            </w:tcBorders>
            <w:shd w:val="clear" w:color="000000" w:fill="D9E2F3"/>
            <w:vAlign w:val="center"/>
            <w:hideMark/>
          </w:tcPr>
          <w:p w14:paraId="2EF232B0"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4,395,951,068</w:t>
            </w:r>
          </w:p>
        </w:tc>
        <w:tc>
          <w:tcPr>
            <w:tcW w:w="1397" w:type="dxa"/>
            <w:tcBorders>
              <w:top w:val="nil"/>
              <w:left w:val="nil"/>
              <w:bottom w:val="single" w:sz="8" w:space="0" w:color="8EAADB"/>
              <w:right w:val="single" w:sz="8" w:space="0" w:color="8EAADB"/>
            </w:tcBorders>
            <w:shd w:val="clear" w:color="000000" w:fill="D9E2F3"/>
            <w:vAlign w:val="center"/>
            <w:hideMark/>
          </w:tcPr>
          <w:p w14:paraId="1C8F52C5"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22" w:type="dxa"/>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41671852"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2,992,554,000</w:t>
            </w:r>
          </w:p>
        </w:tc>
      </w:tr>
      <w:tr w:rsidR="00FC5887" w:rsidRPr="002128A6" w14:paraId="6BC93010" w14:textId="77777777" w:rsidTr="00FC5887">
        <w:trPr>
          <w:trHeight w:val="20"/>
          <w:jc w:val="center"/>
        </w:trPr>
        <w:tc>
          <w:tcPr>
            <w:tcW w:w="1102" w:type="dxa"/>
            <w:vMerge/>
            <w:tcBorders>
              <w:top w:val="nil"/>
              <w:left w:val="single" w:sz="8" w:space="0" w:color="auto"/>
              <w:bottom w:val="single" w:sz="8" w:space="0" w:color="8EAADB"/>
              <w:right w:val="single" w:sz="8" w:space="0" w:color="8EAADB"/>
            </w:tcBorders>
            <w:vAlign w:val="center"/>
            <w:hideMark/>
          </w:tcPr>
          <w:p w14:paraId="0F478876"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714" w:type="dxa"/>
            <w:tcBorders>
              <w:top w:val="nil"/>
              <w:left w:val="nil"/>
              <w:bottom w:val="single" w:sz="8" w:space="0" w:color="8EAADB"/>
              <w:right w:val="single" w:sz="8" w:space="0" w:color="8EAADB"/>
            </w:tcBorders>
            <w:shd w:val="clear" w:color="auto" w:fill="auto"/>
            <w:vAlign w:val="center"/>
            <w:hideMark/>
          </w:tcPr>
          <w:p w14:paraId="464ADC67" w14:textId="77777777" w:rsidR="00F862D3" w:rsidRPr="002128A6" w:rsidRDefault="00F862D3" w:rsidP="00F862D3">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Kapitale</w:t>
            </w:r>
          </w:p>
        </w:tc>
        <w:tc>
          <w:tcPr>
            <w:tcW w:w="1452" w:type="dxa"/>
            <w:tcBorders>
              <w:top w:val="nil"/>
              <w:left w:val="nil"/>
              <w:bottom w:val="single" w:sz="8" w:space="0" w:color="8EAADB"/>
              <w:right w:val="single" w:sz="8" w:space="0" w:color="8EAADB"/>
            </w:tcBorders>
            <w:shd w:val="clear" w:color="auto" w:fill="auto"/>
            <w:vAlign w:val="center"/>
            <w:hideMark/>
          </w:tcPr>
          <w:p w14:paraId="40F62479"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10,025,199,998</w:t>
            </w:r>
          </w:p>
        </w:tc>
        <w:tc>
          <w:tcPr>
            <w:tcW w:w="1396" w:type="dxa"/>
            <w:tcBorders>
              <w:top w:val="nil"/>
              <w:left w:val="nil"/>
              <w:bottom w:val="single" w:sz="8" w:space="0" w:color="8EAADB"/>
              <w:right w:val="single" w:sz="8" w:space="0" w:color="8EAADB"/>
            </w:tcBorders>
            <w:shd w:val="clear" w:color="auto" w:fill="auto"/>
            <w:vAlign w:val="center"/>
            <w:hideMark/>
          </w:tcPr>
          <w:p w14:paraId="3DE2139E"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1,092,660,998</w:t>
            </w:r>
          </w:p>
        </w:tc>
        <w:tc>
          <w:tcPr>
            <w:tcW w:w="1397" w:type="dxa"/>
            <w:tcBorders>
              <w:top w:val="nil"/>
              <w:left w:val="nil"/>
              <w:bottom w:val="single" w:sz="8" w:space="0" w:color="8EAADB"/>
              <w:right w:val="single" w:sz="8" w:space="0" w:color="8EAADB"/>
            </w:tcBorders>
            <w:shd w:val="clear" w:color="auto" w:fill="auto"/>
            <w:vAlign w:val="center"/>
            <w:hideMark/>
          </w:tcPr>
          <w:p w14:paraId="25177030"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2,701,050,000</w:t>
            </w:r>
          </w:p>
        </w:tc>
        <w:tc>
          <w:tcPr>
            <w:tcW w:w="1397" w:type="dxa"/>
            <w:tcBorders>
              <w:top w:val="nil"/>
              <w:left w:val="nil"/>
              <w:bottom w:val="single" w:sz="8" w:space="0" w:color="8EAADB"/>
              <w:right w:val="single" w:sz="8" w:space="0" w:color="8EAADB"/>
            </w:tcBorders>
            <w:shd w:val="clear" w:color="auto" w:fill="auto"/>
            <w:vAlign w:val="center"/>
            <w:hideMark/>
          </w:tcPr>
          <w:p w14:paraId="0F37A879"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3,238,935,000</w:t>
            </w:r>
          </w:p>
        </w:tc>
        <w:tc>
          <w:tcPr>
            <w:tcW w:w="1322" w:type="dxa"/>
            <w:vMerge/>
            <w:tcBorders>
              <w:top w:val="single" w:sz="8" w:space="0" w:color="4472C4"/>
              <w:left w:val="single" w:sz="8" w:space="0" w:color="8EAADB"/>
              <w:bottom w:val="single" w:sz="8" w:space="0" w:color="8EAADB"/>
              <w:right w:val="single" w:sz="8" w:space="0" w:color="auto"/>
            </w:tcBorders>
            <w:vAlign w:val="center"/>
            <w:hideMark/>
          </w:tcPr>
          <w:p w14:paraId="6546E4EC"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p>
        </w:tc>
      </w:tr>
      <w:tr w:rsidR="00FC5887" w:rsidRPr="002128A6" w14:paraId="0027FB93" w14:textId="77777777" w:rsidTr="00FC5887">
        <w:trPr>
          <w:trHeight w:val="20"/>
          <w:jc w:val="center"/>
        </w:trPr>
        <w:tc>
          <w:tcPr>
            <w:tcW w:w="1102" w:type="dxa"/>
            <w:vMerge w:val="restart"/>
            <w:tcBorders>
              <w:top w:val="nil"/>
              <w:left w:val="single" w:sz="8" w:space="0" w:color="auto"/>
              <w:bottom w:val="single" w:sz="8" w:space="0" w:color="8EAADB"/>
              <w:right w:val="single" w:sz="8" w:space="0" w:color="8EAADB"/>
            </w:tcBorders>
            <w:shd w:val="clear" w:color="000000" w:fill="D9E2F3"/>
            <w:vAlign w:val="center"/>
            <w:hideMark/>
          </w:tcPr>
          <w:p w14:paraId="2045B918" w14:textId="7622F0A8"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Qëllimi i </w:t>
            </w:r>
            <w:r w:rsidR="00FC5887" w:rsidRPr="002128A6">
              <w:rPr>
                <w:rFonts w:ascii="Garamond" w:eastAsia="Times New Roman" w:hAnsi="Garamond" w:cs="Arial"/>
                <w:b/>
                <w:bCs/>
                <w:kern w:val="0"/>
                <w:sz w:val="20"/>
                <w14:ligatures w14:val="none"/>
              </w:rPr>
              <w:t xml:space="preserve">politikës </w:t>
            </w:r>
            <w:r w:rsidRPr="002128A6">
              <w:rPr>
                <w:rFonts w:ascii="Garamond" w:eastAsia="Times New Roman" w:hAnsi="Garamond" w:cs="Arial"/>
                <w:b/>
                <w:bCs/>
                <w:kern w:val="0"/>
                <w:sz w:val="20"/>
                <w14:ligatures w14:val="none"/>
              </w:rPr>
              <w:t>III</w:t>
            </w:r>
          </w:p>
        </w:tc>
        <w:tc>
          <w:tcPr>
            <w:tcW w:w="1714" w:type="dxa"/>
            <w:tcBorders>
              <w:top w:val="nil"/>
              <w:left w:val="nil"/>
              <w:bottom w:val="single" w:sz="8" w:space="0" w:color="8EAADB"/>
              <w:right w:val="single" w:sz="8" w:space="0" w:color="8EAADB"/>
            </w:tcBorders>
            <w:shd w:val="clear" w:color="000000" w:fill="D9E2F3"/>
            <w:vAlign w:val="center"/>
            <w:hideMark/>
          </w:tcPr>
          <w:p w14:paraId="2DDA9B1F" w14:textId="3E94780A" w:rsidR="00F862D3" w:rsidRPr="002128A6" w:rsidRDefault="00B76863" w:rsidP="00F862D3">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Korrente</w:t>
            </w:r>
          </w:p>
        </w:tc>
        <w:tc>
          <w:tcPr>
            <w:tcW w:w="1452" w:type="dxa"/>
            <w:tcBorders>
              <w:top w:val="nil"/>
              <w:left w:val="nil"/>
              <w:bottom w:val="single" w:sz="8" w:space="0" w:color="8EAADB"/>
              <w:right w:val="single" w:sz="8" w:space="0" w:color="8EAADB"/>
            </w:tcBorders>
            <w:shd w:val="clear" w:color="000000" w:fill="D9E2F3"/>
            <w:vAlign w:val="center"/>
            <w:hideMark/>
          </w:tcPr>
          <w:p w14:paraId="367DC017"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1,049,844,292</w:t>
            </w:r>
          </w:p>
        </w:tc>
        <w:tc>
          <w:tcPr>
            <w:tcW w:w="1396" w:type="dxa"/>
            <w:tcBorders>
              <w:top w:val="nil"/>
              <w:left w:val="nil"/>
              <w:bottom w:val="single" w:sz="8" w:space="0" w:color="8EAADB"/>
              <w:right w:val="single" w:sz="8" w:space="0" w:color="8EAADB"/>
            </w:tcBorders>
            <w:shd w:val="clear" w:color="000000" w:fill="D9E2F3"/>
            <w:vAlign w:val="center"/>
            <w:hideMark/>
          </w:tcPr>
          <w:p w14:paraId="113F054E"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939,293,124</w:t>
            </w:r>
          </w:p>
        </w:tc>
        <w:tc>
          <w:tcPr>
            <w:tcW w:w="1397" w:type="dxa"/>
            <w:tcBorders>
              <w:top w:val="nil"/>
              <w:left w:val="nil"/>
              <w:bottom w:val="single" w:sz="8" w:space="0" w:color="8EAADB"/>
              <w:right w:val="single" w:sz="8" w:space="0" w:color="8EAADB"/>
            </w:tcBorders>
            <w:shd w:val="clear" w:color="000000" w:fill="D9E2F3"/>
            <w:vAlign w:val="center"/>
            <w:hideMark/>
          </w:tcPr>
          <w:p w14:paraId="39BB37BC"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110,551,168</w:t>
            </w:r>
          </w:p>
        </w:tc>
        <w:tc>
          <w:tcPr>
            <w:tcW w:w="1397" w:type="dxa"/>
            <w:tcBorders>
              <w:top w:val="nil"/>
              <w:left w:val="nil"/>
              <w:bottom w:val="single" w:sz="8" w:space="0" w:color="8EAADB"/>
              <w:right w:val="single" w:sz="8" w:space="0" w:color="8EAADB"/>
            </w:tcBorders>
            <w:shd w:val="clear" w:color="000000" w:fill="D9E2F3"/>
            <w:vAlign w:val="center"/>
            <w:hideMark/>
          </w:tcPr>
          <w:p w14:paraId="5E55FC30"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22" w:type="dxa"/>
            <w:vMerge w:val="restart"/>
            <w:tcBorders>
              <w:top w:val="single" w:sz="8" w:space="0" w:color="4472C4"/>
              <w:left w:val="single" w:sz="8" w:space="0" w:color="8EAADB"/>
              <w:bottom w:val="single" w:sz="8" w:space="0" w:color="8EAADB"/>
              <w:right w:val="single" w:sz="8" w:space="0" w:color="auto"/>
            </w:tcBorders>
            <w:shd w:val="clear" w:color="000000" w:fill="D9E2F3"/>
            <w:vAlign w:val="center"/>
            <w:hideMark/>
          </w:tcPr>
          <w:p w14:paraId="23B8B5ED" w14:textId="77777777" w:rsidR="00F862D3" w:rsidRPr="002128A6" w:rsidRDefault="00F862D3" w:rsidP="00204FE4">
            <w:pPr>
              <w:spacing w:after="0" w:line="240" w:lineRule="auto"/>
              <w:jc w:val="right"/>
              <w:rPr>
                <w:rFonts w:ascii="Garamond" w:eastAsia="Times New Roman" w:hAnsi="Garamond" w:cs="Arial"/>
                <w:b/>
                <w:bCs/>
                <w:i/>
                <w:iCs/>
                <w:kern w:val="0"/>
                <w:sz w:val="20"/>
                <w14:ligatures w14:val="none"/>
              </w:rPr>
            </w:pPr>
            <w:r w:rsidRPr="002128A6">
              <w:rPr>
                <w:rFonts w:ascii="Garamond" w:eastAsia="Times New Roman" w:hAnsi="Garamond" w:cs="Arial"/>
                <w:b/>
                <w:bCs/>
                <w:i/>
                <w:iCs/>
                <w:kern w:val="0"/>
                <w:sz w:val="20"/>
                <w14:ligatures w14:val="none"/>
              </w:rPr>
              <w:t>0</w:t>
            </w:r>
          </w:p>
        </w:tc>
      </w:tr>
      <w:tr w:rsidR="00FC5887" w:rsidRPr="002128A6" w14:paraId="62F4BA25" w14:textId="77777777" w:rsidTr="00FC5887">
        <w:trPr>
          <w:trHeight w:val="20"/>
          <w:jc w:val="center"/>
        </w:trPr>
        <w:tc>
          <w:tcPr>
            <w:tcW w:w="1102" w:type="dxa"/>
            <w:vMerge/>
            <w:tcBorders>
              <w:top w:val="nil"/>
              <w:left w:val="single" w:sz="8" w:space="0" w:color="auto"/>
              <w:bottom w:val="single" w:sz="8" w:space="0" w:color="8EAADB"/>
              <w:right w:val="single" w:sz="8" w:space="0" w:color="8EAADB"/>
            </w:tcBorders>
            <w:vAlign w:val="center"/>
            <w:hideMark/>
          </w:tcPr>
          <w:p w14:paraId="18EAEBE7"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714" w:type="dxa"/>
            <w:tcBorders>
              <w:top w:val="nil"/>
              <w:left w:val="nil"/>
              <w:bottom w:val="single" w:sz="8" w:space="0" w:color="8EAADB"/>
              <w:right w:val="single" w:sz="8" w:space="0" w:color="8EAADB"/>
            </w:tcBorders>
            <w:shd w:val="clear" w:color="auto" w:fill="auto"/>
            <w:vAlign w:val="center"/>
            <w:hideMark/>
          </w:tcPr>
          <w:p w14:paraId="0768CAEC" w14:textId="77777777" w:rsidR="00F862D3" w:rsidRPr="002128A6" w:rsidRDefault="00F862D3" w:rsidP="00F862D3">
            <w:pPr>
              <w:spacing w:after="0" w:line="240" w:lineRule="auto"/>
              <w:jc w:val="center"/>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Kapitale</w:t>
            </w:r>
          </w:p>
        </w:tc>
        <w:tc>
          <w:tcPr>
            <w:tcW w:w="1452" w:type="dxa"/>
            <w:tcBorders>
              <w:top w:val="nil"/>
              <w:left w:val="nil"/>
              <w:bottom w:val="single" w:sz="8" w:space="0" w:color="8EAADB"/>
              <w:right w:val="single" w:sz="8" w:space="0" w:color="8EAADB"/>
            </w:tcBorders>
            <w:shd w:val="clear" w:color="auto" w:fill="auto"/>
            <w:vAlign w:val="center"/>
            <w:hideMark/>
          </w:tcPr>
          <w:p w14:paraId="5A3D84F3"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96" w:type="dxa"/>
            <w:tcBorders>
              <w:top w:val="nil"/>
              <w:left w:val="nil"/>
              <w:bottom w:val="single" w:sz="8" w:space="0" w:color="8EAADB"/>
              <w:right w:val="single" w:sz="8" w:space="0" w:color="8EAADB"/>
            </w:tcBorders>
            <w:shd w:val="clear" w:color="auto" w:fill="auto"/>
            <w:vAlign w:val="center"/>
            <w:hideMark/>
          </w:tcPr>
          <w:p w14:paraId="052239AD"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97" w:type="dxa"/>
            <w:tcBorders>
              <w:top w:val="nil"/>
              <w:left w:val="nil"/>
              <w:bottom w:val="single" w:sz="8" w:space="0" w:color="8EAADB"/>
              <w:right w:val="single" w:sz="8" w:space="0" w:color="8EAADB"/>
            </w:tcBorders>
            <w:shd w:val="clear" w:color="auto" w:fill="auto"/>
            <w:vAlign w:val="center"/>
            <w:hideMark/>
          </w:tcPr>
          <w:p w14:paraId="0D0B4DE9"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97" w:type="dxa"/>
            <w:tcBorders>
              <w:top w:val="nil"/>
              <w:left w:val="nil"/>
              <w:bottom w:val="single" w:sz="8" w:space="0" w:color="8EAADB"/>
              <w:right w:val="single" w:sz="8" w:space="0" w:color="8EAADB"/>
            </w:tcBorders>
            <w:shd w:val="clear" w:color="auto" w:fill="auto"/>
            <w:vAlign w:val="center"/>
            <w:hideMark/>
          </w:tcPr>
          <w:p w14:paraId="05B88FA2" w14:textId="77777777" w:rsidR="00F862D3" w:rsidRPr="002128A6" w:rsidRDefault="00F862D3" w:rsidP="00204FE4">
            <w:pPr>
              <w:spacing w:after="0" w:line="240" w:lineRule="auto"/>
              <w:jc w:val="right"/>
              <w:rPr>
                <w:rFonts w:ascii="Garamond" w:eastAsia="Times New Roman" w:hAnsi="Garamond" w:cs="Arial"/>
                <w:kern w:val="0"/>
                <w:sz w:val="20"/>
                <w14:ligatures w14:val="none"/>
              </w:rPr>
            </w:pPr>
            <w:r w:rsidRPr="002128A6">
              <w:rPr>
                <w:rFonts w:ascii="Garamond" w:eastAsia="Times New Roman" w:hAnsi="Garamond" w:cs="Arial"/>
                <w:kern w:val="0"/>
                <w:sz w:val="20"/>
                <w14:ligatures w14:val="none"/>
              </w:rPr>
              <w:t>0</w:t>
            </w:r>
          </w:p>
        </w:tc>
        <w:tc>
          <w:tcPr>
            <w:tcW w:w="1322" w:type="dxa"/>
            <w:vMerge/>
            <w:tcBorders>
              <w:top w:val="single" w:sz="8" w:space="0" w:color="4472C4"/>
              <w:left w:val="single" w:sz="8" w:space="0" w:color="8EAADB"/>
              <w:bottom w:val="single" w:sz="8" w:space="0" w:color="8EAADB"/>
              <w:right w:val="single" w:sz="8" w:space="0" w:color="auto"/>
            </w:tcBorders>
            <w:vAlign w:val="center"/>
            <w:hideMark/>
          </w:tcPr>
          <w:p w14:paraId="146ADEDE" w14:textId="77777777" w:rsidR="00F862D3" w:rsidRPr="002128A6" w:rsidRDefault="00F862D3" w:rsidP="00204FE4">
            <w:pPr>
              <w:spacing w:after="0" w:line="240" w:lineRule="auto"/>
              <w:jc w:val="right"/>
              <w:rPr>
                <w:rFonts w:ascii="Garamond" w:eastAsia="Times New Roman" w:hAnsi="Garamond" w:cs="Arial"/>
                <w:b/>
                <w:bCs/>
                <w:i/>
                <w:iCs/>
                <w:kern w:val="0"/>
                <w:sz w:val="20"/>
                <w14:ligatures w14:val="none"/>
              </w:rPr>
            </w:pPr>
          </w:p>
        </w:tc>
      </w:tr>
      <w:tr w:rsidR="00FC5887" w:rsidRPr="002128A6" w14:paraId="0027CED0" w14:textId="77777777" w:rsidTr="00FC5887">
        <w:trPr>
          <w:trHeight w:val="20"/>
          <w:jc w:val="center"/>
        </w:trPr>
        <w:tc>
          <w:tcPr>
            <w:tcW w:w="1102" w:type="dxa"/>
            <w:tcBorders>
              <w:top w:val="nil"/>
              <w:left w:val="single" w:sz="8" w:space="0" w:color="auto"/>
              <w:bottom w:val="single" w:sz="8" w:space="0" w:color="8EAADB"/>
              <w:right w:val="single" w:sz="8" w:space="0" w:color="8EAADB"/>
            </w:tcBorders>
            <w:shd w:val="clear" w:color="000000" w:fill="D9E2F3"/>
            <w:vAlign w:val="center"/>
            <w:hideMark/>
          </w:tcPr>
          <w:p w14:paraId="619612ED" w14:textId="4D0D1C7D" w:rsidR="00F862D3" w:rsidRPr="002128A6" w:rsidRDefault="00FC5887" w:rsidP="00F862D3">
            <w:pPr>
              <w:spacing w:after="0" w:line="240" w:lineRule="auto"/>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Totali </w:t>
            </w:r>
            <w:r w:rsidR="00F862D3" w:rsidRPr="002128A6">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lek</w:t>
            </w:r>
            <w:r>
              <w:rPr>
                <w:rFonts w:ascii="Garamond" w:eastAsia="Times New Roman" w:hAnsi="Garamond" w:cs="Arial"/>
                <w:b/>
                <w:bCs/>
                <w:kern w:val="0"/>
                <w:sz w:val="20"/>
                <w14:ligatures w14:val="none"/>
              </w:rPr>
              <w:t>ë</w:t>
            </w:r>
            <w:r w:rsidR="00F862D3" w:rsidRPr="002128A6">
              <w:rPr>
                <w:rFonts w:ascii="Garamond" w:eastAsia="Times New Roman" w:hAnsi="Garamond" w:cs="Arial"/>
                <w:b/>
                <w:bCs/>
                <w:kern w:val="0"/>
                <w:sz w:val="20"/>
                <w14:ligatures w14:val="none"/>
              </w:rPr>
              <w:t>]</w:t>
            </w:r>
          </w:p>
        </w:tc>
        <w:tc>
          <w:tcPr>
            <w:tcW w:w="1714" w:type="dxa"/>
            <w:tcBorders>
              <w:top w:val="nil"/>
              <w:left w:val="nil"/>
              <w:bottom w:val="single" w:sz="8" w:space="0" w:color="8EAADB"/>
              <w:right w:val="single" w:sz="8" w:space="0" w:color="8EAADB"/>
            </w:tcBorders>
            <w:shd w:val="clear" w:color="000000" w:fill="D9E2F3"/>
            <w:vAlign w:val="center"/>
            <w:hideMark/>
          </w:tcPr>
          <w:p w14:paraId="5561071B" w14:textId="77777777"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w:t>
            </w:r>
          </w:p>
        </w:tc>
        <w:tc>
          <w:tcPr>
            <w:tcW w:w="1452" w:type="dxa"/>
            <w:tcBorders>
              <w:top w:val="nil"/>
              <w:left w:val="nil"/>
              <w:bottom w:val="single" w:sz="8" w:space="0" w:color="8EAADB"/>
              <w:right w:val="single" w:sz="8" w:space="0" w:color="8EAADB"/>
            </w:tcBorders>
            <w:shd w:val="clear" w:color="000000" w:fill="D9E2F3"/>
            <w:vAlign w:val="center"/>
            <w:hideMark/>
          </w:tcPr>
          <w:p w14:paraId="065A7E10"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37,530,821,822</w:t>
            </w:r>
          </w:p>
        </w:tc>
        <w:tc>
          <w:tcPr>
            <w:tcW w:w="1396" w:type="dxa"/>
            <w:tcBorders>
              <w:top w:val="nil"/>
              <w:left w:val="nil"/>
              <w:bottom w:val="single" w:sz="8" w:space="0" w:color="8EAADB"/>
              <w:right w:val="single" w:sz="8" w:space="0" w:color="8EAADB"/>
            </w:tcBorders>
            <w:shd w:val="clear" w:color="000000" w:fill="D9E2F3"/>
            <w:vAlign w:val="center"/>
            <w:hideMark/>
          </w:tcPr>
          <w:p w14:paraId="58A2EAD3"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22,639,416,416</w:t>
            </w:r>
          </w:p>
        </w:tc>
        <w:tc>
          <w:tcPr>
            <w:tcW w:w="1397" w:type="dxa"/>
            <w:tcBorders>
              <w:top w:val="nil"/>
              <w:left w:val="nil"/>
              <w:bottom w:val="single" w:sz="8" w:space="0" w:color="8EAADB"/>
              <w:right w:val="single" w:sz="8" w:space="0" w:color="8EAADB"/>
            </w:tcBorders>
            <w:shd w:val="clear" w:color="000000" w:fill="D9E2F3"/>
            <w:vAlign w:val="center"/>
            <w:hideMark/>
          </w:tcPr>
          <w:p w14:paraId="7D1797A3"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7,924,395,998</w:t>
            </w:r>
          </w:p>
        </w:tc>
        <w:tc>
          <w:tcPr>
            <w:tcW w:w="1397" w:type="dxa"/>
            <w:tcBorders>
              <w:top w:val="nil"/>
              <w:left w:val="nil"/>
              <w:bottom w:val="single" w:sz="8" w:space="0" w:color="8EAADB"/>
              <w:right w:val="single" w:sz="8" w:space="0" w:color="8EAADB"/>
            </w:tcBorders>
            <w:shd w:val="clear" w:color="000000" w:fill="D9E2F3"/>
            <w:vAlign w:val="center"/>
            <w:hideMark/>
          </w:tcPr>
          <w:p w14:paraId="0D213324"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3,974,455,408</w:t>
            </w:r>
          </w:p>
        </w:tc>
        <w:tc>
          <w:tcPr>
            <w:tcW w:w="1322" w:type="dxa"/>
            <w:tcBorders>
              <w:top w:val="nil"/>
              <w:left w:val="nil"/>
              <w:bottom w:val="single" w:sz="8" w:space="0" w:color="8EAADB"/>
              <w:right w:val="single" w:sz="8" w:space="0" w:color="auto"/>
            </w:tcBorders>
            <w:shd w:val="clear" w:color="000000" w:fill="D9E2F3"/>
            <w:vAlign w:val="center"/>
            <w:hideMark/>
          </w:tcPr>
          <w:p w14:paraId="4DB3A759" w14:textId="77777777" w:rsidR="00F862D3" w:rsidRPr="002128A6" w:rsidRDefault="00F862D3" w:rsidP="00204FE4">
            <w:pPr>
              <w:spacing w:after="0" w:line="240" w:lineRule="auto"/>
              <w:jc w:val="right"/>
              <w:rPr>
                <w:rFonts w:ascii="Garamond" w:eastAsia="Times New Roman" w:hAnsi="Garamond" w:cs="Arial"/>
                <w:b/>
                <w:bCs/>
                <w:i/>
                <w:iCs/>
                <w:kern w:val="0"/>
                <w:sz w:val="20"/>
                <w14:ligatures w14:val="none"/>
              </w:rPr>
            </w:pPr>
            <w:r w:rsidRPr="002128A6">
              <w:rPr>
                <w:rFonts w:ascii="Garamond" w:eastAsia="Times New Roman" w:hAnsi="Garamond" w:cs="Arial"/>
                <w:b/>
                <w:bCs/>
                <w:i/>
                <w:iCs/>
                <w:kern w:val="0"/>
                <w:sz w:val="20"/>
                <w14:ligatures w14:val="none"/>
              </w:rPr>
              <w:t>2,992,554,000</w:t>
            </w:r>
          </w:p>
        </w:tc>
      </w:tr>
      <w:tr w:rsidR="00FC5887" w:rsidRPr="002128A6" w14:paraId="36B5719C" w14:textId="77777777" w:rsidTr="00FC5887">
        <w:trPr>
          <w:trHeight w:val="20"/>
          <w:jc w:val="center"/>
        </w:trPr>
        <w:tc>
          <w:tcPr>
            <w:tcW w:w="1102" w:type="dxa"/>
            <w:tcBorders>
              <w:top w:val="nil"/>
              <w:left w:val="single" w:sz="8" w:space="0" w:color="auto"/>
              <w:bottom w:val="nil"/>
              <w:right w:val="single" w:sz="8" w:space="0" w:color="8EAADB"/>
            </w:tcBorders>
            <w:shd w:val="clear" w:color="auto" w:fill="auto"/>
            <w:vAlign w:val="center"/>
            <w:hideMark/>
          </w:tcPr>
          <w:p w14:paraId="1235AE00" w14:textId="35E767BA" w:rsidR="00F862D3" w:rsidRPr="002128A6" w:rsidRDefault="00FC5887" w:rsidP="00F862D3">
            <w:pPr>
              <w:spacing w:after="0" w:line="240" w:lineRule="auto"/>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xml:space="preserve">Totali </w:t>
            </w:r>
            <w:r w:rsidR="00F862D3" w:rsidRPr="002128A6">
              <w:rPr>
                <w:rFonts w:ascii="Garamond" w:eastAsia="Times New Roman" w:hAnsi="Garamond" w:cs="Arial"/>
                <w:b/>
                <w:bCs/>
                <w:kern w:val="0"/>
                <w:sz w:val="20"/>
                <w14:ligatures w14:val="none"/>
              </w:rPr>
              <w:t>[</w:t>
            </w:r>
            <w:r w:rsidRPr="002128A6">
              <w:rPr>
                <w:rFonts w:ascii="Garamond" w:eastAsia="Times New Roman" w:hAnsi="Garamond" w:cs="Arial"/>
                <w:b/>
                <w:bCs/>
                <w:kern w:val="0"/>
                <w:sz w:val="20"/>
                <w14:ligatures w14:val="none"/>
              </w:rPr>
              <w:t>euro</w:t>
            </w:r>
            <w:r w:rsidR="00F862D3" w:rsidRPr="002128A6">
              <w:rPr>
                <w:rFonts w:ascii="Garamond" w:eastAsia="Times New Roman" w:hAnsi="Garamond" w:cs="Arial"/>
                <w:b/>
                <w:bCs/>
                <w:kern w:val="0"/>
                <w:sz w:val="20"/>
                <w14:ligatures w14:val="none"/>
              </w:rPr>
              <w:t>]</w:t>
            </w:r>
          </w:p>
        </w:tc>
        <w:tc>
          <w:tcPr>
            <w:tcW w:w="1714"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3060DE77" w14:textId="77777777" w:rsidR="00F862D3" w:rsidRPr="002128A6" w:rsidRDefault="00F862D3" w:rsidP="00F862D3">
            <w:pPr>
              <w:spacing w:after="0" w:line="240" w:lineRule="auto"/>
              <w:jc w:val="center"/>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 </w:t>
            </w:r>
          </w:p>
        </w:tc>
        <w:tc>
          <w:tcPr>
            <w:tcW w:w="1452"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0F434060"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403,123,757</w:t>
            </w:r>
          </w:p>
        </w:tc>
        <w:tc>
          <w:tcPr>
            <w:tcW w:w="1396"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220950F5"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243,173,109</w:t>
            </w:r>
          </w:p>
        </w:tc>
        <w:tc>
          <w:tcPr>
            <w:tcW w:w="1397"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5A7395AD"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85,117,035</w:t>
            </w:r>
          </w:p>
        </w:tc>
        <w:tc>
          <w:tcPr>
            <w:tcW w:w="1397"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1F42036A"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42,690,176</w:t>
            </w:r>
          </w:p>
        </w:tc>
        <w:tc>
          <w:tcPr>
            <w:tcW w:w="1322" w:type="dxa"/>
            <w:vMerge w:val="restart"/>
            <w:tcBorders>
              <w:top w:val="nil"/>
              <w:left w:val="single" w:sz="8" w:space="0" w:color="8EAADB"/>
              <w:bottom w:val="single" w:sz="8" w:space="0" w:color="000000"/>
              <w:right w:val="single" w:sz="8" w:space="0" w:color="8EAADB"/>
            </w:tcBorders>
            <w:shd w:val="clear" w:color="auto" w:fill="auto"/>
            <w:vAlign w:val="center"/>
            <w:hideMark/>
          </w:tcPr>
          <w:p w14:paraId="4289ACC2" w14:textId="77777777" w:rsidR="00F862D3" w:rsidRPr="002128A6" w:rsidRDefault="00F862D3" w:rsidP="00204FE4">
            <w:pPr>
              <w:spacing w:after="0" w:line="240" w:lineRule="auto"/>
              <w:jc w:val="right"/>
              <w:rPr>
                <w:rFonts w:ascii="Garamond" w:eastAsia="Times New Roman" w:hAnsi="Garamond" w:cs="Arial"/>
                <w:b/>
                <w:bCs/>
                <w:kern w:val="0"/>
                <w:sz w:val="20"/>
                <w14:ligatures w14:val="none"/>
              </w:rPr>
            </w:pPr>
            <w:r w:rsidRPr="002128A6">
              <w:rPr>
                <w:rFonts w:ascii="Garamond" w:eastAsia="Times New Roman" w:hAnsi="Garamond" w:cs="Arial"/>
                <w:b/>
                <w:bCs/>
                <w:kern w:val="0"/>
                <w:sz w:val="20"/>
                <w14:ligatures w14:val="none"/>
              </w:rPr>
              <w:t>32,143,437</w:t>
            </w:r>
          </w:p>
        </w:tc>
      </w:tr>
      <w:tr w:rsidR="00FC5887" w:rsidRPr="002128A6" w14:paraId="2E634F92" w14:textId="77777777" w:rsidTr="00FC5887">
        <w:trPr>
          <w:trHeight w:val="20"/>
          <w:jc w:val="center"/>
        </w:trPr>
        <w:tc>
          <w:tcPr>
            <w:tcW w:w="1102" w:type="dxa"/>
            <w:tcBorders>
              <w:top w:val="nil"/>
              <w:left w:val="single" w:sz="8" w:space="0" w:color="auto"/>
              <w:bottom w:val="single" w:sz="8" w:space="0" w:color="auto"/>
              <w:right w:val="single" w:sz="8" w:space="0" w:color="8EAADB"/>
            </w:tcBorders>
            <w:shd w:val="clear" w:color="auto" w:fill="auto"/>
            <w:vAlign w:val="center"/>
            <w:hideMark/>
          </w:tcPr>
          <w:p w14:paraId="69D42D0F" w14:textId="297C8F0C" w:rsidR="00F862D3" w:rsidRPr="002128A6" w:rsidRDefault="00F862D3" w:rsidP="00F862D3">
            <w:pPr>
              <w:spacing w:after="0" w:line="240" w:lineRule="auto"/>
              <w:rPr>
                <w:rFonts w:ascii="Garamond" w:eastAsia="Times New Roman" w:hAnsi="Garamond" w:cs="Arial"/>
                <w:b/>
                <w:bCs/>
                <w:i/>
                <w:iCs/>
                <w:kern w:val="0"/>
                <w:sz w:val="20"/>
                <w14:ligatures w14:val="none"/>
              </w:rPr>
            </w:pPr>
            <w:r w:rsidRPr="002128A6">
              <w:rPr>
                <w:rFonts w:ascii="Garamond" w:eastAsia="Times New Roman" w:hAnsi="Garamond" w:cs="Arial"/>
                <w:b/>
                <w:bCs/>
                <w:i/>
                <w:iCs/>
                <w:kern w:val="0"/>
                <w:sz w:val="20"/>
                <w14:ligatures w14:val="none"/>
              </w:rPr>
              <w:t xml:space="preserve">1 euro 93.1 </w:t>
            </w:r>
            <w:r w:rsidR="00FC5887" w:rsidRPr="002128A6">
              <w:rPr>
                <w:rFonts w:ascii="Garamond" w:eastAsia="Times New Roman" w:hAnsi="Garamond" w:cs="Arial"/>
                <w:b/>
                <w:bCs/>
                <w:i/>
                <w:iCs/>
                <w:kern w:val="0"/>
                <w:sz w:val="20"/>
                <w14:ligatures w14:val="none"/>
              </w:rPr>
              <w:t>lek</w:t>
            </w:r>
            <w:r w:rsidR="00FC5887">
              <w:rPr>
                <w:rFonts w:ascii="Garamond" w:eastAsia="Times New Roman" w:hAnsi="Garamond" w:cs="Arial"/>
                <w:b/>
                <w:bCs/>
                <w:i/>
                <w:iCs/>
                <w:kern w:val="0"/>
                <w:sz w:val="20"/>
                <w14:ligatures w14:val="none"/>
              </w:rPr>
              <w:t>ë</w:t>
            </w:r>
          </w:p>
        </w:tc>
        <w:tc>
          <w:tcPr>
            <w:tcW w:w="1714" w:type="dxa"/>
            <w:vMerge/>
            <w:tcBorders>
              <w:top w:val="nil"/>
              <w:left w:val="single" w:sz="8" w:space="0" w:color="8EAADB"/>
              <w:bottom w:val="single" w:sz="8" w:space="0" w:color="000000"/>
              <w:right w:val="single" w:sz="8" w:space="0" w:color="8EAADB"/>
            </w:tcBorders>
            <w:vAlign w:val="center"/>
            <w:hideMark/>
          </w:tcPr>
          <w:p w14:paraId="0BD18BEB"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452" w:type="dxa"/>
            <w:vMerge/>
            <w:tcBorders>
              <w:top w:val="nil"/>
              <w:left w:val="single" w:sz="8" w:space="0" w:color="8EAADB"/>
              <w:bottom w:val="single" w:sz="8" w:space="0" w:color="000000"/>
              <w:right w:val="single" w:sz="8" w:space="0" w:color="8EAADB"/>
            </w:tcBorders>
            <w:vAlign w:val="center"/>
            <w:hideMark/>
          </w:tcPr>
          <w:p w14:paraId="00F16654"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396" w:type="dxa"/>
            <w:vMerge/>
            <w:tcBorders>
              <w:top w:val="nil"/>
              <w:left w:val="single" w:sz="8" w:space="0" w:color="8EAADB"/>
              <w:bottom w:val="single" w:sz="8" w:space="0" w:color="000000"/>
              <w:right w:val="single" w:sz="8" w:space="0" w:color="8EAADB"/>
            </w:tcBorders>
            <w:vAlign w:val="center"/>
            <w:hideMark/>
          </w:tcPr>
          <w:p w14:paraId="47EF6195"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397" w:type="dxa"/>
            <w:vMerge/>
            <w:tcBorders>
              <w:top w:val="nil"/>
              <w:left w:val="single" w:sz="8" w:space="0" w:color="8EAADB"/>
              <w:bottom w:val="single" w:sz="8" w:space="0" w:color="000000"/>
              <w:right w:val="single" w:sz="8" w:space="0" w:color="8EAADB"/>
            </w:tcBorders>
            <w:vAlign w:val="center"/>
            <w:hideMark/>
          </w:tcPr>
          <w:p w14:paraId="457F6C65"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397" w:type="dxa"/>
            <w:vMerge/>
            <w:tcBorders>
              <w:top w:val="nil"/>
              <w:left w:val="single" w:sz="8" w:space="0" w:color="8EAADB"/>
              <w:bottom w:val="single" w:sz="8" w:space="0" w:color="000000"/>
              <w:right w:val="single" w:sz="8" w:space="0" w:color="8EAADB"/>
            </w:tcBorders>
            <w:vAlign w:val="center"/>
            <w:hideMark/>
          </w:tcPr>
          <w:p w14:paraId="446E26C6"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c>
          <w:tcPr>
            <w:tcW w:w="1322" w:type="dxa"/>
            <w:vMerge/>
            <w:tcBorders>
              <w:top w:val="nil"/>
              <w:left w:val="single" w:sz="8" w:space="0" w:color="8EAADB"/>
              <w:bottom w:val="single" w:sz="8" w:space="0" w:color="000000"/>
              <w:right w:val="single" w:sz="8" w:space="0" w:color="8EAADB"/>
            </w:tcBorders>
            <w:vAlign w:val="center"/>
            <w:hideMark/>
          </w:tcPr>
          <w:p w14:paraId="50D249BA" w14:textId="77777777" w:rsidR="00F862D3" w:rsidRPr="002128A6" w:rsidRDefault="00F862D3" w:rsidP="00F862D3">
            <w:pPr>
              <w:spacing w:after="0" w:line="240" w:lineRule="auto"/>
              <w:rPr>
                <w:rFonts w:ascii="Garamond" w:eastAsia="Times New Roman" w:hAnsi="Garamond" w:cs="Arial"/>
                <w:b/>
                <w:bCs/>
                <w:kern w:val="0"/>
                <w:sz w:val="20"/>
                <w14:ligatures w14:val="none"/>
              </w:rPr>
            </w:pPr>
          </w:p>
        </w:tc>
      </w:tr>
    </w:tbl>
    <w:p w14:paraId="7FAF878D" w14:textId="72DC6268" w:rsidR="00F862D3" w:rsidRPr="002128A6" w:rsidRDefault="00F862D3" w:rsidP="00F862D3">
      <w:pPr>
        <w:spacing w:after="0"/>
        <w:jc w:val="center"/>
        <w:rPr>
          <w:rFonts w:ascii="Garamond" w:hAnsi="Garamond" w:cstheme="majorBidi"/>
          <w:b/>
          <w:bCs/>
        </w:rPr>
      </w:pPr>
    </w:p>
    <w:p w14:paraId="0BB82C2A" w14:textId="6823F61F" w:rsidR="00F862D3" w:rsidRPr="002128A6" w:rsidRDefault="007739CA" w:rsidP="00F862D3">
      <w:pPr>
        <w:spacing w:after="0"/>
        <w:jc w:val="center"/>
        <w:rPr>
          <w:rFonts w:ascii="Garamond" w:hAnsi="Garamond" w:cstheme="majorBidi"/>
          <w:b/>
          <w:bCs/>
        </w:rPr>
      </w:pPr>
      <w:r w:rsidRPr="002128A6">
        <w:rPr>
          <w:rFonts w:ascii="Garamond" w:hAnsi="Garamond" w:cstheme="majorBidi"/>
          <w:b/>
          <w:bCs/>
          <w:noProof/>
        </w:rPr>
        <w:drawing>
          <wp:inline distT="0" distB="0" distL="0" distR="0" wp14:anchorId="7F3959C6" wp14:editId="06FCF40C">
            <wp:extent cx="6175168" cy="4487860"/>
            <wp:effectExtent l="0" t="0" r="0" b="8255"/>
            <wp:docPr id="555588623" name="Picture 555588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99568" cy="4505593"/>
                    </a:xfrm>
                    <a:prstGeom prst="rect">
                      <a:avLst/>
                    </a:prstGeom>
                    <a:noFill/>
                  </pic:spPr>
                </pic:pic>
              </a:graphicData>
            </a:graphic>
          </wp:inline>
        </w:drawing>
      </w:r>
    </w:p>
    <w:p w14:paraId="46A5EB7D" w14:textId="33C7E806" w:rsidR="007739CA" w:rsidRPr="002128A6" w:rsidRDefault="007739CA" w:rsidP="007739CA">
      <w:pPr>
        <w:spacing w:after="0" w:line="240" w:lineRule="auto"/>
        <w:jc w:val="center"/>
        <w:rPr>
          <w:rFonts w:ascii="Garamond" w:hAnsi="Garamond" w:cstheme="majorBidi"/>
          <w:b/>
          <w:bCs/>
        </w:rPr>
      </w:pPr>
      <w:r w:rsidRPr="002128A6">
        <w:rPr>
          <w:rFonts w:ascii="Garamond" w:hAnsi="Garamond" w:cstheme="majorBidi"/>
          <w:b/>
          <w:bCs/>
          <w:noProof/>
        </w:rPr>
        <w:lastRenderedPageBreak/>
        <w:drawing>
          <wp:inline distT="0" distB="0" distL="0" distR="0" wp14:anchorId="267514CE" wp14:editId="0A701C09">
            <wp:extent cx="5819261" cy="4227616"/>
            <wp:effectExtent l="0" t="0" r="0" b="1905"/>
            <wp:docPr id="555588625" name="Picture 555588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882699" cy="4273703"/>
                    </a:xfrm>
                    <a:prstGeom prst="rect">
                      <a:avLst/>
                    </a:prstGeom>
                    <a:noFill/>
                  </pic:spPr>
                </pic:pic>
              </a:graphicData>
            </a:graphic>
          </wp:inline>
        </w:drawing>
      </w:r>
    </w:p>
    <w:p w14:paraId="171D052D" w14:textId="321B74FD" w:rsidR="007739CA" w:rsidRPr="002128A6" w:rsidRDefault="007739CA" w:rsidP="007739CA">
      <w:pPr>
        <w:spacing w:after="0" w:line="240" w:lineRule="auto"/>
        <w:jc w:val="center"/>
        <w:rPr>
          <w:rFonts w:ascii="Garamond" w:hAnsi="Garamond" w:cstheme="majorBidi"/>
          <w:b/>
          <w:bCs/>
        </w:rPr>
      </w:pPr>
      <w:r w:rsidRPr="002128A6">
        <w:rPr>
          <w:rFonts w:ascii="Garamond" w:hAnsi="Garamond" w:cstheme="majorBidi"/>
          <w:b/>
          <w:bCs/>
          <w:noProof/>
        </w:rPr>
        <w:drawing>
          <wp:inline distT="0" distB="0" distL="0" distR="0" wp14:anchorId="65B15ADD" wp14:editId="4C3FAFC6">
            <wp:extent cx="5795158" cy="3786196"/>
            <wp:effectExtent l="0" t="0" r="0" b="5080"/>
            <wp:docPr id="555588626" name="Picture 55558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18490" cy="3801440"/>
                    </a:xfrm>
                    <a:prstGeom prst="rect">
                      <a:avLst/>
                    </a:prstGeom>
                    <a:noFill/>
                  </pic:spPr>
                </pic:pic>
              </a:graphicData>
            </a:graphic>
          </wp:inline>
        </w:drawing>
      </w:r>
    </w:p>
    <w:sectPr w:rsidR="007739CA" w:rsidRPr="002128A6" w:rsidSect="00F862D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E033A" w14:textId="77777777" w:rsidR="00F03329" w:rsidRDefault="00F03329" w:rsidP="00194609">
      <w:pPr>
        <w:spacing w:after="0" w:line="240" w:lineRule="auto"/>
      </w:pPr>
      <w:r>
        <w:separator/>
      </w:r>
    </w:p>
  </w:endnote>
  <w:endnote w:type="continuationSeparator" w:id="0">
    <w:p w14:paraId="4432EF60" w14:textId="77777777" w:rsidR="00F03329" w:rsidRDefault="00F03329" w:rsidP="00194609">
      <w:pPr>
        <w:spacing w:after="0" w:line="240" w:lineRule="auto"/>
      </w:pPr>
      <w:r>
        <w:continuationSeparator/>
      </w:r>
    </w:p>
  </w:endnote>
  <w:endnote w:type="continuationNotice" w:id="1">
    <w:p w14:paraId="77E12014" w14:textId="77777777" w:rsidR="00F03329" w:rsidRDefault="00F033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00000003"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588BA" w14:textId="77777777" w:rsidR="00F03329" w:rsidRDefault="00F03329" w:rsidP="00194609">
      <w:pPr>
        <w:spacing w:after="0" w:line="240" w:lineRule="auto"/>
      </w:pPr>
      <w:r>
        <w:separator/>
      </w:r>
    </w:p>
  </w:footnote>
  <w:footnote w:type="continuationSeparator" w:id="0">
    <w:p w14:paraId="57FEE0BE" w14:textId="77777777" w:rsidR="00F03329" w:rsidRDefault="00F03329" w:rsidP="00194609">
      <w:pPr>
        <w:spacing w:after="0" w:line="240" w:lineRule="auto"/>
      </w:pPr>
      <w:r>
        <w:continuationSeparator/>
      </w:r>
    </w:p>
  </w:footnote>
  <w:footnote w:type="continuationNotice" w:id="1">
    <w:p w14:paraId="025B461A" w14:textId="77777777" w:rsidR="00F03329" w:rsidRDefault="00F03329">
      <w:pPr>
        <w:spacing w:after="0" w:line="240" w:lineRule="auto"/>
      </w:pPr>
    </w:p>
  </w:footnote>
  <w:footnote w:id="2">
    <w:p w14:paraId="49E8DBBF" w14:textId="088B451C" w:rsidR="00F03329" w:rsidRPr="00F54824" w:rsidRDefault="00F03329" w:rsidP="00F54824">
      <w:pPr>
        <w:pStyle w:val="FootnoteText"/>
        <w:jc w:val="both"/>
        <w:rPr>
          <w:rFonts w:ascii="Garamond" w:hAnsi="Garamond" w:cs="Times New Roman"/>
        </w:rPr>
      </w:pPr>
      <w:r w:rsidRPr="00F54824">
        <w:rPr>
          <w:rStyle w:val="FootnoteReference"/>
          <w:rFonts w:ascii="Garamond" w:hAnsi="Garamond" w:cs="Times New Roman"/>
        </w:rPr>
        <w:footnoteRef/>
      </w:r>
      <w:r w:rsidRPr="00F54824">
        <w:rPr>
          <w:rFonts w:ascii="Garamond" w:hAnsi="Garamond" w:cs="Times New Roman"/>
        </w:rPr>
        <w:t xml:space="preserve"> Shërbimi i Kontrollit të Brendshëm të Burgjeve (SHKBB) ka ndryshuar emërtimin në</w:t>
      </w:r>
      <w:r w:rsidRPr="00F54824">
        <w:rPr>
          <w:rFonts w:ascii="Garamond" w:hAnsi="Garamond"/>
          <w:b/>
          <w:bCs/>
        </w:rPr>
        <w:t xml:space="preserve"> </w:t>
      </w:r>
      <w:r w:rsidRPr="00F54824">
        <w:rPr>
          <w:rFonts w:ascii="Garamond" w:hAnsi="Garamond" w:cs="Times New Roman"/>
          <w:b/>
          <w:bCs/>
        </w:rPr>
        <w:t>Agjencia e Mbikëqyrjes në Sistemin e Ekzekutimit të Vendimeve Penale (AMSEVP)</w:t>
      </w:r>
      <w:r w:rsidRPr="00F54824">
        <w:rPr>
          <w:rFonts w:ascii="Garamond" w:hAnsi="Garamond" w:cs="Times New Roman"/>
        </w:rPr>
        <w:t>, në bazë të ligjit nr. 28/2026, “Për Agjencinë e Mbikëqyrjes në Sistemin e Ekzekutimit të Vendimeve Penale”, i cili ka hyrë në fuqi më datë 11.4.2026 dhe është botuar në Fletoren Zyrtare nr. 64, datë 27.3.2026.</w:t>
      </w:r>
    </w:p>
  </w:footnote>
  <w:footnote w:id="3">
    <w:p w14:paraId="59DFD65D" w14:textId="77777777" w:rsidR="00F03329" w:rsidRPr="00F54824" w:rsidRDefault="00F03329" w:rsidP="00F54824">
      <w:pPr>
        <w:pStyle w:val="FootnoteText"/>
        <w:jc w:val="both"/>
        <w:rPr>
          <w:rFonts w:ascii="Garamond" w:hAnsi="Garamond"/>
          <w:i/>
          <w:iCs/>
        </w:rPr>
      </w:pPr>
      <w:r w:rsidRPr="00F54824">
        <w:rPr>
          <w:rStyle w:val="FootnoteReference"/>
          <w:rFonts w:ascii="Garamond" w:hAnsi="Garamond"/>
          <w:i/>
          <w:iCs/>
        </w:rPr>
        <w:footnoteRef/>
      </w:r>
      <w:r w:rsidRPr="00F54824">
        <w:rPr>
          <w:rFonts w:ascii="Garamond" w:hAnsi="Garamond"/>
          <w:i/>
          <w:iCs/>
        </w:rPr>
        <w:t xml:space="preserve"> </w:t>
      </w:r>
      <w:hyperlink r:id="rId1" w:history="1">
        <w:r w:rsidRPr="00F54824">
          <w:rPr>
            <w:rStyle w:val="Hyperlink"/>
            <w:rFonts w:ascii="Garamond" w:hAnsi="Garamond"/>
            <w:i/>
            <w:iCs/>
          </w:rPr>
          <w:t>https://www.unodc.org/unodc/data-and-analysis/world-drug-report-2024.html</w:t>
        </w:r>
      </w:hyperlink>
      <w:r w:rsidRPr="00F54824">
        <w:rPr>
          <w:rFonts w:ascii="Garamond" w:hAnsi="Garamond"/>
          <w:i/>
          <w:iCs/>
        </w:rPr>
        <w:t xml:space="preserve"> </w:t>
      </w:r>
    </w:p>
  </w:footnote>
  <w:footnote w:id="4">
    <w:p w14:paraId="1B56393E" w14:textId="5B07B748" w:rsidR="00F03329" w:rsidRPr="00F54824" w:rsidRDefault="00F03329" w:rsidP="00F54824">
      <w:pPr>
        <w:pStyle w:val="FootnoteText"/>
        <w:jc w:val="both"/>
        <w:rPr>
          <w:rFonts w:ascii="Garamond" w:hAnsi="Garamond"/>
        </w:rPr>
      </w:pPr>
      <w:r w:rsidRPr="00F54824">
        <w:rPr>
          <w:rStyle w:val="FootnoteReference"/>
          <w:rFonts w:ascii="Garamond" w:hAnsi="Garamond"/>
        </w:rPr>
        <w:footnoteRef/>
      </w:r>
      <w:r w:rsidRPr="00F54824">
        <w:rPr>
          <w:rFonts w:ascii="Garamond" w:hAnsi="Garamond"/>
        </w:rPr>
        <w:t xml:space="preserve"> </w:t>
      </w:r>
      <w:r w:rsidRPr="00F54824">
        <w:rPr>
          <w:rFonts w:ascii="Garamond" w:hAnsi="Garamond"/>
          <w:i/>
          <w:iCs/>
        </w:rPr>
        <w:t xml:space="preserve">Rrjete të tërthorta </w:t>
      </w:r>
      <w:r>
        <w:rPr>
          <w:rFonts w:ascii="Garamond" w:hAnsi="Garamond"/>
          <w:i/>
          <w:iCs/>
        </w:rPr>
        <w:t>u</w:t>
      </w:r>
      <w:r w:rsidRPr="00F54824">
        <w:rPr>
          <w:rFonts w:ascii="Garamond" w:hAnsi="Garamond"/>
          <w:i/>
          <w:iCs/>
        </w:rPr>
        <w:t xml:space="preserve"> referohen marrëdhënieve jo të drejtpërdrejta</w:t>
      </w:r>
      <w:r>
        <w:rPr>
          <w:rFonts w:ascii="Garamond" w:hAnsi="Garamond"/>
          <w:i/>
          <w:iCs/>
        </w:rPr>
        <w:t>.</w:t>
      </w:r>
    </w:p>
  </w:footnote>
  <w:footnote w:id="5">
    <w:p w14:paraId="6D38AB57" w14:textId="1D78FE5B" w:rsidR="00F03329" w:rsidRPr="00F54824" w:rsidRDefault="00F03329" w:rsidP="00F54824">
      <w:pPr>
        <w:pStyle w:val="FootnoteText"/>
        <w:jc w:val="both"/>
        <w:rPr>
          <w:rFonts w:ascii="Garamond" w:hAnsi="Garamond"/>
          <w:i/>
        </w:rPr>
      </w:pPr>
      <w:r w:rsidRPr="00F54824">
        <w:rPr>
          <w:rStyle w:val="FootnoteReference"/>
          <w:rFonts w:ascii="Garamond" w:hAnsi="Garamond"/>
          <w:i/>
        </w:rPr>
        <w:footnoteRef/>
      </w:r>
      <w:r w:rsidRPr="00F54824">
        <w:rPr>
          <w:rFonts w:ascii="Garamond" w:hAnsi="Garamond"/>
          <w:i/>
        </w:rPr>
        <w:t xml:space="preserve"> Raporti Vjetor 2024 i Agjencisë së Inteligjencës Financiare, faqe 33</w:t>
      </w:r>
      <w:r>
        <w:rPr>
          <w:rFonts w:ascii="Garamond" w:hAnsi="Garamond"/>
          <w:i/>
        </w:rPr>
        <w:t>–</w:t>
      </w:r>
      <w:r w:rsidRPr="00F54824">
        <w:rPr>
          <w:rFonts w:ascii="Garamond" w:hAnsi="Garamond"/>
          <w:i/>
        </w:rPr>
        <w:t>50</w:t>
      </w:r>
      <w:r>
        <w:rPr>
          <w:rFonts w:ascii="Garamond" w:hAnsi="Garamond"/>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797"/>
    <w:multiLevelType w:val="hybridMultilevel"/>
    <w:tmpl w:val="B922036C"/>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1B47680"/>
    <w:multiLevelType w:val="multilevel"/>
    <w:tmpl w:val="D952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41174"/>
    <w:multiLevelType w:val="hybridMultilevel"/>
    <w:tmpl w:val="A510C602"/>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048B7E21"/>
    <w:multiLevelType w:val="hybridMultilevel"/>
    <w:tmpl w:val="18469D12"/>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0A535673"/>
    <w:multiLevelType w:val="hybridMultilevel"/>
    <w:tmpl w:val="90C20C56"/>
    <w:lvl w:ilvl="0" w:tplc="6B4E2A7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E924DD"/>
    <w:multiLevelType w:val="hybridMultilevel"/>
    <w:tmpl w:val="DF30C2FA"/>
    <w:lvl w:ilvl="0" w:tplc="6B4E2A7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384286"/>
    <w:multiLevelType w:val="hybridMultilevel"/>
    <w:tmpl w:val="B55C3256"/>
    <w:lvl w:ilvl="0" w:tplc="C29A2A7C">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6A2F5C"/>
    <w:multiLevelType w:val="hybridMultilevel"/>
    <w:tmpl w:val="3A24D798"/>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2592093D"/>
    <w:multiLevelType w:val="hybridMultilevel"/>
    <w:tmpl w:val="173A85E0"/>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2A861C69"/>
    <w:multiLevelType w:val="hybridMultilevel"/>
    <w:tmpl w:val="2DDA4D80"/>
    <w:lvl w:ilvl="0" w:tplc="6B4E2A7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B56D0F"/>
    <w:multiLevelType w:val="hybridMultilevel"/>
    <w:tmpl w:val="CFF45D9A"/>
    <w:lvl w:ilvl="0" w:tplc="657A95F0">
      <w:start w:val="1"/>
      <w:numFmt w:val="bullet"/>
      <w:lvlText w:val="•"/>
      <w:lvlJc w:val="left"/>
      <w:pPr>
        <w:ind w:left="720" w:hanging="360"/>
      </w:pPr>
      <w:rPr>
        <w:strike w:val="0"/>
        <w:color w:val="auto"/>
      </w:rPr>
    </w:lvl>
    <w:lvl w:ilvl="1" w:tplc="D5CCAFB4">
      <w:start w:val="1"/>
      <w:numFmt w:val="bullet"/>
      <w:lvlText w:val="◦"/>
      <w:lvlJc w:val="left"/>
      <w:pPr>
        <w:ind w:left="1440" w:hanging="360"/>
      </w:pPr>
    </w:lvl>
    <w:lvl w:ilvl="2" w:tplc="1C7C49F2">
      <w:numFmt w:val="decimal"/>
      <w:lvlText w:val=""/>
      <w:lvlJc w:val="left"/>
    </w:lvl>
    <w:lvl w:ilvl="3" w:tplc="4C84B870">
      <w:numFmt w:val="decimal"/>
      <w:lvlText w:val=""/>
      <w:lvlJc w:val="left"/>
    </w:lvl>
    <w:lvl w:ilvl="4" w:tplc="149CEA38">
      <w:numFmt w:val="decimal"/>
      <w:lvlText w:val=""/>
      <w:lvlJc w:val="left"/>
    </w:lvl>
    <w:lvl w:ilvl="5" w:tplc="E66C7BF4">
      <w:numFmt w:val="decimal"/>
      <w:lvlText w:val=""/>
      <w:lvlJc w:val="left"/>
    </w:lvl>
    <w:lvl w:ilvl="6" w:tplc="DC8C956E">
      <w:numFmt w:val="decimal"/>
      <w:lvlText w:val=""/>
      <w:lvlJc w:val="left"/>
    </w:lvl>
    <w:lvl w:ilvl="7" w:tplc="0EF059C6">
      <w:numFmt w:val="decimal"/>
      <w:lvlText w:val=""/>
      <w:lvlJc w:val="left"/>
    </w:lvl>
    <w:lvl w:ilvl="8" w:tplc="89CCD6F6">
      <w:numFmt w:val="decimal"/>
      <w:lvlText w:val=""/>
      <w:lvlJc w:val="left"/>
    </w:lvl>
  </w:abstractNum>
  <w:abstractNum w:abstractNumId="11" w15:restartNumberingAfterBreak="0">
    <w:nsid w:val="2F63188D"/>
    <w:multiLevelType w:val="multilevel"/>
    <w:tmpl w:val="F28ED124"/>
    <w:lvl w:ilvl="0">
      <w:start w:val="6"/>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05908"/>
    <w:multiLevelType w:val="hybridMultilevel"/>
    <w:tmpl w:val="AEC4430C"/>
    <w:lvl w:ilvl="0" w:tplc="68FE4AD0">
      <w:start w:val="26"/>
      <w:numFmt w:val="bullet"/>
      <w:lvlText w:val="-"/>
      <w:lvlJc w:val="left"/>
      <w:pPr>
        <w:ind w:left="1440" w:hanging="360"/>
      </w:pPr>
      <w:rPr>
        <w:rFonts w:ascii="Aptos" w:eastAsia="Times New Roman" w:hAnsi="Aptos"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3" w15:restartNumberingAfterBreak="0">
    <w:nsid w:val="36E478A1"/>
    <w:multiLevelType w:val="multilevel"/>
    <w:tmpl w:val="3B02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CE4E2F"/>
    <w:multiLevelType w:val="hybridMultilevel"/>
    <w:tmpl w:val="A1C69CCC"/>
    <w:lvl w:ilvl="0" w:tplc="F82EB9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3F58B6"/>
    <w:multiLevelType w:val="hybridMultilevel"/>
    <w:tmpl w:val="1EE2176C"/>
    <w:lvl w:ilvl="0" w:tplc="C44C3518">
      <w:start w:val="6"/>
      <w:numFmt w:val="bullet"/>
      <w:lvlText w:val="-"/>
      <w:lvlJc w:val="left"/>
      <w:pPr>
        <w:ind w:left="1004" w:hanging="360"/>
      </w:pPr>
      <w:rPr>
        <w:rFonts w:ascii="Times New Roman" w:eastAsia="Calibri"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3DCA2333"/>
    <w:multiLevelType w:val="hybridMultilevel"/>
    <w:tmpl w:val="2D04462E"/>
    <w:lvl w:ilvl="0" w:tplc="68FE4AD0">
      <w:start w:val="26"/>
      <w:numFmt w:val="bullet"/>
      <w:lvlText w:val="-"/>
      <w:lvlJc w:val="left"/>
      <w:pPr>
        <w:ind w:left="1440" w:hanging="360"/>
      </w:pPr>
      <w:rPr>
        <w:rFonts w:ascii="Aptos" w:eastAsia="Times New Roman" w:hAnsi="Aptos"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480527F7"/>
    <w:multiLevelType w:val="hybridMultilevel"/>
    <w:tmpl w:val="9B28C8C4"/>
    <w:lvl w:ilvl="0" w:tplc="F82EB98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C60AF4"/>
    <w:multiLevelType w:val="hybridMultilevel"/>
    <w:tmpl w:val="883AA952"/>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50B03B29"/>
    <w:multiLevelType w:val="hybridMultilevel"/>
    <w:tmpl w:val="C34CF5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0CC7685"/>
    <w:multiLevelType w:val="hybridMultilevel"/>
    <w:tmpl w:val="07B4F268"/>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15:restartNumberingAfterBreak="0">
    <w:nsid w:val="59857B5F"/>
    <w:multiLevelType w:val="multilevel"/>
    <w:tmpl w:val="65E4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F31F00"/>
    <w:multiLevelType w:val="hybridMultilevel"/>
    <w:tmpl w:val="D0165406"/>
    <w:lvl w:ilvl="0" w:tplc="BA943AC8">
      <w:start w:val="2"/>
      <w:numFmt w:val="bullet"/>
      <w:lvlText w:val="­"/>
      <w:lvlJc w:val="left"/>
      <w:pPr>
        <w:ind w:left="360" w:hanging="360"/>
      </w:pPr>
      <w:rPr>
        <w:rFonts w:ascii="Calibri" w:eastAsiaTheme="minorHAns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EF76499"/>
    <w:multiLevelType w:val="hybridMultilevel"/>
    <w:tmpl w:val="0E5C250E"/>
    <w:lvl w:ilvl="0" w:tplc="B880835E">
      <w:numFmt w:val="bullet"/>
      <w:lvlText w:val="-"/>
      <w:lvlJc w:val="left"/>
      <w:pPr>
        <w:ind w:left="644" w:hanging="360"/>
      </w:pPr>
      <w:rPr>
        <w:rFonts w:ascii="Garamond" w:eastAsia="MS Mincho" w:hAnsi="Garamond" w:cstheme="majorBidi" w:hint="default"/>
        <w:color w:val="00000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64475255"/>
    <w:multiLevelType w:val="hybridMultilevel"/>
    <w:tmpl w:val="37DEA01C"/>
    <w:lvl w:ilvl="0" w:tplc="FD10E596">
      <w:start w:val="1"/>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5724AC"/>
    <w:multiLevelType w:val="hybridMultilevel"/>
    <w:tmpl w:val="1DEC5BD2"/>
    <w:lvl w:ilvl="0" w:tplc="6B4E2A7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ED0F35"/>
    <w:multiLevelType w:val="hybridMultilevel"/>
    <w:tmpl w:val="4F746EB4"/>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15:restartNumberingAfterBreak="0">
    <w:nsid w:val="69D26BC3"/>
    <w:multiLevelType w:val="multilevel"/>
    <w:tmpl w:val="19309416"/>
    <w:lvl w:ilvl="0">
      <w:start w:val="1"/>
      <w:numFmt w:val="bullet"/>
      <w:lvlText w:val="•"/>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726ABE"/>
    <w:multiLevelType w:val="hybridMultilevel"/>
    <w:tmpl w:val="B3346A48"/>
    <w:lvl w:ilvl="0" w:tplc="68FE4AD0">
      <w:start w:val="26"/>
      <w:numFmt w:val="bullet"/>
      <w:lvlText w:val="-"/>
      <w:lvlJc w:val="left"/>
      <w:pPr>
        <w:ind w:left="720" w:hanging="360"/>
      </w:pPr>
      <w:rPr>
        <w:rFonts w:ascii="Aptos" w:eastAsia="Times New Roman" w:hAnsi="Apto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15:restartNumberingAfterBreak="0">
    <w:nsid w:val="6DB931A9"/>
    <w:multiLevelType w:val="hybridMultilevel"/>
    <w:tmpl w:val="A7528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F6553D"/>
    <w:multiLevelType w:val="multilevel"/>
    <w:tmpl w:val="B00E8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0C1DFE"/>
    <w:multiLevelType w:val="hybridMultilevel"/>
    <w:tmpl w:val="7A2C7F0C"/>
    <w:lvl w:ilvl="0" w:tplc="BA943AC8">
      <w:start w:val="2"/>
      <w:numFmt w:val="bullet"/>
      <w:lvlText w:val="­"/>
      <w:lvlJc w:val="left"/>
      <w:pPr>
        <w:ind w:left="360" w:hanging="360"/>
      </w:pPr>
      <w:rPr>
        <w:rFonts w:ascii="Calibri" w:eastAsiaTheme="minorHAns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B122E0D"/>
    <w:multiLevelType w:val="multilevel"/>
    <w:tmpl w:val="CB0074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1B481E"/>
    <w:multiLevelType w:val="hybridMultilevel"/>
    <w:tmpl w:val="B346FA0C"/>
    <w:lvl w:ilvl="0" w:tplc="68FE4AD0">
      <w:start w:val="26"/>
      <w:numFmt w:val="bullet"/>
      <w:lvlText w:val="-"/>
      <w:lvlJc w:val="left"/>
      <w:pPr>
        <w:ind w:left="360" w:hanging="360"/>
      </w:pPr>
      <w:rPr>
        <w:rFonts w:ascii="Aptos" w:eastAsia="Times New Roman" w:hAnsi="Apto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1"/>
  </w:num>
  <w:num w:numId="2">
    <w:abstractNumId w:val="15"/>
  </w:num>
  <w:num w:numId="3">
    <w:abstractNumId w:val="16"/>
  </w:num>
  <w:num w:numId="4">
    <w:abstractNumId w:val="13"/>
  </w:num>
  <w:num w:numId="5">
    <w:abstractNumId w:val="1"/>
  </w:num>
  <w:num w:numId="6">
    <w:abstractNumId w:val="30"/>
  </w:num>
  <w:num w:numId="7">
    <w:abstractNumId w:val="25"/>
  </w:num>
  <w:num w:numId="8">
    <w:abstractNumId w:val="4"/>
  </w:num>
  <w:num w:numId="9">
    <w:abstractNumId w:val="9"/>
  </w:num>
  <w:num w:numId="10">
    <w:abstractNumId w:val="5"/>
  </w:num>
  <w:num w:numId="11">
    <w:abstractNumId w:val="32"/>
  </w:num>
  <w:num w:numId="12">
    <w:abstractNumId w:val="33"/>
  </w:num>
  <w:num w:numId="13">
    <w:abstractNumId w:val="22"/>
  </w:num>
  <w:num w:numId="14">
    <w:abstractNumId w:val="31"/>
  </w:num>
  <w:num w:numId="15">
    <w:abstractNumId w:val="21"/>
  </w:num>
  <w:num w:numId="16">
    <w:abstractNumId w:val="29"/>
  </w:num>
  <w:num w:numId="17">
    <w:abstractNumId w:val="19"/>
  </w:num>
  <w:num w:numId="18">
    <w:abstractNumId w:val="10"/>
    <w:lvlOverride w:ilvl="0">
      <w:startOverride w:val="1"/>
    </w:lvlOverride>
  </w:num>
  <w:num w:numId="19">
    <w:abstractNumId w:val="17"/>
  </w:num>
  <w:num w:numId="20">
    <w:abstractNumId w:val="6"/>
  </w:num>
  <w:num w:numId="21">
    <w:abstractNumId w:val="14"/>
  </w:num>
  <w:num w:numId="22">
    <w:abstractNumId w:val="12"/>
  </w:num>
  <w:num w:numId="23">
    <w:abstractNumId w:val="28"/>
  </w:num>
  <w:num w:numId="24">
    <w:abstractNumId w:val="18"/>
  </w:num>
  <w:num w:numId="25">
    <w:abstractNumId w:val="2"/>
  </w:num>
  <w:num w:numId="26">
    <w:abstractNumId w:val="0"/>
  </w:num>
  <w:num w:numId="27">
    <w:abstractNumId w:val="3"/>
  </w:num>
  <w:num w:numId="28">
    <w:abstractNumId w:val="7"/>
  </w:num>
  <w:num w:numId="29">
    <w:abstractNumId w:val="8"/>
  </w:num>
  <w:num w:numId="30">
    <w:abstractNumId w:val="26"/>
  </w:num>
  <w:num w:numId="31">
    <w:abstractNumId w:val="20"/>
  </w:num>
  <w:num w:numId="32">
    <w:abstractNumId w:val="27"/>
  </w:num>
  <w:num w:numId="33">
    <w:abstractNumId w:val="24"/>
  </w:num>
  <w:num w:numId="34">
    <w:abstractNumId w:val="10"/>
  </w:num>
  <w:num w:numId="35">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hideGrammaticalErrors/>
  <w:defaultTabStop w:val="720"/>
  <w:hyphenationZone w:val="283"/>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F29"/>
    <w:rsid w:val="000005C5"/>
    <w:rsid w:val="000039D7"/>
    <w:rsid w:val="000043C2"/>
    <w:rsid w:val="00005DE6"/>
    <w:rsid w:val="00006816"/>
    <w:rsid w:val="00006B7D"/>
    <w:rsid w:val="00007D0A"/>
    <w:rsid w:val="00010817"/>
    <w:rsid w:val="00010850"/>
    <w:rsid w:val="00010B95"/>
    <w:rsid w:val="00012A09"/>
    <w:rsid w:val="00012D02"/>
    <w:rsid w:val="00013265"/>
    <w:rsid w:val="000153ED"/>
    <w:rsid w:val="00016500"/>
    <w:rsid w:val="000165C0"/>
    <w:rsid w:val="00017636"/>
    <w:rsid w:val="0002338C"/>
    <w:rsid w:val="00025DAE"/>
    <w:rsid w:val="0003100F"/>
    <w:rsid w:val="000366E0"/>
    <w:rsid w:val="00037394"/>
    <w:rsid w:val="00037B08"/>
    <w:rsid w:val="00041FA5"/>
    <w:rsid w:val="00043DE4"/>
    <w:rsid w:val="000472AB"/>
    <w:rsid w:val="00047E26"/>
    <w:rsid w:val="00051002"/>
    <w:rsid w:val="00053E5A"/>
    <w:rsid w:val="0005472D"/>
    <w:rsid w:val="000549C5"/>
    <w:rsid w:val="00054E0F"/>
    <w:rsid w:val="00054EAA"/>
    <w:rsid w:val="000554C8"/>
    <w:rsid w:val="000557A2"/>
    <w:rsid w:val="000567F5"/>
    <w:rsid w:val="00056F4E"/>
    <w:rsid w:val="000575F3"/>
    <w:rsid w:val="00057B4C"/>
    <w:rsid w:val="0006027E"/>
    <w:rsid w:val="0006045B"/>
    <w:rsid w:val="00060ADC"/>
    <w:rsid w:val="000615BF"/>
    <w:rsid w:val="000618A2"/>
    <w:rsid w:val="0006212A"/>
    <w:rsid w:val="00067221"/>
    <w:rsid w:val="00067733"/>
    <w:rsid w:val="000704A0"/>
    <w:rsid w:val="00070A2C"/>
    <w:rsid w:val="00070B73"/>
    <w:rsid w:val="00070D08"/>
    <w:rsid w:val="0007220D"/>
    <w:rsid w:val="00074158"/>
    <w:rsid w:val="00074316"/>
    <w:rsid w:val="0007435E"/>
    <w:rsid w:val="00075A09"/>
    <w:rsid w:val="00075FBF"/>
    <w:rsid w:val="0007688B"/>
    <w:rsid w:val="00076A62"/>
    <w:rsid w:val="00080147"/>
    <w:rsid w:val="00082722"/>
    <w:rsid w:val="00082F8D"/>
    <w:rsid w:val="00084E04"/>
    <w:rsid w:val="0008778D"/>
    <w:rsid w:val="00091916"/>
    <w:rsid w:val="00091BA3"/>
    <w:rsid w:val="00094DCA"/>
    <w:rsid w:val="000956A7"/>
    <w:rsid w:val="000963E0"/>
    <w:rsid w:val="000A1F29"/>
    <w:rsid w:val="000A2B7F"/>
    <w:rsid w:val="000A5B69"/>
    <w:rsid w:val="000A5EB4"/>
    <w:rsid w:val="000A777C"/>
    <w:rsid w:val="000B1CF4"/>
    <w:rsid w:val="000B4448"/>
    <w:rsid w:val="000B4B0B"/>
    <w:rsid w:val="000B6C46"/>
    <w:rsid w:val="000C072F"/>
    <w:rsid w:val="000C11D7"/>
    <w:rsid w:val="000C29FB"/>
    <w:rsid w:val="000C3347"/>
    <w:rsid w:val="000C3D30"/>
    <w:rsid w:val="000C40BD"/>
    <w:rsid w:val="000C56D3"/>
    <w:rsid w:val="000C6A1C"/>
    <w:rsid w:val="000C6C13"/>
    <w:rsid w:val="000C745C"/>
    <w:rsid w:val="000C757F"/>
    <w:rsid w:val="000D2AB0"/>
    <w:rsid w:val="000D4D6E"/>
    <w:rsid w:val="000E01F0"/>
    <w:rsid w:val="000E1569"/>
    <w:rsid w:val="000E1EF6"/>
    <w:rsid w:val="000E3629"/>
    <w:rsid w:val="000E3BAA"/>
    <w:rsid w:val="000E4A55"/>
    <w:rsid w:val="000E5622"/>
    <w:rsid w:val="000E5904"/>
    <w:rsid w:val="000E5AFA"/>
    <w:rsid w:val="000E600F"/>
    <w:rsid w:val="000F1F06"/>
    <w:rsid w:val="000F2C15"/>
    <w:rsid w:val="000F3839"/>
    <w:rsid w:val="000F4379"/>
    <w:rsid w:val="000F48A7"/>
    <w:rsid w:val="000F551F"/>
    <w:rsid w:val="001007CF"/>
    <w:rsid w:val="00100E1F"/>
    <w:rsid w:val="001017D5"/>
    <w:rsid w:val="00101B31"/>
    <w:rsid w:val="00101B8B"/>
    <w:rsid w:val="00103C59"/>
    <w:rsid w:val="00105507"/>
    <w:rsid w:val="00106319"/>
    <w:rsid w:val="0010715F"/>
    <w:rsid w:val="00111343"/>
    <w:rsid w:val="00113132"/>
    <w:rsid w:val="0011403B"/>
    <w:rsid w:val="001166B2"/>
    <w:rsid w:val="00121E6D"/>
    <w:rsid w:val="00122234"/>
    <w:rsid w:val="001234EB"/>
    <w:rsid w:val="00123A9D"/>
    <w:rsid w:val="001246DA"/>
    <w:rsid w:val="001262C9"/>
    <w:rsid w:val="0012642E"/>
    <w:rsid w:val="00127358"/>
    <w:rsid w:val="00130354"/>
    <w:rsid w:val="00130B46"/>
    <w:rsid w:val="001312E3"/>
    <w:rsid w:val="00131C35"/>
    <w:rsid w:val="001335E7"/>
    <w:rsid w:val="001339A1"/>
    <w:rsid w:val="00133E49"/>
    <w:rsid w:val="00133F3D"/>
    <w:rsid w:val="00134395"/>
    <w:rsid w:val="001345AA"/>
    <w:rsid w:val="0013502B"/>
    <w:rsid w:val="001355C7"/>
    <w:rsid w:val="001371F3"/>
    <w:rsid w:val="001374B3"/>
    <w:rsid w:val="00140D69"/>
    <w:rsid w:val="00142E46"/>
    <w:rsid w:val="001431AF"/>
    <w:rsid w:val="00143349"/>
    <w:rsid w:val="00145010"/>
    <w:rsid w:val="0014535A"/>
    <w:rsid w:val="0015219F"/>
    <w:rsid w:val="001522EE"/>
    <w:rsid w:val="00152EE7"/>
    <w:rsid w:val="00153D41"/>
    <w:rsid w:val="0015418A"/>
    <w:rsid w:val="00154637"/>
    <w:rsid w:val="001576EA"/>
    <w:rsid w:val="00157FC3"/>
    <w:rsid w:val="0016083F"/>
    <w:rsid w:val="00160F2C"/>
    <w:rsid w:val="001613F0"/>
    <w:rsid w:val="00161588"/>
    <w:rsid w:val="001626D5"/>
    <w:rsid w:val="001634B0"/>
    <w:rsid w:val="00163EC3"/>
    <w:rsid w:val="00166584"/>
    <w:rsid w:val="00166814"/>
    <w:rsid w:val="00166D1F"/>
    <w:rsid w:val="00167215"/>
    <w:rsid w:val="0016721B"/>
    <w:rsid w:val="0016728C"/>
    <w:rsid w:val="00167728"/>
    <w:rsid w:val="00170A34"/>
    <w:rsid w:val="00170ABA"/>
    <w:rsid w:val="00170E95"/>
    <w:rsid w:val="001719BB"/>
    <w:rsid w:val="00172B17"/>
    <w:rsid w:val="00175B3F"/>
    <w:rsid w:val="00177EB0"/>
    <w:rsid w:val="001823AA"/>
    <w:rsid w:val="00183BAD"/>
    <w:rsid w:val="00184152"/>
    <w:rsid w:val="00184345"/>
    <w:rsid w:val="00190E14"/>
    <w:rsid w:val="0019166B"/>
    <w:rsid w:val="00191ACD"/>
    <w:rsid w:val="00194609"/>
    <w:rsid w:val="00194E48"/>
    <w:rsid w:val="00195343"/>
    <w:rsid w:val="001971DD"/>
    <w:rsid w:val="001A2BD6"/>
    <w:rsid w:val="001A417E"/>
    <w:rsid w:val="001A4503"/>
    <w:rsid w:val="001A4D30"/>
    <w:rsid w:val="001A7D8D"/>
    <w:rsid w:val="001B0386"/>
    <w:rsid w:val="001B0541"/>
    <w:rsid w:val="001B0868"/>
    <w:rsid w:val="001B11E2"/>
    <w:rsid w:val="001B2DA2"/>
    <w:rsid w:val="001B3A0B"/>
    <w:rsid w:val="001B4511"/>
    <w:rsid w:val="001B5C72"/>
    <w:rsid w:val="001B5EC3"/>
    <w:rsid w:val="001B6895"/>
    <w:rsid w:val="001C154F"/>
    <w:rsid w:val="001C1606"/>
    <w:rsid w:val="001C21B1"/>
    <w:rsid w:val="001C24DD"/>
    <w:rsid w:val="001C3920"/>
    <w:rsid w:val="001C3D28"/>
    <w:rsid w:val="001C5827"/>
    <w:rsid w:val="001C6AB9"/>
    <w:rsid w:val="001C7772"/>
    <w:rsid w:val="001C7C8F"/>
    <w:rsid w:val="001D07CA"/>
    <w:rsid w:val="001D0C79"/>
    <w:rsid w:val="001D0F78"/>
    <w:rsid w:val="001D0F9E"/>
    <w:rsid w:val="001D3FFF"/>
    <w:rsid w:val="001D4AB2"/>
    <w:rsid w:val="001E00C3"/>
    <w:rsid w:val="001E0372"/>
    <w:rsid w:val="001E0B27"/>
    <w:rsid w:val="001E17F0"/>
    <w:rsid w:val="001E1D1E"/>
    <w:rsid w:val="001E4C6F"/>
    <w:rsid w:val="001E6010"/>
    <w:rsid w:val="001E62AA"/>
    <w:rsid w:val="001E67CD"/>
    <w:rsid w:val="001E67EC"/>
    <w:rsid w:val="001E6F55"/>
    <w:rsid w:val="001E7D71"/>
    <w:rsid w:val="001F1A24"/>
    <w:rsid w:val="001F31B9"/>
    <w:rsid w:val="001F5143"/>
    <w:rsid w:val="00202C10"/>
    <w:rsid w:val="00203EC2"/>
    <w:rsid w:val="002044C3"/>
    <w:rsid w:val="00204DB8"/>
    <w:rsid w:val="00204FE4"/>
    <w:rsid w:val="002072A3"/>
    <w:rsid w:val="00207407"/>
    <w:rsid w:val="00207B56"/>
    <w:rsid w:val="00211560"/>
    <w:rsid w:val="0021179F"/>
    <w:rsid w:val="00211A47"/>
    <w:rsid w:val="002128A6"/>
    <w:rsid w:val="002128C4"/>
    <w:rsid w:val="00213DC9"/>
    <w:rsid w:val="00216E91"/>
    <w:rsid w:val="0021729B"/>
    <w:rsid w:val="00220BEF"/>
    <w:rsid w:val="00221F1F"/>
    <w:rsid w:val="00222110"/>
    <w:rsid w:val="002232FA"/>
    <w:rsid w:val="002243EA"/>
    <w:rsid w:val="00224616"/>
    <w:rsid w:val="002247CF"/>
    <w:rsid w:val="00224FC7"/>
    <w:rsid w:val="0022662A"/>
    <w:rsid w:val="00227466"/>
    <w:rsid w:val="00227F5F"/>
    <w:rsid w:val="00231F00"/>
    <w:rsid w:val="00234368"/>
    <w:rsid w:val="00235937"/>
    <w:rsid w:val="00236908"/>
    <w:rsid w:val="00237DC6"/>
    <w:rsid w:val="00240064"/>
    <w:rsid w:val="002409B3"/>
    <w:rsid w:val="00240F43"/>
    <w:rsid w:val="0024117E"/>
    <w:rsid w:val="00241256"/>
    <w:rsid w:val="002412E9"/>
    <w:rsid w:val="00241F33"/>
    <w:rsid w:val="00243204"/>
    <w:rsid w:val="00244051"/>
    <w:rsid w:val="00244B67"/>
    <w:rsid w:val="00245093"/>
    <w:rsid w:val="0024542A"/>
    <w:rsid w:val="002476C9"/>
    <w:rsid w:val="00250BA9"/>
    <w:rsid w:val="00252222"/>
    <w:rsid w:val="002537AA"/>
    <w:rsid w:val="0025426C"/>
    <w:rsid w:val="00254AE4"/>
    <w:rsid w:val="0025553A"/>
    <w:rsid w:val="00257B20"/>
    <w:rsid w:val="002624FF"/>
    <w:rsid w:val="00263598"/>
    <w:rsid w:val="002651E7"/>
    <w:rsid w:val="0026664C"/>
    <w:rsid w:val="002669BE"/>
    <w:rsid w:val="00266A73"/>
    <w:rsid w:val="00273A0F"/>
    <w:rsid w:val="0027677B"/>
    <w:rsid w:val="00276F96"/>
    <w:rsid w:val="00277A2F"/>
    <w:rsid w:val="00277BBC"/>
    <w:rsid w:val="00277E05"/>
    <w:rsid w:val="002814EE"/>
    <w:rsid w:val="00281665"/>
    <w:rsid w:val="0028349D"/>
    <w:rsid w:val="002836F5"/>
    <w:rsid w:val="00283C07"/>
    <w:rsid w:val="00283DE7"/>
    <w:rsid w:val="002845C6"/>
    <w:rsid w:val="002851C8"/>
    <w:rsid w:val="0028782F"/>
    <w:rsid w:val="00290E47"/>
    <w:rsid w:val="0029160C"/>
    <w:rsid w:val="00292095"/>
    <w:rsid w:val="0029255A"/>
    <w:rsid w:val="00292FDE"/>
    <w:rsid w:val="002930A6"/>
    <w:rsid w:val="00294B95"/>
    <w:rsid w:val="0029788D"/>
    <w:rsid w:val="002A095F"/>
    <w:rsid w:val="002A09C0"/>
    <w:rsid w:val="002A0DAF"/>
    <w:rsid w:val="002A2E70"/>
    <w:rsid w:val="002A47FF"/>
    <w:rsid w:val="002A55B3"/>
    <w:rsid w:val="002A5DDF"/>
    <w:rsid w:val="002A6F67"/>
    <w:rsid w:val="002A7459"/>
    <w:rsid w:val="002A7B1F"/>
    <w:rsid w:val="002B04E3"/>
    <w:rsid w:val="002B0929"/>
    <w:rsid w:val="002B1E3E"/>
    <w:rsid w:val="002B6464"/>
    <w:rsid w:val="002C17B5"/>
    <w:rsid w:val="002C6785"/>
    <w:rsid w:val="002C785B"/>
    <w:rsid w:val="002D3706"/>
    <w:rsid w:val="002D5C25"/>
    <w:rsid w:val="002D697A"/>
    <w:rsid w:val="002D7755"/>
    <w:rsid w:val="002E2466"/>
    <w:rsid w:val="002E371B"/>
    <w:rsid w:val="002E69ED"/>
    <w:rsid w:val="002F03DB"/>
    <w:rsid w:val="002F3B53"/>
    <w:rsid w:val="002F5F82"/>
    <w:rsid w:val="002F73D2"/>
    <w:rsid w:val="002F7E1B"/>
    <w:rsid w:val="00300542"/>
    <w:rsid w:val="00300673"/>
    <w:rsid w:val="0030069B"/>
    <w:rsid w:val="003009E2"/>
    <w:rsid w:val="003019A9"/>
    <w:rsid w:val="0030380C"/>
    <w:rsid w:val="003043AB"/>
    <w:rsid w:val="0030520F"/>
    <w:rsid w:val="00305C9E"/>
    <w:rsid w:val="00306070"/>
    <w:rsid w:val="00307031"/>
    <w:rsid w:val="00307971"/>
    <w:rsid w:val="00310118"/>
    <w:rsid w:val="003116DD"/>
    <w:rsid w:val="00312239"/>
    <w:rsid w:val="00314950"/>
    <w:rsid w:val="00315255"/>
    <w:rsid w:val="00315357"/>
    <w:rsid w:val="00315B2B"/>
    <w:rsid w:val="00317E74"/>
    <w:rsid w:val="00320CB3"/>
    <w:rsid w:val="0032211D"/>
    <w:rsid w:val="00322FFC"/>
    <w:rsid w:val="003234A0"/>
    <w:rsid w:val="003236B1"/>
    <w:rsid w:val="00325961"/>
    <w:rsid w:val="0032656C"/>
    <w:rsid w:val="00326DFB"/>
    <w:rsid w:val="003270FD"/>
    <w:rsid w:val="00327A42"/>
    <w:rsid w:val="00327B5D"/>
    <w:rsid w:val="003302D8"/>
    <w:rsid w:val="00331539"/>
    <w:rsid w:val="0033166A"/>
    <w:rsid w:val="00332120"/>
    <w:rsid w:val="00332155"/>
    <w:rsid w:val="00332842"/>
    <w:rsid w:val="003331A7"/>
    <w:rsid w:val="003339C2"/>
    <w:rsid w:val="003345E6"/>
    <w:rsid w:val="003351DE"/>
    <w:rsid w:val="00335397"/>
    <w:rsid w:val="00335B18"/>
    <w:rsid w:val="003371C9"/>
    <w:rsid w:val="003373B3"/>
    <w:rsid w:val="003411E9"/>
    <w:rsid w:val="0034285E"/>
    <w:rsid w:val="00342F71"/>
    <w:rsid w:val="00343426"/>
    <w:rsid w:val="0034375D"/>
    <w:rsid w:val="00343D33"/>
    <w:rsid w:val="00343D65"/>
    <w:rsid w:val="00344058"/>
    <w:rsid w:val="00344AA7"/>
    <w:rsid w:val="003464F5"/>
    <w:rsid w:val="003475B8"/>
    <w:rsid w:val="00347982"/>
    <w:rsid w:val="00347BDB"/>
    <w:rsid w:val="00351383"/>
    <w:rsid w:val="0035254F"/>
    <w:rsid w:val="00353833"/>
    <w:rsid w:val="003538FA"/>
    <w:rsid w:val="00354403"/>
    <w:rsid w:val="00354FD2"/>
    <w:rsid w:val="00355359"/>
    <w:rsid w:val="00357806"/>
    <w:rsid w:val="003624FA"/>
    <w:rsid w:val="0036433C"/>
    <w:rsid w:val="003650D0"/>
    <w:rsid w:val="003654EA"/>
    <w:rsid w:val="00366A08"/>
    <w:rsid w:val="0036721B"/>
    <w:rsid w:val="003674DD"/>
    <w:rsid w:val="00367A83"/>
    <w:rsid w:val="00367CD0"/>
    <w:rsid w:val="00371E21"/>
    <w:rsid w:val="00371FC8"/>
    <w:rsid w:val="003726DA"/>
    <w:rsid w:val="003734E6"/>
    <w:rsid w:val="00374B43"/>
    <w:rsid w:val="00375B20"/>
    <w:rsid w:val="003772D7"/>
    <w:rsid w:val="0038082A"/>
    <w:rsid w:val="003808EA"/>
    <w:rsid w:val="0038104F"/>
    <w:rsid w:val="00384D5C"/>
    <w:rsid w:val="00386DF5"/>
    <w:rsid w:val="00386FF6"/>
    <w:rsid w:val="00391E80"/>
    <w:rsid w:val="00393060"/>
    <w:rsid w:val="00393F5A"/>
    <w:rsid w:val="0039495C"/>
    <w:rsid w:val="003960AC"/>
    <w:rsid w:val="003A0375"/>
    <w:rsid w:val="003A16F3"/>
    <w:rsid w:val="003A35FB"/>
    <w:rsid w:val="003A43CC"/>
    <w:rsid w:val="003A5034"/>
    <w:rsid w:val="003A62A9"/>
    <w:rsid w:val="003A6D4E"/>
    <w:rsid w:val="003A7240"/>
    <w:rsid w:val="003B118D"/>
    <w:rsid w:val="003B1212"/>
    <w:rsid w:val="003B4704"/>
    <w:rsid w:val="003B501C"/>
    <w:rsid w:val="003C0BE1"/>
    <w:rsid w:val="003C1BB0"/>
    <w:rsid w:val="003C1FC9"/>
    <w:rsid w:val="003C6D92"/>
    <w:rsid w:val="003C786F"/>
    <w:rsid w:val="003D1E88"/>
    <w:rsid w:val="003D47DF"/>
    <w:rsid w:val="003D73F7"/>
    <w:rsid w:val="003D7F9E"/>
    <w:rsid w:val="003E038F"/>
    <w:rsid w:val="003E09D7"/>
    <w:rsid w:val="003E0CB5"/>
    <w:rsid w:val="003E223C"/>
    <w:rsid w:val="003E6D14"/>
    <w:rsid w:val="003F22B1"/>
    <w:rsid w:val="003F4BF3"/>
    <w:rsid w:val="003F5199"/>
    <w:rsid w:val="003F6049"/>
    <w:rsid w:val="003F755B"/>
    <w:rsid w:val="003F7BB6"/>
    <w:rsid w:val="004021CB"/>
    <w:rsid w:val="0040389C"/>
    <w:rsid w:val="004045C4"/>
    <w:rsid w:val="00404761"/>
    <w:rsid w:val="00404827"/>
    <w:rsid w:val="00404F2A"/>
    <w:rsid w:val="00406E17"/>
    <w:rsid w:val="00407D60"/>
    <w:rsid w:val="00407F50"/>
    <w:rsid w:val="00410342"/>
    <w:rsid w:val="0041288F"/>
    <w:rsid w:val="00412E2F"/>
    <w:rsid w:val="004136D9"/>
    <w:rsid w:val="004152DA"/>
    <w:rsid w:val="00417092"/>
    <w:rsid w:val="0042289A"/>
    <w:rsid w:val="00422C6F"/>
    <w:rsid w:val="004241D0"/>
    <w:rsid w:val="0042487D"/>
    <w:rsid w:val="00424DDE"/>
    <w:rsid w:val="0042624B"/>
    <w:rsid w:val="00427C8E"/>
    <w:rsid w:val="00431CB0"/>
    <w:rsid w:val="00432147"/>
    <w:rsid w:val="0043234B"/>
    <w:rsid w:val="004325E6"/>
    <w:rsid w:val="00432B15"/>
    <w:rsid w:val="004333AA"/>
    <w:rsid w:val="004333DC"/>
    <w:rsid w:val="0043424E"/>
    <w:rsid w:val="00434B43"/>
    <w:rsid w:val="0043614B"/>
    <w:rsid w:val="0044029C"/>
    <w:rsid w:val="00440795"/>
    <w:rsid w:val="0044191B"/>
    <w:rsid w:val="004431A6"/>
    <w:rsid w:val="00443BF1"/>
    <w:rsid w:val="004449BE"/>
    <w:rsid w:val="00446382"/>
    <w:rsid w:val="0044777A"/>
    <w:rsid w:val="00447893"/>
    <w:rsid w:val="00447B60"/>
    <w:rsid w:val="00447FDC"/>
    <w:rsid w:val="00450481"/>
    <w:rsid w:val="00450BD2"/>
    <w:rsid w:val="004510F1"/>
    <w:rsid w:val="00453646"/>
    <w:rsid w:val="00454EDB"/>
    <w:rsid w:val="0046031E"/>
    <w:rsid w:val="00460B58"/>
    <w:rsid w:val="00460E77"/>
    <w:rsid w:val="0046138C"/>
    <w:rsid w:val="00462114"/>
    <w:rsid w:val="00463DE6"/>
    <w:rsid w:val="00465037"/>
    <w:rsid w:val="004652BA"/>
    <w:rsid w:val="00470CB4"/>
    <w:rsid w:val="00471946"/>
    <w:rsid w:val="00472C57"/>
    <w:rsid w:val="00472EFD"/>
    <w:rsid w:val="00473399"/>
    <w:rsid w:val="004742E7"/>
    <w:rsid w:val="004744AA"/>
    <w:rsid w:val="004745AC"/>
    <w:rsid w:val="004758A8"/>
    <w:rsid w:val="00475AAF"/>
    <w:rsid w:val="0047601A"/>
    <w:rsid w:val="0047645C"/>
    <w:rsid w:val="00476737"/>
    <w:rsid w:val="004769BE"/>
    <w:rsid w:val="00477985"/>
    <w:rsid w:val="004804E7"/>
    <w:rsid w:val="004817F9"/>
    <w:rsid w:val="004819C8"/>
    <w:rsid w:val="004830CC"/>
    <w:rsid w:val="004854ED"/>
    <w:rsid w:val="00486FA7"/>
    <w:rsid w:val="004874A0"/>
    <w:rsid w:val="00491B5C"/>
    <w:rsid w:val="004929AB"/>
    <w:rsid w:val="00493D12"/>
    <w:rsid w:val="0049467E"/>
    <w:rsid w:val="004962A4"/>
    <w:rsid w:val="00496A77"/>
    <w:rsid w:val="00497416"/>
    <w:rsid w:val="004A03A0"/>
    <w:rsid w:val="004A3A00"/>
    <w:rsid w:val="004A3C38"/>
    <w:rsid w:val="004A5A59"/>
    <w:rsid w:val="004A6130"/>
    <w:rsid w:val="004B0381"/>
    <w:rsid w:val="004B03BF"/>
    <w:rsid w:val="004B0E57"/>
    <w:rsid w:val="004B1E6F"/>
    <w:rsid w:val="004B3899"/>
    <w:rsid w:val="004B38FB"/>
    <w:rsid w:val="004B59D4"/>
    <w:rsid w:val="004B60C4"/>
    <w:rsid w:val="004B6761"/>
    <w:rsid w:val="004B77A3"/>
    <w:rsid w:val="004C03C3"/>
    <w:rsid w:val="004C0653"/>
    <w:rsid w:val="004C14C6"/>
    <w:rsid w:val="004C3450"/>
    <w:rsid w:val="004C65F2"/>
    <w:rsid w:val="004C7493"/>
    <w:rsid w:val="004C7CFA"/>
    <w:rsid w:val="004C7E34"/>
    <w:rsid w:val="004C7EB6"/>
    <w:rsid w:val="004D1BF6"/>
    <w:rsid w:val="004D20B2"/>
    <w:rsid w:val="004D29A7"/>
    <w:rsid w:val="004D2F1A"/>
    <w:rsid w:val="004D353B"/>
    <w:rsid w:val="004D3B3D"/>
    <w:rsid w:val="004D3DEC"/>
    <w:rsid w:val="004D6947"/>
    <w:rsid w:val="004D6D07"/>
    <w:rsid w:val="004E0070"/>
    <w:rsid w:val="004E13A0"/>
    <w:rsid w:val="004E15CD"/>
    <w:rsid w:val="004E34DD"/>
    <w:rsid w:val="004E479D"/>
    <w:rsid w:val="004E6E2E"/>
    <w:rsid w:val="004F00F6"/>
    <w:rsid w:val="004F0B63"/>
    <w:rsid w:val="004F155C"/>
    <w:rsid w:val="004F2FC0"/>
    <w:rsid w:val="004F45C4"/>
    <w:rsid w:val="004F4BEA"/>
    <w:rsid w:val="004F6539"/>
    <w:rsid w:val="004F77BC"/>
    <w:rsid w:val="004F7C3E"/>
    <w:rsid w:val="005002BE"/>
    <w:rsid w:val="00500D3E"/>
    <w:rsid w:val="00500FBF"/>
    <w:rsid w:val="0050116F"/>
    <w:rsid w:val="005027C2"/>
    <w:rsid w:val="00502EA8"/>
    <w:rsid w:val="00504084"/>
    <w:rsid w:val="0050593E"/>
    <w:rsid w:val="00510CE7"/>
    <w:rsid w:val="00513624"/>
    <w:rsid w:val="00513A80"/>
    <w:rsid w:val="00514289"/>
    <w:rsid w:val="005164DB"/>
    <w:rsid w:val="00516DC7"/>
    <w:rsid w:val="00516F92"/>
    <w:rsid w:val="00517D70"/>
    <w:rsid w:val="00520010"/>
    <w:rsid w:val="005204DF"/>
    <w:rsid w:val="00520549"/>
    <w:rsid w:val="005220A3"/>
    <w:rsid w:val="00522426"/>
    <w:rsid w:val="00522581"/>
    <w:rsid w:val="00522AEB"/>
    <w:rsid w:val="00523F34"/>
    <w:rsid w:val="00526613"/>
    <w:rsid w:val="005305FA"/>
    <w:rsid w:val="0053232E"/>
    <w:rsid w:val="005327CF"/>
    <w:rsid w:val="00533496"/>
    <w:rsid w:val="00533812"/>
    <w:rsid w:val="00534AB4"/>
    <w:rsid w:val="00541A1C"/>
    <w:rsid w:val="005424B0"/>
    <w:rsid w:val="005428C9"/>
    <w:rsid w:val="00543FD0"/>
    <w:rsid w:val="00545E42"/>
    <w:rsid w:val="00546157"/>
    <w:rsid w:val="00546F56"/>
    <w:rsid w:val="005473EA"/>
    <w:rsid w:val="00547B7C"/>
    <w:rsid w:val="00550B86"/>
    <w:rsid w:val="00550F83"/>
    <w:rsid w:val="00554154"/>
    <w:rsid w:val="00555E1E"/>
    <w:rsid w:val="00556FB8"/>
    <w:rsid w:val="00557000"/>
    <w:rsid w:val="00557054"/>
    <w:rsid w:val="005571D3"/>
    <w:rsid w:val="00557315"/>
    <w:rsid w:val="005577F8"/>
    <w:rsid w:val="00557C54"/>
    <w:rsid w:val="00560E70"/>
    <w:rsid w:val="00560F84"/>
    <w:rsid w:val="00562008"/>
    <w:rsid w:val="00562759"/>
    <w:rsid w:val="00562867"/>
    <w:rsid w:val="005632A7"/>
    <w:rsid w:val="00565E61"/>
    <w:rsid w:val="00566118"/>
    <w:rsid w:val="00566E15"/>
    <w:rsid w:val="00567184"/>
    <w:rsid w:val="00567821"/>
    <w:rsid w:val="005679FC"/>
    <w:rsid w:val="00570157"/>
    <w:rsid w:val="00570350"/>
    <w:rsid w:val="00570976"/>
    <w:rsid w:val="005711EB"/>
    <w:rsid w:val="00573BCA"/>
    <w:rsid w:val="005750E9"/>
    <w:rsid w:val="0057777F"/>
    <w:rsid w:val="00580224"/>
    <w:rsid w:val="00582130"/>
    <w:rsid w:val="00583B75"/>
    <w:rsid w:val="005845EA"/>
    <w:rsid w:val="005864A4"/>
    <w:rsid w:val="00590D34"/>
    <w:rsid w:val="00591867"/>
    <w:rsid w:val="00591A20"/>
    <w:rsid w:val="005924D3"/>
    <w:rsid w:val="00592C43"/>
    <w:rsid w:val="00596001"/>
    <w:rsid w:val="005968BC"/>
    <w:rsid w:val="00596B9D"/>
    <w:rsid w:val="0059795E"/>
    <w:rsid w:val="00597B7F"/>
    <w:rsid w:val="00597BB5"/>
    <w:rsid w:val="005A1CD7"/>
    <w:rsid w:val="005A2C00"/>
    <w:rsid w:val="005A318A"/>
    <w:rsid w:val="005A4905"/>
    <w:rsid w:val="005A56AF"/>
    <w:rsid w:val="005A684D"/>
    <w:rsid w:val="005A6D31"/>
    <w:rsid w:val="005A72E7"/>
    <w:rsid w:val="005B0287"/>
    <w:rsid w:val="005B1D8E"/>
    <w:rsid w:val="005B1E67"/>
    <w:rsid w:val="005B359B"/>
    <w:rsid w:val="005B4428"/>
    <w:rsid w:val="005B5FA6"/>
    <w:rsid w:val="005B663D"/>
    <w:rsid w:val="005B761D"/>
    <w:rsid w:val="005C084B"/>
    <w:rsid w:val="005C0E7D"/>
    <w:rsid w:val="005C25B4"/>
    <w:rsid w:val="005C4835"/>
    <w:rsid w:val="005D02FD"/>
    <w:rsid w:val="005D07D3"/>
    <w:rsid w:val="005D20D9"/>
    <w:rsid w:val="005D3245"/>
    <w:rsid w:val="005D350E"/>
    <w:rsid w:val="005D3F94"/>
    <w:rsid w:val="005D597D"/>
    <w:rsid w:val="005D60AF"/>
    <w:rsid w:val="005D6B8A"/>
    <w:rsid w:val="005D72D5"/>
    <w:rsid w:val="005E439B"/>
    <w:rsid w:val="005E45BC"/>
    <w:rsid w:val="005F21D0"/>
    <w:rsid w:val="0060006B"/>
    <w:rsid w:val="0060038E"/>
    <w:rsid w:val="006003CE"/>
    <w:rsid w:val="006014BC"/>
    <w:rsid w:val="00602AA1"/>
    <w:rsid w:val="00602FC2"/>
    <w:rsid w:val="00603ADC"/>
    <w:rsid w:val="0060512F"/>
    <w:rsid w:val="00607FB0"/>
    <w:rsid w:val="00610DAB"/>
    <w:rsid w:val="00613CC6"/>
    <w:rsid w:val="00617A40"/>
    <w:rsid w:val="006206A1"/>
    <w:rsid w:val="00622C02"/>
    <w:rsid w:val="00624A2E"/>
    <w:rsid w:val="006253BF"/>
    <w:rsid w:val="00625460"/>
    <w:rsid w:val="006255D1"/>
    <w:rsid w:val="00625DCE"/>
    <w:rsid w:val="0062694B"/>
    <w:rsid w:val="006273E2"/>
    <w:rsid w:val="00627653"/>
    <w:rsid w:val="00627A67"/>
    <w:rsid w:val="00627C9E"/>
    <w:rsid w:val="006304A7"/>
    <w:rsid w:val="00632755"/>
    <w:rsid w:val="00632E8D"/>
    <w:rsid w:val="006352CE"/>
    <w:rsid w:val="00640887"/>
    <w:rsid w:val="006412FD"/>
    <w:rsid w:val="00641D8B"/>
    <w:rsid w:val="00647078"/>
    <w:rsid w:val="00650374"/>
    <w:rsid w:val="0065324E"/>
    <w:rsid w:val="006535B5"/>
    <w:rsid w:val="0065363A"/>
    <w:rsid w:val="00654119"/>
    <w:rsid w:val="0065588E"/>
    <w:rsid w:val="00656B08"/>
    <w:rsid w:val="006575FF"/>
    <w:rsid w:val="006576B9"/>
    <w:rsid w:val="00657B99"/>
    <w:rsid w:val="00660F90"/>
    <w:rsid w:val="006627BC"/>
    <w:rsid w:val="00664CBB"/>
    <w:rsid w:val="00665E7C"/>
    <w:rsid w:val="006661F2"/>
    <w:rsid w:val="006666E8"/>
    <w:rsid w:val="00666E39"/>
    <w:rsid w:val="00670117"/>
    <w:rsid w:val="00670128"/>
    <w:rsid w:val="0067090F"/>
    <w:rsid w:val="00670E93"/>
    <w:rsid w:val="00675CB5"/>
    <w:rsid w:val="00676552"/>
    <w:rsid w:val="006815D8"/>
    <w:rsid w:val="006829EF"/>
    <w:rsid w:val="00682B8E"/>
    <w:rsid w:val="00682E1D"/>
    <w:rsid w:val="006871B3"/>
    <w:rsid w:val="00687565"/>
    <w:rsid w:val="00690235"/>
    <w:rsid w:val="006908D2"/>
    <w:rsid w:val="00690FAB"/>
    <w:rsid w:val="006938FA"/>
    <w:rsid w:val="00693FC4"/>
    <w:rsid w:val="00694419"/>
    <w:rsid w:val="00696399"/>
    <w:rsid w:val="00697A2C"/>
    <w:rsid w:val="006A008C"/>
    <w:rsid w:val="006A18B1"/>
    <w:rsid w:val="006A2D22"/>
    <w:rsid w:val="006A482B"/>
    <w:rsid w:val="006A48CE"/>
    <w:rsid w:val="006A5C11"/>
    <w:rsid w:val="006A6651"/>
    <w:rsid w:val="006A6A1C"/>
    <w:rsid w:val="006B06A1"/>
    <w:rsid w:val="006B1F6D"/>
    <w:rsid w:val="006B4532"/>
    <w:rsid w:val="006B534F"/>
    <w:rsid w:val="006B71E5"/>
    <w:rsid w:val="006B7E33"/>
    <w:rsid w:val="006C0F6F"/>
    <w:rsid w:val="006C27D7"/>
    <w:rsid w:val="006C3C29"/>
    <w:rsid w:val="006C44AB"/>
    <w:rsid w:val="006D0FF6"/>
    <w:rsid w:val="006D1D7E"/>
    <w:rsid w:val="006E0DFD"/>
    <w:rsid w:val="006E31AA"/>
    <w:rsid w:val="006E35F8"/>
    <w:rsid w:val="006E3DD4"/>
    <w:rsid w:val="006E52EB"/>
    <w:rsid w:val="006E5789"/>
    <w:rsid w:val="006E5CF8"/>
    <w:rsid w:val="006E6155"/>
    <w:rsid w:val="006E7D4C"/>
    <w:rsid w:val="006F18EB"/>
    <w:rsid w:val="006F23EC"/>
    <w:rsid w:val="006F2C2F"/>
    <w:rsid w:val="006F4DF8"/>
    <w:rsid w:val="006F6D0F"/>
    <w:rsid w:val="006F72C1"/>
    <w:rsid w:val="006F7F6A"/>
    <w:rsid w:val="007003BB"/>
    <w:rsid w:val="00701804"/>
    <w:rsid w:val="00705F29"/>
    <w:rsid w:val="00706894"/>
    <w:rsid w:val="00710B8C"/>
    <w:rsid w:val="00711D34"/>
    <w:rsid w:val="00713517"/>
    <w:rsid w:val="00714D1F"/>
    <w:rsid w:val="00714F3C"/>
    <w:rsid w:val="00715126"/>
    <w:rsid w:val="0071545A"/>
    <w:rsid w:val="00716264"/>
    <w:rsid w:val="007168C9"/>
    <w:rsid w:val="00717136"/>
    <w:rsid w:val="0071770D"/>
    <w:rsid w:val="00721255"/>
    <w:rsid w:val="00721B6F"/>
    <w:rsid w:val="00723A8E"/>
    <w:rsid w:val="00725AF5"/>
    <w:rsid w:val="007269A4"/>
    <w:rsid w:val="007277F5"/>
    <w:rsid w:val="00730305"/>
    <w:rsid w:val="00730994"/>
    <w:rsid w:val="0073172F"/>
    <w:rsid w:val="00731D8E"/>
    <w:rsid w:val="00732204"/>
    <w:rsid w:val="00734B35"/>
    <w:rsid w:val="00740032"/>
    <w:rsid w:val="00740408"/>
    <w:rsid w:val="007420DA"/>
    <w:rsid w:val="00742424"/>
    <w:rsid w:val="00742989"/>
    <w:rsid w:val="00742FB9"/>
    <w:rsid w:val="00743540"/>
    <w:rsid w:val="0074397E"/>
    <w:rsid w:val="00743985"/>
    <w:rsid w:val="00744195"/>
    <w:rsid w:val="00744AF4"/>
    <w:rsid w:val="0074567A"/>
    <w:rsid w:val="00750CD7"/>
    <w:rsid w:val="00752625"/>
    <w:rsid w:val="00753E10"/>
    <w:rsid w:val="00755103"/>
    <w:rsid w:val="00756784"/>
    <w:rsid w:val="00756C22"/>
    <w:rsid w:val="00756F2E"/>
    <w:rsid w:val="00757F6D"/>
    <w:rsid w:val="00762774"/>
    <w:rsid w:val="00764183"/>
    <w:rsid w:val="00765012"/>
    <w:rsid w:val="00765ABB"/>
    <w:rsid w:val="0076641D"/>
    <w:rsid w:val="0076681F"/>
    <w:rsid w:val="00767629"/>
    <w:rsid w:val="00767D56"/>
    <w:rsid w:val="00770458"/>
    <w:rsid w:val="007709D6"/>
    <w:rsid w:val="0077218C"/>
    <w:rsid w:val="007739CA"/>
    <w:rsid w:val="00776364"/>
    <w:rsid w:val="00780080"/>
    <w:rsid w:val="0078050B"/>
    <w:rsid w:val="00780FA8"/>
    <w:rsid w:val="00781F56"/>
    <w:rsid w:val="00785B30"/>
    <w:rsid w:val="00785EE6"/>
    <w:rsid w:val="00786AD6"/>
    <w:rsid w:val="00791370"/>
    <w:rsid w:val="007915AF"/>
    <w:rsid w:val="0079466A"/>
    <w:rsid w:val="00794AE2"/>
    <w:rsid w:val="00795894"/>
    <w:rsid w:val="0079695F"/>
    <w:rsid w:val="00796A76"/>
    <w:rsid w:val="0079741C"/>
    <w:rsid w:val="007A25B4"/>
    <w:rsid w:val="007A2C0F"/>
    <w:rsid w:val="007A345E"/>
    <w:rsid w:val="007A4380"/>
    <w:rsid w:val="007A43B9"/>
    <w:rsid w:val="007A4CCA"/>
    <w:rsid w:val="007A4EE0"/>
    <w:rsid w:val="007A5544"/>
    <w:rsid w:val="007A77A9"/>
    <w:rsid w:val="007A7F97"/>
    <w:rsid w:val="007B0845"/>
    <w:rsid w:val="007B0AA3"/>
    <w:rsid w:val="007B191E"/>
    <w:rsid w:val="007B225D"/>
    <w:rsid w:val="007B2D8C"/>
    <w:rsid w:val="007B4B37"/>
    <w:rsid w:val="007B4EB0"/>
    <w:rsid w:val="007B714B"/>
    <w:rsid w:val="007B7351"/>
    <w:rsid w:val="007B7CEB"/>
    <w:rsid w:val="007C51B6"/>
    <w:rsid w:val="007C523F"/>
    <w:rsid w:val="007C6264"/>
    <w:rsid w:val="007C65D6"/>
    <w:rsid w:val="007D039C"/>
    <w:rsid w:val="007D0C86"/>
    <w:rsid w:val="007D20ED"/>
    <w:rsid w:val="007D22EC"/>
    <w:rsid w:val="007D3886"/>
    <w:rsid w:val="007D462A"/>
    <w:rsid w:val="007D4E81"/>
    <w:rsid w:val="007D5381"/>
    <w:rsid w:val="007D62CD"/>
    <w:rsid w:val="007E0A57"/>
    <w:rsid w:val="007E30A9"/>
    <w:rsid w:val="007E4442"/>
    <w:rsid w:val="007E486D"/>
    <w:rsid w:val="007E4C40"/>
    <w:rsid w:val="007E5974"/>
    <w:rsid w:val="007E71A5"/>
    <w:rsid w:val="007F0A03"/>
    <w:rsid w:val="007F0DEA"/>
    <w:rsid w:val="007F3D4E"/>
    <w:rsid w:val="00802909"/>
    <w:rsid w:val="00803F40"/>
    <w:rsid w:val="00805519"/>
    <w:rsid w:val="00805F30"/>
    <w:rsid w:val="00807517"/>
    <w:rsid w:val="00810A65"/>
    <w:rsid w:val="00810B5E"/>
    <w:rsid w:val="00811564"/>
    <w:rsid w:val="00811C34"/>
    <w:rsid w:val="00812E66"/>
    <w:rsid w:val="008134C8"/>
    <w:rsid w:val="00815977"/>
    <w:rsid w:val="0082031D"/>
    <w:rsid w:val="00822D6F"/>
    <w:rsid w:val="008243F6"/>
    <w:rsid w:val="00824472"/>
    <w:rsid w:val="00825616"/>
    <w:rsid w:val="008259E3"/>
    <w:rsid w:val="008267CC"/>
    <w:rsid w:val="00830627"/>
    <w:rsid w:val="00831941"/>
    <w:rsid w:val="0083248F"/>
    <w:rsid w:val="00832F6E"/>
    <w:rsid w:val="00834EB2"/>
    <w:rsid w:val="00842B76"/>
    <w:rsid w:val="00843CD5"/>
    <w:rsid w:val="008475D8"/>
    <w:rsid w:val="0085175A"/>
    <w:rsid w:val="008524CE"/>
    <w:rsid w:val="008538FC"/>
    <w:rsid w:val="00854FA7"/>
    <w:rsid w:val="00856AFB"/>
    <w:rsid w:val="00857685"/>
    <w:rsid w:val="00857EEA"/>
    <w:rsid w:val="008602A2"/>
    <w:rsid w:val="0086309E"/>
    <w:rsid w:val="00863111"/>
    <w:rsid w:val="00865A01"/>
    <w:rsid w:val="008705DF"/>
    <w:rsid w:val="00873CFB"/>
    <w:rsid w:val="00876A0D"/>
    <w:rsid w:val="0088022E"/>
    <w:rsid w:val="00880314"/>
    <w:rsid w:val="00881F76"/>
    <w:rsid w:val="008822F0"/>
    <w:rsid w:val="008824F3"/>
    <w:rsid w:val="00884603"/>
    <w:rsid w:val="0088514D"/>
    <w:rsid w:val="00887CED"/>
    <w:rsid w:val="0089049E"/>
    <w:rsid w:val="00892826"/>
    <w:rsid w:val="00892A17"/>
    <w:rsid w:val="008946C2"/>
    <w:rsid w:val="008A0210"/>
    <w:rsid w:val="008A0D15"/>
    <w:rsid w:val="008A173E"/>
    <w:rsid w:val="008A24D3"/>
    <w:rsid w:val="008A4BDB"/>
    <w:rsid w:val="008A55AD"/>
    <w:rsid w:val="008A55E8"/>
    <w:rsid w:val="008A598F"/>
    <w:rsid w:val="008B0149"/>
    <w:rsid w:val="008B0187"/>
    <w:rsid w:val="008B01FA"/>
    <w:rsid w:val="008B12BF"/>
    <w:rsid w:val="008B2DB7"/>
    <w:rsid w:val="008B31D4"/>
    <w:rsid w:val="008B559F"/>
    <w:rsid w:val="008B5DAA"/>
    <w:rsid w:val="008B680B"/>
    <w:rsid w:val="008C0ADE"/>
    <w:rsid w:val="008C4327"/>
    <w:rsid w:val="008C447E"/>
    <w:rsid w:val="008C4808"/>
    <w:rsid w:val="008C7B8D"/>
    <w:rsid w:val="008D0AA3"/>
    <w:rsid w:val="008D0AEE"/>
    <w:rsid w:val="008D34D8"/>
    <w:rsid w:val="008D3EC2"/>
    <w:rsid w:val="008D7DC9"/>
    <w:rsid w:val="008E0951"/>
    <w:rsid w:val="008E1B67"/>
    <w:rsid w:val="008E2010"/>
    <w:rsid w:val="008E2540"/>
    <w:rsid w:val="008E546A"/>
    <w:rsid w:val="008E5567"/>
    <w:rsid w:val="008E6A23"/>
    <w:rsid w:val="008F03EB"/>
    <w:rsid w:val="008F0706"/>
    <w:rsid w:val="008F0D4A"/>
    <w:rsid w:val="008F447C"/>
    <w:rsid w:val="008F47D6"/>
    <w:rsid w:val="008F5116"/>
    <w:rsid w:val="008F51B2"/>
    <w:rsid w:val="008F51F4"/>
    <w:rsid w:val="008F549F"/>
    <w:rsid w:val="008F625F"/>
    <w:rsid w:val="008F7D97"/>
    <w:rsid w:val="009001E0"/>
    <w:rsid w:val="00901655"/>
    <w:rsid w:val="00901724"/>
    <w:rsid w:val="009019C9"/>
    <w:rsid w:val="00901BBA"/>
    <w:rsid w:val="0090242A"/>
    <w:rsid w:val="00902ABF"/>
    <w:rsid w:val="0090502E"/>
    <w:rsid w:val="00905F14"/>
    <w:rsid w:val="00906599"/>
    <w:rsid w:val="009066C9"/>
    <w:rsid w:val="00911A40"/>
    <w:rsid w:val="0091449A"/>
    <w:rsid w:val="00915BD3"/>
    <w:rsid w:val="0092373D"/>
    <w:rsid w:val="00923C7D"/>
    <w:rsid w:val="00925992"/>
    <w:rsid w:val="009259AF"/>
    <w:rsid w:val="00925FE0"/>
    <w:rsid w:val="009260CB"/>
    <w:rsid w:val="00927733"/>
    <w:rsid w:val="00930F6D"/>
    <w:rsid w:val="00931058"/>
    <w:rsid w:val="00933F87"/>
    <w:rsid w:val="0093573B"/>
    <w:rsid w:val="00946570"/>
    <w:rsid w:val="0094708E"/>
    <w:rsid w:val="00950446"/>
    <w:rsid w:val="0095065A"/>
    <w:rsid w:val="00951E95"/>
    <w:rsid w:val="00954DAC"/>
    <w:rsid w:val="00955B93"/>
    <w:rsid w:val="009565EA"/>
    <w:rsid w:val="00956886"/>
    <w:rsid w:val="00957122"/>
    <w:rsid w:val="009572E2"/>
    <w:rsid w:val="0095769E"/>
    <w:rsid w:val="009602EA"/>
    <w:rsid w:val="00960757"/>
    <w:rsid w:val="00960AD9"/>
    <w:rsid w:val="00962D96"/>
    <w:rsid w:val="009639B9"/>
    <w:rsid w:val="00963F65"/>
    <w:rsid w:val="00964DF2"/>
    <w:rsid w:val="009668E6"/>
    <w:rsid w:val="00966B8B"/>
    <w:rsid w:val="00970733"/>
    <w:rsid w:val="009718FC"/>
    <w:rsid w:val="00971DC8"/>
    <w:rsid w:val="009740C5"/>
    <w:rsid w:val="00974C57"/>
    <w:rsid w:val="00975544"/>
    <w:rsid w:val="009756AA"/>
    <w:rsid w:val="0097682B"/>
    <w:rsid w:val="0097730E"/>
    <w:rsid w:val="0098224E"/>
    <w:rsid w:val="0098285E"/>
    <w:rsid w:val="00983DDA"/>
    <w:rsid w:val="00985C87"/>
    <w:rsid w:val="00987DD4"/>
    <w:rsid w:val="00992B2B"/>
    <w:rsid w:val="0099300C"/>
    <w:rsid w:val="009943DA"/>
    <w:rsid w:val="0099478D"/>
    <w:rsid w:val="009947EE"/>
    <w:rsid w:val="00995F24"/>
    <w:rsid w:val="0099634D"/>
    <w:rsid w:val="009966FD"/>
    <w:rsid w:val="009969CE"/>
    <w:rsid w:val="009A1BB8"/>
    <w:rsid w:val="009A245B"/>
    <w:rsid w:val="009A370C"/>
    <w:rsid w:val="009A7F01"/>
    <w:rsid w:val="009B0549"/>
    <w:rsid w:val="009B0890"/>
    <w:rsid w:val="009B251F"/>
    <w:rsid w:val="009B25EF"/>
    <w:rsid w:val="009B39BD"/>
    <w:rsid w:val="009B58F3"/>
    <w:rsid w:val="009B65C6"/>
    <w:rsid w:val="009B73B7"/>
    <w:rsid w:val="009C0058"/>
    <w:rsid w:val="009C054B"/>
    <w:rsid w:val="009C11CF"/>
    <w:rsid w:val="009C1767"/>
    <w:rsid w:val="009C1A51"/>
    <w:rsid w:val="009C1ED7"/>
    <w:rsid w:val="009C2058"/>
    <w:rsid w:val="009C2678"/>
    <w:rsid w:val="009C34AD"/>
    <w:rsid w:val="009C463F"/>
    <w:rsid w:val="009C5CD6"/>
    <w:rsid w:val="009D249F"/>
    <w:rsid w:val="009D3AF1"/>
    <w:rsid w:val="009D41B1"/>
    <w:rsid w:val="009D430B"/>
    <w:rsid w:val="009D4A98"/>
    <w:rsid w:val="009D4CDA"/>
    <w:rsid w:val="009D5A94"/>
    <w:rsid w:val="009D61D2"/>
    <w:rsid w:val="009D6BCD"/>
    <w:rsid w:val="009D7ACB"/>
    <w:rsid w:val="009E09D6"/>
    <w:rsid w:val="009E0C90"/>
    <w:rsid w:val="009E0E82"/>
    <w:rsid w:val="009E1423"/>
    <w:rsid w:val="009E177C"/>
    <w:rsid w:val="009E2331"/>
    <w:rsid w:val="009E2C0E"/>
    <w:rsid w:val="009E5A5C"/>
    <w:rsid w:val="009E6055"/>
    <w:rsid w:val="009E6BEC"/>
    <w:rsid w:val="009E721D"/>
    <w:rsid w:val="009F0A0A"/>
    <w:rsid w:val="009F0E52"/>
    <w:rsid w:val="009F1FBD"/>
    <w:rsid w:val="009F2103"/>
    <w:rsid w:val="009F2FBD"/>
    <w:rsid w:val="009F5ECD"/>
    <w:rsid w:val="009F657C"/>
    <w:rsid w:val="009F69BC"/>
    <w:rsid w:val="009F7210"/>
    <w:rsid w:val="009F7294"/>
    <w:rsid w:val="00A00935"/>
    <w:rsid w:val="00A00C58"/>
    <w:rsid w:val="00A01224"/>
    <w:rsid w:val="00A0162F"/>
    <w:rsid w:val="00A04D7C"/>
    <w:rsid w:val="00A056AA"/>
    <w:rsid w:val="00A06F0E"/>
    <w:rsid w:val="00A11593"/>
    <w:rsid w:val="00A11598"/>
    <w:rsid w:val="00A11C87"/>
    <w:rsid w:val="00A1252B"/>
    <w:rsid w:val="00A1452C"/>
    <w:rsid w:val="00A14A78"/>
    <w:rsid w:val="00A14D50"/>
    <w:rsid w:val="00A14F9A"/>
    <w:rsid w:val="00A15C76"/>
    <w:rsid w:val="00A1673F"/>
    <w:rsid w:val="00A2049D"/>
    <w:rsid w:val="00A22882"/>
    <w:rsid w:val="00A22E19"/>
    <w:rsid w:val="00A250F5"/>
    <w:rsid w:val="00A25460"/>
    <w:rsid w:val="00A266E6"/>
    <w:rsid w:val="00A27E79"/>
    <w:rsid w:val="00A27F82"/>
    <w:rsid w:val="00A304E6"/>
    <w:rsid w:val="00A30F09"/>
    <w:rsid w:val="00A31773"/>
    <w:rsid w:val="00A3216D"/>
    <w:rsid w:val="00A32D2E"/>
    <w:rsid w:val="00A32F08"/>
    <w:rsid w:val="00A33C10"/>
    <w:rsid w:val="00A341D6"/>
    <w:rsid w:val="00A342C1"/>
    <w:rsid w:val="00A343A0"/>
    <w:rsid w:val="00A3583C"/>
    <w:rsid w:val="00A36403"/>
    <w:rsid w:val="00A41524"/>
    <w:rsid w:val="00A4323F"/>
    <w:rsid w:val="00A43FBD"/>
    <w:rsid w:val="00A43FD0"/>
    <w:rsid w:val="00A441B0"/>
    <w:rsid w:val="00A44BFE"/>
    <w:rsid w:val="00A44FE1"/>
    <w:rsid w:val="00A4522C"/>
    <w:rsid w:val="00A4650D"/>
    <w:rsid w:val="00A470AC"/>
    <w:rsid w:val="00A50774"/>
    <w:rsid w:val="00A50804"/>
    <w:rsid w:val="00A511F3"/>
    <w:rsid w:val="00A53F5A"/>
    <w:rsid w:val="00A56645"/>
    <w:rsid w:val="00A60BCE"/>
    <w:rsid w:val="00A63158"/>
    <w:rsid w:val="00A634DB"/>
    <w:rsid w:val="00A658A3"/>
    <w:rsid w:val="00A65BF3"/>
    <w:rsid w:val="00A660FE"/>
    <w:rsid w:val="00A66427"/>
    <w:rsid w:val="00A66C83"/>
    <w:rsid w:val="00A66D46"/>
    <w:rsid w:val="00A71635"/>
    <w:rsid w:val="00A71825"/>
    <w:rsid w:val="00A71C07"/>
    <w:rsid w:val="00A72AE8"/>
    <w:rsid w:val="00A75C20"/>
    <w:rsid w:val="00A77A64"/>
    <w:rsid w:val="00A806BB"/>
    <w:rsid w:val="00A842F4"/>
    <w:rsid w:val="00A864ED"/>
    <w:rsid w:val="00A86C95"/>
    <w:rsid w:val="00A87649"/>
    <w:rsid w:val="00A90ABB"/>
    <w:rsid w:val="00A90C25"/>
    <w:rsid w:val="00A9108F"/>
    <w:rsid w:val="00A91E5F"/>
    <w:rsid w:val="00A92131"/>
    <w:rsid w:val="00A9224F"/>
    <w:rsid w:val="00A9301A"/>
    <w:rsid w:val="00A93895"/>
    <w:rsid w:val="00A93C87"/>
    <w:rsid w:val="00A949EA"/>
    <w:rsid w:val="00A9684B"/>
    <w:rsid w:val="00A96A90"/>
    <w:rsid w:val="00A97527"/>
    <w:rsid w:val="00AA05B5"/>
    <w:rsid w:val="00AA25F6"/>
    <w:rsid w:val="00AA366B"/>
    <w:rsid w:val="00AA5179"/>
    <w:rsid w:val="00AA5221"/>
    <w:rsid w:val="00AA59CA"/>
    <w:rsid w:val="00AB0A91"/>
    <w:rsid w:val="00AB286C"/>
    <w:rsid w:val="00AB36B5"/>
    <w:rsid w:val="00AB3D41"/>
    <w:rsid w:val="00AB45C8"/>
    <w:rsid w:val="00AB5648"/>
    <w:rsid w:val="00AB6199"/>
    <w:rsid w:val="00AB698D"/>
    <w:rsid w:val="00AB765C"/>
    <w:rsid w:val="00AB7CB2"/>
    <w:rsid w:val="00AC0824"/>
    <w:rsid w:val="00AC14ED"/>
    <w:rsid w:val="00AC1FA2"/>
    <w:rsid w:val="00AC6689"/>
    <w:rsid w:val="00AC6847"/>
    <w:rsid w:val="00AD1A2A"/>
    <w:rsid w:val="00AD1AD9"/>
    <w:rsid w:val="00AD695F"/>
    <w:rsid w:val="00AE05C7"/>
    <w:rsid w:val="00AE1686"/>
    <w:rsid w:val="00AE2418"/>
    <w:rsid w:val="00AE255F"/>
    <w:rsid w:val="00AE2FF3"/>
    <w:rsid w:val="00AE3ABC"/>
    <w:rsid w:val="00AE77CC"/>
    <w:rsid w:val="00AF11F1"/>
    <w:rsid w:val="00AF1726"/>
    <w:rsid w:val="00AF204C"/>
    <w:rsid w:val="00AF290B"/>
    <w:rsid w:val="00AF3B0C"/>
    <w:rsid w:val="00AF4E52"/>
    <w:rsid w:val="00AF57FB"/>
    <w:rsid w:val="00AF768B"/>
    <w:rsid w:val="00AF769D"/>
    <w:rsid w:val="00AF7A15"/>
    <w:rsid w:val="00B0008E"/>
    <w:rsid w:val="00B03095"/>
    <w:rsid w:val="00B04A59"/>
    <w:rsid w:val="00B05444"/>
    <w:rsid w:val="00B07F3A"/>
    <w:rsid w:val="00B11897"/>
    <w:rsid w:val="00B11BB7"/>
    <w:rsid w:val="00B144B9"/>
    <w:rsid w:val="00B14B0F"/>
    <w:rsid w:val="00B16EB8"/>
    <w:rsid w:val="00B23D1B"/>
    <w:rsid w:val="00B24CA6"/>
    <w:rsid w:val="00B272E8"/>
    <w:rsid w:val="00B2732B"/>
    <w:rsid w:val="00B27B4A"/>
    <w:rsid w:val="00B3031B"/>
    <w:rsid w:val="00B36C01"/>
    <w:rsid w:val="00B37B2A"/>
    <w:rsid w:val="00B40E15"/>
    <w:rsid w:val="00B41B45"/>
    <w:rsid w:val="00B42246"/>
    <w:rsid w:val="00B42305"/>
    <w:rsid w:val="00B45222"/>
    <w:rsid w:val="00B453DF"/>
    <w:rsid w:val="00B46344"/>
    <w:rsid w:val="00B50340"/>
    <w:rsid w:val="00B53864"/>
    <w:rsid w:val="00B53AAC"/>
    <w:rsid w:val="00B53EDE"/>
    <w:rsid w:val="00B573A5"/>
    <w:rsid w:val="00B60546"/>
    <w:rsid w:val="00B61287"/>
    <w:rsid w:val="00B61B87"/>
    <w:rsid w:val="00B63A37"/>
    <w:rsid w:val="00B63FB6"/>
    <w:rsid w:val="00B6413F"/>
    <w:rsid w:val="00B64F49"/>
    <w:rsid w:val="00B655A8"/>
    <w:rsid w:val="00B66301"/>
    <w:rsid w:val="00B671AA"/>
    <w:rsid w:val="00B677B1"/>
    <w:rsid w:val="00B67CEC"/>
    <w:rsid w:val="00B7025D"/>
    <w:rsid w:val="00B7026B"/>
    <w:rsid w:val="00B70F91"/>
    <w:rsid w:val="00B717B9"/>
    <w:rsid w:val="00B71EA9"/>
    <w:rsid w:val="00B72F94"/>
    <w:rsid w:val="00B734B2"/>
    <w:rsid w:val="00B73C01"/>
    <w:rsid w:val="00B74DE6"/>
    <w:rsid w:val="00B7562C"/>
    <w:rsid w:val="00B75A54"/>
    <w:rsid w:val="00B76863"/>
    <w:rsid w:val="00B77BA6"/>
    <w:rsid w:val="00B80EC5"/>
    <w:rsid w:val="00B81496"/>
    <w:rsid w:val="00B852F6"/>
    <w:rsid w:val="00B8530E"/>
    <w:rsid w:val="00B8572D"/>
    <w:rsid w:val="00B85A58"/>
    <w:rsid w:val="00B866E8"/>
    <w:rsid w:val="00B86FC1"/>
    <w:rsid w:val="00B87DD9"/>
    <w:rsid w:val="00B914A4"/>
    <w:rsid w:val="00B917E7"/>
    <w:rsid w:val="00B93738"/>
    <w:rsid w:val="00B937F1"/>
    <w:rsid w:val="00B94471"/>
    <w:rsid w:val="00B94C94"/>
    <w:rsid w:val="00B97361"/>
    <w:rsid w:val="00BA0479"/>
    <w:rsid w:val="00BA1B79"/>
    <w:rsid w:val="00BA1E9F"/>
    <w:rsid w:val="00BA3C66"/>
    <w:rsid w:val="00BA4227"/>
    <w:rsid w:val="00BA6B36"/>
    <w:rsid w:val="00BA6D9A"/>
    <w:rsid w:val="00BB081A"/>
    <w:rsid w:val="00BB0C4F"/>
    <w:rsid w:val="00BB1883"/>
    <w:rsid w:val="00BB40CA"/>
    <w:rsid w:val="00BB5104"/>
    <w:rsid w:val="00BB5CBB"/>
    <w:rsid w:val="00BB60B7"/>
    <w:rsid w:val="00BB6AF2"/>
    <w:rsid w:val="00BB6E37"/>
    <w:rsid w:val="00BC1F2D"/>
    <w:rsid w:val="00BC339B"/>
    <w:rsid w:val="00BC46F1"/>
    <w:rsid w:val="00BC4BAB"/>
    <w:rsid w:val="00BC7C9B"/>
    <w:rsid w:val="00BD00D7"/>
    <w:rsid w:val="00BD249F"/>
    <w:rsid w:val="00BD37E6"/>
    <w:rsid w:val="00BD38BE"/>
    <w:rsid w:val="00BD4C17"/>
    <w:rsid w:val="00BD4F34"/>
    <w:rsid w:val="00BD5AC0"/>
    <w:rsid w:val="00BD5FC1"/>
    <w:rsid w:val="00BD79D0"/>
    <w:rsid w:val="00BE10FC"/>
    <w:rsid w:val="00BE23DE"/>
    <w:rsid w:val="00BE2BC1"/>
    <w:rsid w:val="00BE3A63"/>
    <w:rsid w:val="00BE490C"/>
    <w:rsid w:val="00BE578A"/>
    <w:rsid w:val="00BE5A4F"/>
    <w:rsid w:val="00BE6030"/>
    <w:rsid w:val="00BF4CA5"/>
    <w:rsid w:val="00BF5B2B"/>
    <w:rsid w:val="00BF6943"/>
    <w:rsid w:val="00BF7FC6"/>
    <w:rsid w:val="00C01ECF"/>
    <w:rsid w:val="00C030E7"/>
    <w:rsid w:val="00C03485"/>
    <w:rsid w:val="00C04535"/>
    <w:rsid w:val="00C04603"/>
    <w:rsid w:val="00C05B3B"/>
    <w:rsid w:val="00C05CEC"/>
    <w:rsid w:val="00C10962"/>
    <w:rsid w:val="00C10ADC"/>
    <w:rsid w:val="00C10E16"/>
    <w:rsid w:val="00C11DEB"/>
    <w:rsid w:val="00C12884"/>
    <w:rsid w:val="00C13227"/>
    <w:rsid w:val="00C1546E"/>
    <w:rsid w:val="00C1691B"/>
    <w:rsid w:val="00C17F8D"/>
    <w:rsid w:val="00C216A4"/>
    <w:rsid w:val="00C21F10"/>
    <w:rsid w:val="00C238CB"/>
    <w:rsid w:val="00C23984"/>
    <w:rsid w:val="00C25B0D"/>
    <w:rsid w:val="00C27802"/>
    <w:rsid w:val="00C310C2"/>
    <w:rsid w:val="00C31AC0"/>
    <w:rsid w:val="00C321AD"/>
    <w:rsid w:val="00C327D6"/>
    <w:rsid w:val="00C33B91"/>
    <w:rsid w:val="00C33DA7"/>
    <w:rsid w:val="00C356F4"/>
    <w:rsid w:val="00C358A6"/>
    <w:rsid w:val="00C35E3D"/>
    <w:rsid w:val="00C3795A"/>
    <w:rsid w:val="00C37C5E"/>
    <w:rsid w:val="00C4020D"/>
    <w:rsid w:val="00C40921"/>
    <w:rsid w:val="00C42826"/>
    <w:rsid w:val="00C44090"/>
    <w:rsid w:val="00C45ABE"/>
    <w:rsid w:val="00C4661C"/>
    <w:rsid w:val="00C47EB1"/>
    <w:rsid w:val="00C5096E"/>
    <w:rsid w:val="00C50A41"/>
    <w:rsid w:val="00C50F66"/>
    <w:rsid w:val="00C53659"/>
    <w:rsid w:val="00C54883"/>
    <w:rsid w:val="00C54E5E"/>
    <w:rsid w:val="00C554EB"/>
    <w:rsid w:val="00C5641B"/>
    <w:rsid w:val="00C56621"/>
    <w:rsid w:val="00C604F7"/>
    <w:rsid w:val="00C619C7"/>
    <w:rsid w:val="00C6285E"/>
    <w:rsid w:val="00C6446A"/>
    <w:rsid w:val="00C644F8"/>
    <w:rsid w:val="00C6465C"/>
    <w:rsid w:val="00C67996"/>
    <w:rsid w:val="00C70DDF"/>
    <w:rsid w:val="00C71594"/>
    <w:rsid w:val="00C729B7"/>
    <w:rsid w:val="00C730E0"/>
    <w:rsid w:val="00C73777"/>
    <w:rsid w:val="00C73FC1"/>
    <w:rsid w:val="00C74A93"/>
    <w:rsid w:val="00C75313"/>
    <w:rsid w:val="00C76852"/>
    <w:rsid w:val="00C77D77"/>
    <w:rsid w:val="00C829C4"/>
    <w:rsid w:val="00C8479D"/>
    <w:rsid w:val="00C86BC5"/>
    <w:rsid w:val="00C87B82"/>
    <w:rsid w:val="00C87DC0"/>
    <w:rsid w:val="00C90952"/>
    <w:rsid w:val="00C90A06"/>
    <w:rsid w:val="00C91B11"/>
    <w:rsid w:val="00C92171"/>
    <w:rsid w:val="00C925E2"/>
    <w:rsid w:val="00C9361F"/>
    <w:rsid w:val="00C93724"/>
    <w:rsid w:val="00C9633E"/>
    <w:rsid w:val="00C968ED"/>
    <w:rsid w:val="00CA0366"/>
    <w:rsid w:val="00CA0A19"/>
    <w:rsid w:val="00CA1853"/>
    <w:rsid w:val="00CA45AD"/>
    <w:rsid w:val="00CA4AD5"/>
    <w:rsid w:val="00CA5887"/>
    <w:rsid w:val="00CA5F62"/>
    <w:rsid w:val="00CA611F"/>
    <w:rsid w:val="00CA66FF"/>
    <w:rsid w:val="00CA7A02"/>
    <w:rsid w:val="00CA7C10"/>
    <w:rsid w:val="00CA7CC5"/>
    <w:rsid w:val="00CB0D5A"/>
    <w:rsid w:val="00CB18F2"/>
    <w:rsid w:val="00CB2C50"/>
    <w:rsid w:val="00CB2F22"/>
    <w:rsid w:val="00CB4111"/>
    <w:rsid w:val="00CB413C"/>
    <w:rsid w:val="00CB4E6E"/>
    <w:rsid w:val="00CB5926"/>
    <w:rsid w:val="00CC1D9F"/>
    <w:rsid w:val="00CC2D33"/>
    <w:rsid w:val="00CC38F1"/>
    <w:rsid w:val="00CC4BEC"/>
    <w:rsid w:val="00CC6BFC"/>
    <w:rsid w:val="00CC702B"/>
    <w:rsid w:val="00CC782F"/>
    <w:rsid w:val="00CD0601"/>
    <w:rsid w:val="00CD20B5"/>
    <w:rsid w:val="00CD33EE"/>
    <w:rsid w:val="00CD415D"/>
    <w:rsid w:val="00CD428C"/>
    <w:rsid w:val="00CD4D1C"/>
    <w:rsid w:val="00CD4F8F"/>
    <w:rsid w:val="00CD5BA8"/>
    <w:rsid w:val="00CD5F51"/>
    <w:rsid w:val="00CD6129"/>
    <w:rsid w:val="00CE0416"/>
    <w:rsid w:val="00CF0081"/>
    <w:rsid w:val="00CF0A7A"/>
    <w:rsid w:val="00CF0C91"/>
    <w:rsid w:val="00CF2F70"/>
    <w:rsid w:val="00CF3459"/>
    <w:rsid w:val="00CF5380"/>
    <w:rsid w:val="00CF74E8"/>
    <w:rsid w:val="00D03042"/>
    <w:rsid w:val="00D03718"/>
    <w:rsid w:val="00D03732"/>
    <w:rsid w:val="00D03849"/>
    <w:rsid w:val="00D05C61"/>
    <w:rsid w:val="00D061CF"/>
    <w:rsid w:val="00D06887"/>
    <w:rsid w:val="00D106D6"/>
    <w:rsid w:val="00D10740"/>
    <w:rsid w:val="00D11DB5"/>
    <w:rsid w:val="00D12B03"/>
    <w:rsid w:val="00D12E14"/>
    <w:rsid w:val="00D142F5"/>
    <w:rsid w:val="00D15309"/>
    <w:rsid w:val="00D1584E"/>
    <w:rsid w:val="00D16544"/>
    <w:rsid w:val="00D17341"/>
    <w:rsid w:val="00D2192A"/>
    <w:rsid w:val="00D222C2"/>
    <w:rsid w:val="00D226C7"/>
    <w:rsid w:val="00D22842"/>
    <w:rsid w:val="00D23B69"/>
    <w:rsid w:val="00D24D3E"/>
    <w:rsid w:val="00D25254"/>
    <w:rsid w:val="00D2775E"/>
    <w:rsid w:val="00D27A0C"/>
    <w:rsid w:val="00D27BB3"/>
    <w:rsid w:val="00D31487"/>
    <w:rsid w:val="00D31EE9"/>
    <w:rsid w:val="00D32B77"/>
    <w:rsid w:val="00D3312D"/>
    <w:rsid w:val="00D3339D"/>
    <w:rsid w:val="00D33B04"/>
    <w:rsid w:val="00D33EAE"/>
    <w:rsid w:val="00D340AD"/>
    <w:rsid w:val="00D34785"/>
    <w:rsid w:val="00D34F3D"/>
    <w:rsid w:val="00D35572"/>
    <w:rsid w:val="00D378CD"/>
    <w:rsid w:val="00D40133"/>
    <w:rsid w:val="00D40A43"/>
    <w:rsid w:val="00D40B15"/>
    <w:rsid w:val="00D4138F"/>
    <w:rsid w:val="00D416D8"/>
    <w:rsid w:val="00D43E6B"/>
    <w:rsid w:val="00D44D49"/>
    <w:rsid w:val="00D475BD"/>
    <w:rsid w:val="00D47E06"/>
    <w:rsid w:val="00D47E80"/>
    <w:rsid w:val="00D5093F"/>
    <w:rsid w:val="00D513F5"/>
    <w:rsid w:val="00D52E3E"/>
    <w:rsid w:val="00D545D9"/>
    <w:rsid w:val="00D55967"/>
    <w:rsid w:val="00D5702A"/>
    <w:rsid w:val="00D6022C"/>
    <w:rsid w:val="00D6065B"/>
    <w:rsid w:val="00D6225C"/>
    <w:rsid w:val="00D629BE"/>
    <w:rsid w:val="00D6326A"/>
    <w:rsid w:val="00D6356F"/>
    <w:rsid w:val="00D644C5"/>
    <w:rsid w:val="00D66D5B"/>
    <w:rsid w:val="00D711BB"/>
    <w:rsid w:val="00D71CF9"/>
    <w:rsid w:val="00D72020"/>
    <w:rsid w:val="00D73531"/>
    <w:rsid w:val="00D75295"/>
    <w:rsid w:val="00D75A11"/>
    <w:rsid w:val="00D77148"/>
    <w:rsid w:val="00D81506"/>
    <w:rsid w:val="00D82B52"/>
    <w:rsid w:val="00D84E96"/>
    <w:rsid w:val="00D85661"/>
    <w:rsid w:val="00D86753"/>
    <w:rsid w:val="00D86AE7"/>
    <w:rsid w:val="00D90619"/>
    <w:rsid w:val="00D9158D"/>
    <w:rsid w:val="00D94157"/>
    <w:rsid w:val="00D9477C"/>
    <w:rsid w:val="00D95198"/>
    <w:rsid w:val="00D951E0"/>
    <w:rsid w:val="00D956BF"/>
    <w:rsid w:val="00D95BA4"/>
    <w:rsid w:val="00D96398"/>
    <w:rsid w:val="00D9678E"/>
    <w:rsid w:val="00D96D43"/>
    <w:rsid w:val="00D9704A"/>
    <w:rsid w:val="00D97796"/>
    <w:rsid w:val="00D97CFC"/>
    <w:rsid w:val="00DA0968"/>
    <w:rsid w:val="00DA0A51"/>
    <w:rsid w:val="00DA0EA0"/>
    <w:rsid w:val="00DA1682"/>
    <w:rsid w:val="00DA5964"/>
    <w:rsid w:val="00DA70F3"/>
    <w:rsid w:val="00DA7BAE"/>
    <w:rsid w:val="00DB1B67"/>
    <w:rsid w:val="00DB4354"/>
    <w:rsid w:val="00DB4658"/>
    <w:rsid w:val="00DB5D51"/>
    <w:rsid w:val="00DC04A9"/>
    <w:rsid w:val="00DC1B01"/>
    <w:rsid w:val="00DC1FD0"/>
    <w:rsid w:val="00DC21AC"/>
    <w:rsid w:val="00DC301F"/>
    <w:rsid w:val="00DC494C"/>
    <w:rsid w:val="00DC5CB9"/>
    <w:rsid w:val="00DC6ABC"/>
    <w:rsid w:val="00DC6E55"/>
    <w:rsid w:val="00DC6EC9"/>
    <w:rsid w:val="00DC6FB9"/>
    <w:rsid w:val="00DC7CA4"/>
    <w:rsid w:val="00DD0D0B"/>
    <w:rsid w:val="00DD3EA1"/>
    <w:rsid w:val="00DD76DB"/>
    <w:rsid w:val="00DE03C7"/>
    <w:rsid w:val="00DE2FA0"/>
    <w:rsid w:val="00DE4014"/>
    <w:rsid w:val="00DE606D"/>
    <w:rsid w:val="00DE6E96"/>
    <w:rsid w:val="00DF11B5"/>
    <w:rsid w:val="00DF15DC"/>
    <w:rsid w:val="00DF1F52"/>
    <w:rsid w:val="00DF3123"/>
    <w:rsid w:val="00DF472E"/>
    <w:rsid w:val="00DF4A7E"/>
    <w:rsid w:val="00DF5353"/>
    <w:rsid w:val="00DF7B9C"/>
    <w:rsid w:val="00E00249"/>
    <w:rsid w:val="00E0177D"/>
    <w:rsid w:val="00E03EBB"/>
    <w:rsid w:val="00E049D5"/>
    <w:rsid w:val="00E06996"/>
    <w:rsid w:val="00E06CFF"/>
    <w:rsid w:val="00E10EF6"/>
    <w:rsid w:val="00E11A70"/>
    <w:rsid w:val="00E1277B"/>
    <w:rsid w:val="00E128C0"/>
    <w:rsid w:val="00E14D4C"/>
    <w:rsid w:val="00E14F6D"/>
    <w:rsid w:val="00E16EE6"/>
    <w:rsid w:val="00E223FD"/>
    <w:rsid w:val="00E236AB"/>
    <w:rsid w:val="00E24A44"/>
    <w:rsid w:val="00E25861"/>
    <w:rsid w:val="00E31806"/>
    <w:rsid w:val="00E32A1B"/>
    <w:rsid w:val="00E32B8C"/>
    <w:rsid w:val="00E32CFB"/>
    <w:rsid w:val="00E33866"/>
    <w:rsid w:val="00E3505F"/>
    <w:rsid w:val="00E3618E"/>
    <w:rsid w:val="00E3640B"/>
    <w:rsid w:val="00E3640F"/>
    <w:rsid w:val="00E368EB"/>
    <w:rsid w:val="00E374C6"/>
    <w:rsid w:val="00E43259"/>
    <w:rsid w:val="00E4424E"/>
    <w:rsid w:val="00E47FE2"/>
    <w:rsid w:val="00E514F3"/>
    <w:rsid w:val="00E5337C"/>
    <w:rsid w:val="00E57783"/>
    <w:rsid w:val="00E57F7D"/>
    <w:rsid w:val="00E611A6"/>
    <w:rsid w:val="00E62BB6"/>
    <w:rsid w:val="00E63156"/>
    <w:rsid w:val="00E63214"/>
    <w:rsid w:val="00E64801"/>
    <w:rsid w:val="00E661C8"/>
    <w:rsid w:val="00E7018D"/>
    <w:rsid w:val="00E7102F"/>
    <w:rsid w:val="00E72C29"/>
    <w:rsid w:val="00E77EB7"/>
    <w:rsid w:val="00E80AC8"/>
    <w:rsid w:val="00E81838"/>
    <w:rsid w:val="00E83A35"/>
    <w:rsid w:val="00E84467"/>
    <w:rsid w:val="00E85C9B"/>
    <w:rsid w:val="00E86CB0"/>
    <w:rsid w:val="00E874B1"/>
    <w:rsid w:val="00E8776A"/>
    <w:rsid w:val="00E878A5"/>
    <w:rsid w:val="00E914F1"/>
    <w:rsid w:val="00E95BFD"/>
    <w:rsid w:val="00E970C9"/>
    <w:rsid w:val="00EA0560"/>
    <w:rsid w:val="00EA0D9E"/>
    <w:rsid w:val="00EA33E4"/>
    <w:rsid w:val="00EA361B"/>
    <w:rsid w:val="00EA76DB"/>
    <w:rsid w:val="00EB2AD4"/>
    <w:rsid w:val="00EB547C"/>
    <w:rsid w:val="00EB5C1F"/>
    <w:rsid w:val="00EB6155"/>
    <w:rsid w:val="00EC0162"/>
    <w:rsid w:val="00EC1517"/>
    <w:rsid w:val="00EC1857"/>
    <w:rsid w:val="00EC1F35"/>
    <w:rsid w:val="00EC282E"/>
    <w:rsid w:val="00EC2F80"/>
    <w:rsid w:val="00EC4778"/>
    <w:rsid w:val="00EC4DE0"/>
    <w:rsid w:val="00EC569D"/>
    <w:rsid w:val="00EC6E7F"/>
    <w:rsid w:val="00ED10BB"/>
    <w:rsid w:val="00ED163B"/>
    <w:rsid w:val="00ED16D9"/>
    <w:rsid w:val="00ED1CF0"/>
    <w:rsid w:val="00ED354F"/>
    <w:rsid w:val="00ED577F"/>
    <w:rsid w:val="00ED5E4E"/>
    <w:rsid w:val="00ED7D8B"/>
    <w:rsid w:val="00EE0C12"/>
    <w:rsid w:val="00EE180D"/>
    <w:rsid w:val="00EE2917"/>
    <w:rsid w:val="00EE2987"/>
    <w:rsid w:val="00EE405E"/>
    <w:rsid w:val="00EE658E"/>
    <w:rsid w:val="00EE772D"/>
    <w:rsid w:val="00EE7A3B"/>
    <w:rsid w:val="00EF009E"/>
    <w:rsid w:val="00EF05E1"/>
    <w:rsid w:val="00EF0DCC"/>
    <w:rsid w:val="00EF315B"/>
    <w:rsid w:val="00EF33EB"/>
    <w:rsid w:val="00EF358C"/>
    <w:rsid w:val="00EF3989"/>
    <w:rsid w:val="00EF3ADA"/>
    <w:rsid w:val="00EF4452"/>
    <w:rsid w:val="00EF4822"/>
    <w:rsid w:val="00EF4A17"/>
    <w:rsid w:val="00EF703E"/>
    <w:rsid w:val="00F02DC1"/>
    <w:rsid w:val="00F03329"/>
    <w:rsid w:val="00F04EBF"/>
    <w:rsid w:val="00F05550"/>
    <w:rsid w:val="00F074BC"/>
    <w:rsid w:val="00F0772A"/>
    <w:rsid w:val="00F112E4"/>
    <w:rsid w:val="00F134FC"/>
    <w:rsid w:val="00F145C6"/>
    <w:rsid w:val="00F14763"/>
    <w:rsid w:val="00F16447"/>
    <w:rsid w:val="00F16F0E"/>
    <w:rsid w:val="00F1713F"/>
    <w:rsid w:val="00F17926"/>
    <w:rsid w:val="00F21C26"/>
    <w:rsid w:val="00F23C74"/>
    <w:rsid w:val="00F24DC2"/>
    <w:rsid w:val="00F25498"/>
    <w:rsid w:val="00F25631"/>
    <w:rsid w:val="00F2566A"/>
    <w:rsid w:val="00F261E5"/>
    <w:rsid w:val="00F267CE"/>
    <w:rsid w:val="00F26F4D"/>
    <w:rsid w:val="00F27D13"/>
    <w:rsid w:val="00F3036E"/>
    <w:rsid w:val="00F30804"/>
    <w:rsid w:val="00F3296F"/>
    <w:rsid w:val="00F335A8"/>
    <w:rsid w:val="00F336A1"/>
    <w:rsid w:val="00F33B6A"/>
    <w:rsid w:val="00F33B6D"/>
    <w:rsid w:val="00F343F4"/>
    <w:rsid w:val="00F346C7"/>
    <w:rsid w:val="00F367EC"/>
    <w:rsid w:val="00F370B6"/>
    <w:rsid w:val="00F41E50"/>
    <w:rsid w:val="00F43D61"/>
    <w:rsid w:val="00F44FB6"/>
    <w:rsid w:val="00F46939"/>
    <w:rsid w:val="00F47641"/>
    <w:rsid w:val="00F47A30"/>
    <w:rsid w:val="00F50CA9"/>
    <w:rsid w:val="00F515BD"/>
    <w:rsid w:val="00F52611"/>
    <w:rsid w:val="00F52F03"/>
    <w:rsid w:val="00F54824"/>
    <w:rsid w:val="00F6087A"/>
    <w:rsid w:val="00F621B9"/>
    <w:rsid w:val="00F63E9A"/>
    <w:rsid w:val="00F64CAD"/>
    <w:rsid w:val="00F65086"/>
    <w:rsid w:val="00F65A34"/>
    <w:rsid w:val="00F663B4"/>
    <w:rsid w:val="00F66507"/>
    <w:rsid w:val="00F66B5A"/>
    <w:rsid w:val="00F714D9"/>
    <w:rsid w:val="00F723DD"/>
    <w:rsid w:val="00F72617"/>
    <w:rsid w:val="00F74113"/>
    <w:rsid w:val="00F75C5B"/>
    <w:rsid w:val="00F7705E"/>
    <w:rsid w:val="00F80AA9"/>
    <w:rsid w:val="00F82E7C"/>
    <w:rsid w:val="00F83AF1"/>
    <w:rsid w:val="00F853FE"/>
    <w:rsid w:val="00F86103"/>
    <w:rsid w:val="00F862D3"/>
    <w:rsid w:val="00F869E0"/>
    <w:rsid w:val="00F86A37"/>
    <w:rsid w:val="00F93E9A"/>
    <w:rsid w:val="00F944E3"/>
    <w:rsid w:val="00F94730"/>
    <w:rsid w:val="00F96A5D"/>
    <w:rsid w:val="00F97255"/>
    <w:rsid w:val="00F97FE3"/>
    <w:rsid w:val="00FA0793"/>
    <w:rsid w:val="00FA0E4B"/>
    <w:rsid w:val="00FA11A9"/>
    <w:rsid w:val="00FA25F5"/>
    <w:rsid w:val="00FA3840"/>
    <w:rsid w:val="00FA46E5"/>
    <w:rsid w:val="00FA49A3"/>
    <w:rsid w:val="00FA5039"/>
    <w:rsid w:val="00FA5097"/>
    <w:rsid w:val="00FA53EE"/>
    <w:rsid w:val="00FB06A5"/>
    <w:rsid w:val="00FB1F0A"/>
    <w:rsid w:val="00FB3824"/>
    <w:rsid w:val="00FB3B63"/>
    <w:rsid w:val="00FB3C86"/>
    <w:rsid w:val="00FB47BB"/>
    <w:rsid w:val="00FB50BD"/>
    <w:rsid w:val="00FB6147"/>
    <w:rsid w:val="00FC05A7"/>
    <w:rsid w:val="00FC065D"/>
    <w:rsid w:val="00FC07B1"/>
    <w:rsid w:val="00FC1DEC"/>
    <w:rsid w:val="00FC25FC"/>
    <w:rsid w:val="00FC42A2"/>
    <w:rsid w:val="00FC54C2"/>
    <w:rsid w:val="00FC5887"/>
    <w:rsid w:val="00FC66C9"/>
    <w:rsid w:val="00FC7734"/>
    <w:rsid w:val="00FD0926"/>
    <w:rsid w:val="00FD1A88"/>
    <w:rsid w:val="00FD2799"/>
    <w:rsid w:val="00FD320B"/>
    <w:rsid w:val="00FD3B99"/>
    <w:rsid w:val="00FD5702"/>
    <w:rsid w:val="00FD657A"/>
    <w:rsid w:val="00FD733B"/>
    <w:rsid w:val="00FD76B2"/>
    <w:rsid w:val="00FE01BD"/>
    <w:rsid w:val="00FE14F1"/>
    <w:rsid w:val="00FE180A"/>
    <w:rsid w:val="00FE2F3B"/>
    <w:rsid w:val="00FE36A7"/>
    <w:rsid w:val="00FE3B3F"/>
    <w:rsid w:val="00FE4729"/>
    <w:rsid w:val="00FE5A97"/>
    <w:rsid w:val="00FE6510"/>
    <w:rsid w:val="00FE6950"/>
    <w:rsid w:val="00FF1434"/>
    <w:rsid w:val="00FF226D"/>
    <w:rsid w:val="00FF30EB"/>
    <w:rsid w:val="00FF3A3B"/>
    <w:rsid w:val="00FF3D81"/>
    <w:rsid w:val="00FF3F58"/>
    <w:rsid w:val="00FF4307"/>
    <w:rsid w:val="00FF43AA"/>
    <w:rsid w:val="00FF525F"/>
    <w:rsid w:val="00FF597C"/>
    <w:rsid w:val="00FF68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06DB3D"/>
  <w15:chartTrackingRefBased/>
  <w15:docId w15:val="{B018D658-6678-46D0-ACBD-2A29996E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4822"/>
    <w:rPr>
      <w:lang w:val="sq-AL"/>
    </w:rPr>
  </w:style>
  <w:style w:type="paragraph" w:styleId="Heading1">
    <w:name w:val="heading 1"/>
    <w:basedOn w:val="Normal"/>
    <w:next w:val="Normal"/>
    <w:link w:val="Heading1Char"/>
    <w:uiPriority w:val="9"/>
    <w:qFormat/>
    <w:rsid w:val="000A1F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A1F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0A1F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A1F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1F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1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F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F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A1F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0A1F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A1F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1F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1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F29"/>
    <w:rPr>
      <w:rFonts w:eastAsiaTheme="majorEastAsia" w:cstheme="majorBidi"/>
      <w:color w:val="272727" w:themeColor="text1" w:themeTint="D8"/>
    </w:rPr>
  </w:style>
  <w:style w:type="paragraph" w:styleId="Title">
    <w:name w:val="Title"/>
    <w:basedOn w:val="Normal"/>
    <w:next w:val="Normal"/>
    <w:link w:val="TitleChar"/>
    <w:uiPriority w:val="10"/>
    <w:qFormat/>
    <w:rsid w:val="000A1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F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F29"/>
    <w:pPr>
      <w:spacing w:before="160"/>
      <w:jc w:val="center"/>
    </w:pPr>
    <w:rPr>
      <w:i/>
      <w:iCs/>
      <w:color w:val="404040" w:themeColor="text1" w:themeTint="BF"/>
    </w:rPr>
  </w:style>
  <w:style w:type="character" w:customStyle="1" w:styleId="QuoteChar">
    <w:name w:val="Quote Char"/>
    <w:basedOn w:val="DefaultParagraphFont"/>
    <w:link w:val="Quote"/>
    <w:uiPriority w:val="29"/>
    <w:rsid w:val="000A1F29"/>
    <w:rPr>
      <w:i/>
      <w:iCs/>
      <w:color w:val="404040" w:themeColor="text1" w:themeTint="BF"/>
    </w:rPr>
  </w:style>
  <w:style w:type="paragraph" w:styleId="ListParagraph">
    <w:name w:val="List Paragraph"/>
    <w:aliases w:val="Tituj Kapitulli,Normal 1,List Paragraph (numbered (a)),NUMBERED PARAGRAPH,List Paragraph 1,References,ReferencesCxSpLast,lp1,Akapit z listą BS,Liste 1,Numbered List Paragraph,Numbered Paragraph,Main numbered paragraph,123 List Paragraph"/>
    <w:basedOn w:val="Normal"/>
    <w:link w:val="ListParagraphChar"/>
    <w:uiPriority w:val="34"/>
    <w:qFormat/>
    <w:rsid w:val="000A1F29"/>
    <w:pPr>
      <w:ind w:left="720"/>
      <w:contextualSpacing/>
    </w:pPr>
  </w:style>
  <w:style w:type="character" w:customStyle="1" w:styleId="ListParagraphChar">
    <w:name w:val="List Paragraph Char"/>
    <w:aliases w:val="Tituj Kapitulli Char,Normal 1 Char,List Paragraph (numbered (a)) Char,NUMBERED PARAGRAPH Char,List Paragraph 1 Char,References Char,ReferencesCxSpLast Char,lp1 Char,Akapit z listą BS Char,Liste 1 Char,Numbered List Paragraph Char"/>
    <w:basedOn w:val="DefaultParagraphFont"/>
    <w:link w:val="ListParagraph"/>
    <w:qFormat/>
    <w:locked/>
    <w:rsid w:val="00627653"/>
    <w:rPr>
      <w:lang w:val="sq-AL"/>
    </w:rPr>
  </w:style>
  <w:style w:type="character" w:styleId="IntenseEmphasis">
    <w:name w:val="Intense Emphasis"/>
    <w:basedOn w:val="DefaultParagraphFont"/>
    <w:uiPriority w:val="21"/>
    <w:qFormat/>
    <w:rsid w:val="000A1F29"/>
    <w:rPr>
      <w:i/>
      <w:iCs/>
      <w:color w:val="2F5496" w:themeColor="accent1" w:themeShade="BF"/>
    </w:rPr>
  </w:style>
  <w:style w:type="paragraph" w:styleId="IntenseQuote">
    <w:name w:val="Intense Quote"/>
    <w:basedOn w:val="Normal"/>
    <w:next w:val="Normal"/>
    <w:link w:val="IntenseQuoteChar"/>
    <w:uiPriority w:val="30"/>
    <w:qFormat/>
    <w:rsid w:val="000A1F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1F29"/>
    <w:rPr>
      <w:i/>
      <w:iCs/>
      <w:color w:val="2F5496" w:themeColor="accent1" w:themeShade="BF"/>
    </w:rPr>
  </w:style>
  <w:style w:type="character" w:styleId="IntenseReference">
    <w:name w:val="Intense Reference"/>
    <w:basedOn w:val="DefaultParagraphFont"/>
    <w:uiPriority w:val="32"/>
    <w:qFormat/>
    <w:rsid w:val="000A1F29"/>
    <w:rPr>
      <w:b/>
      <w:bCs/>
      <w:smallCaps/>
      <w:color w:val="2F5496" w:themeColor="accent1" w:themeShade="BF"/>
      <w:spacing w:val="5"/>
    </w:rPr>
  </w:style>
  <w:style w:type="paragraph" w:styleId="NormalWeb">
    <w:name w:val="Normal (Web)"/>
    <w:basedOn w:val="Normal"/>
    <w:uiPriority w:val="99"/>
    <w:unhideWhenUsed/>
    <w:rsid w:val="00412E2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42FB9"/>
    <w:rPr>
      <w:b/>
      <w:bCs/>
    </w:rPr>
  </w:style>
  <w:style w:type="table" w:styleId="TableGrid">
    <w:name w:val="Table Grid"/>
    <w:basedOn w:val="TableNormal"/>
    <w:uiPriority w:val="39"/>
    <w:rsid w:val="00742FB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4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609"/>
    <w:rPr>
      <w:lang w:val="sq-AL"/>
    </w:rPr>
  </w:style>
  <w:style w:type="paragraph" w:styleId="Footer">
    <w:name w:val="footer"/>
    <w:basedOn w:val="Normal"/>
    <w:link w:val="FooterChar"/>
    <w:uiPriority w:val="99"/>
    <w:unhideWhenUsed/>
    <w:rsid w:val="00194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609"/>
    <w:rPr>
      <w:lang w:val="sq-AL"/>
    </w:rPr>
  </w:style>
  <w:style w:type="paragraph" w:customStyle="1" w:styleId="TEKSTI">
    <w:name w:val="TEKSTI"/>
    <w:basedOn w:val="Normal"/>
    <w:qFormat/>
    <w:rsid w:val="00091BA3"/>
    <w:pPr>
      <w:spacing w:after="0" w:line="240" w:lineRule="auto"/>
      <w:ind w:firstLine="284"/>
      <w:jc w:val="both"/>
    </w:pPr>
    <w:rPr>
      <w:rFonts w:ascii="Garamond" w:eastAsia="Times New Roman" w:hAnsi="Garamond" w:cs="Times New Roman"/>
      <w:kern w:val="0"/>
      <w14:ligatures w14:val="none"/>
    </w:rPr>
  </w:style>
  <w:style w:type="character" w:customStyle="1" w:styleId="A4">
    <w:name w:val="A4"/>
    <w:uiPriority w:val="99"/>
    <w:rsid w:val="00091BA3"/>
    <w:rPr>
      <w:rFonts w:ascii="Open Sans Light" w:hAnsi="Open Sans Light" w:cs="Open Sans Light" w:hint="default"/>
      <w:color w:val="000000"/>
      <w:sz w:val="20"/>
      <w:szCs w:val="20"/>
    </w:rPr>
  </w:style>
  <w:style w:type="paragraph" w:styleId="FootnoteText">
    <w:name w:val="footnote text"/>
    <w:aliases w:val="single space,FOOTNOTES,fn,ADB,WB-Fuﬂnotentext,Footnote,Fuﬂnote,footnote text,WB-Fußnotentext,Fußnote,Footnote Text Char1 Char Char,Footnote Text Char Char Char Char,Footnote Text Char1 Char Char Char Char,ft,Footnote Text Char Ch,Footno,f"/>
    <w:basedOn w:val="Normal"/>
    <w:link w:val="FootnoteTextChar"/>
    <w:uiPriority w:val="99"/>
    <w:unhideWhenUsed/>
    <w:qFormat/>
    <w:rsid w:val="004D3DEC"/>
    <w:pPr>
      <w:spacing w:after="0" w:line="240" w:lineRule="auto"/>
    </w:pPr>
    <w:rPr>
      <w:sz w:val="20"/>
      <w:szCs w:val="20"/>
    </w:rPr>
  </w:style>
  <w:style w:type="character" w:customStyle="1" w:styleId="FootnoteTextChar">
    <w:name w:val="Footnote Text Char"/>
    <w:aliases w:val="single space Char,FOOTNOTES Char,fn Char,ADB Char,WB-Fuﬂnotentext Char,Footnote Char,Fuﬂnote Char,footnote text Char,WB-Fußnotentext Char,Fußnote Char,Footnote Text Char1 Char Char Char,Footnote Text Char Char Char Char Char,ft Char"/>
    <w:basedOn w:val="DefaultParagraphFont"/>
    <w:link w:val="FootnoteText"/>
    <w:uiPriority w:val="99"/>
    <w:qFormat/>
    <w:rsid w:val="004D3DEC"/>
    <w:rPr>
      <w:sz w:val="20"/>
      <w:szCs w:val="20"/>
      <w:lang w:val="sq-AL"/>
    </w:rPr>
  </w:style>
  <w:style w:type="character" w:styleId="FootnoteReference">
    <w:name w:val="footnote reference"/>
    <w:aliases w:val="fr,ftref,Char Char,Times 10 Point,Exposant 3 Point,Footnote symbol,Footnote number,Footnote Reference Number,Footnote reference number,Footnote Reference Superscript,EN Footnote Reference,note TESI,Voetnootverwijzing,o,FR,BVI fnr"/>
    <w:basedOn w:val="DefaultParagraphFont"/>
    <w:link w:val="BVIfnrChar1Char"/>
    <w:uiPriority w:val="99"/>
    <w:unhideWhenUsed/>
    <w:qFormat/>
    <w:rsid w:val="004D3DEC"/>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rsid w:val="0065324E"/>
    <w:pPr>
      <w:spacing w:line="240" w:lineRule="exact"/>
    </w:pPr>
    <w:rPr>
      <w:vertAlign w:val="superscript"/>
      <w:lang w:val="en-US"/>
    </w:rPr>
  </w:style>
  <w:style w:type="paragraph" w:customStyle="1" w:styleId="pf0">
    <w:name w:val="pf0"/>
    <w:basedOn w:val="Normal"/>
    <w:rsid w:val="00EF703E"/>
    <w:pPr>
      <w:spacing w:before="100" w:beforeAutospacing="1" w:after="100" w:afterAutospacing="1" w:line="240" w:lineRule="auto"/>
    </w:pPr>
    <w:rPr>
      <w:rFonts w:ascii="Times New Roman" w:eastAsia="Times New Roman" w:hAnsi="Times New Roman" w:cs="Times New Roman"/>
      <w:kern w:val="0"/>
      <w:lang w:eastAsia="sq-AL"/>
      <w14:ligatures w14:val="none"/>
    </w:rPr>
  </w:style>
  <w:style w:type="character" w:customStyle="1" w:styleId="cf01">
    <w:name w:val="cf01"/>
    <w:basedOn w:val="DefaultParagraphFont"/>
    <w:rsid w:val="00EF703E"/>
    <w:rPr>
      <w:rFonts w:ascii="Segoe UI" w:hAnsi="Segoe UI" w:cs="Segoe UI" w:hint="default"/>
      <w:sz w:val="18"/>
      <w:szCs w:val="18"/>
    </w:rPr>
  </w:style>
  <w:style w:type="paragraph" w:styleId="NoSpacing">
    <w:name w:val="No Spacing"/>
    <w:link w:val="NoSpacingChar"/>
    <w:uiPriority w:val="1"/>
    <w:qFormat/>
    <w:rsid w:val="006E0DFD"/>
    <w:pPr>
      <w:spacing w:after="0" w:line="240" w:lineRule="auto"/>
    </w:pPr>
    <w:rPr>
      <w:kern w:val="0"/>
      <w:sz w:val="22"/>
      <w:szCs w:val="22"/>
      <w:lang w:val="sq-AL"/>
      <w14:ligatures w14:val="none"/>
    </w:rPr>
  </w:style>
  <w:style w:type="character" w:customStyle="1" w:styleId="NoSpacingChar">
    <w:name w:val="No Spacing Char"/>
    <w:basedOn w:val="DefaultParagraphFont"/>
    <w:link w:val="NoSpacing"/>
    <w:uiPriority w:val="1"/>
    <w:rsid w:val="006E0DFD"/>
    <w:rPr>
      <w:kern w:val="0"/>
      <w:sz w:val="22"/>
      <w:szCs w:val="22"/>
      <w:lang w:val="sq-AL"/>
      <w14:ligatures w14:val="none"/>
    </w:rPr>
  </w:style>
  <w:style w:type="character" w:styleId="CommentReference">
    <w:name w:val="annotation reference"/>
    <w:basedOn w:val="DefaultParagraphFont"/>
    <w:uiPriority w:val="99"/>
    <w:semiHidden/>
    <w:unhideWhenUsed/>
    <w:rsid w:val="004745AC"/>
    <w:rPr>
      <w:sz w:val="16"/>
      <w:szCs w:val="16"/>
    </w:rPr>
  </w:style>
  <w:style w:type="paragraph" w:styleId="CommentText">
    <w:name w:val="annotation text"/>
    <w:basedOn w:val="Normal"/>
    <w:link w:val="CommentTextChar"/>
    <w:uiPriority w:val="99"/>
    <w:unhideWhenUsed/>
    <w:rsid w:val="004745AC"/>
    <w:pPr>
      <w:spacing w:line="240" w:lineRule="auto"/>
    </w:pPr>
    <w:rPr>
      <w:sz w:val="20"/>
      <w:szCs w:val="20"/>
    </w:rPr>
  </w:style>
  <w:style w:type="character" w:customStyle="1" w:styleId="CommentTextChar">
    <w:name w:val="Comment Text Char"/>
    <w:basedOn w:val="DefaultParagraphFont"/>
    <w:link w:val="CommentText"/>
    <w:uiPriority w:val="99"/>
    <w:rsid w:val="004745AC"/>
    <w:rPr>
      <w:sz w:val="20"/>
      <w:szCs w:val="20"/>
      <w:lang w:val="sq-AL"/>
    </w:rPr>
  </w:style>
  <w:style w:type="paragraph" w:styleId="CommentSubject">
    <w:name w:val="annotation subject"/>
    <w:basedOn w:val="CommentText"/>
    <w:next w:val="CommentText"/>
    <w:link w:val="CommentSubjectChar"/>
    <w:uiPriority w:val="99"/>
    <w:semiHidden/>
    <w:unhideWhenUsed/>
    <w:rsid w:val="004745AC"/>
    <w:rPr>
      <w:b/>
      <w:bCs/>
    </w:rPr>
  </w:style>
  <w:style w:type="character" w:customStyle="1" w:styleId="CommentSubjectChar">
    <w:name w:val="Comment Subject Char"/>
    <w:basedOn w:val="CommentTextChar"/>
    <w:link w:val="CommentSubject"/>
    <w:uiPriority w:val="99"/>
    <w:semiHidden/>
    <w:rsid w:val="004745AC"/>
    <w:rPr>
      <w:b/>
      <w:bCs/>
      <w:sz w:val="20"/>
      <w:szCs w:val="20"/>
      <w:lang w:val="sq-AL"/>
    </w:rPr>
  </w:style>
  <w:style w:type="paragraph" w:styleId="HTMLPreformatted">
    <w:name w:val="HTML Preformatted"/>
    <w:basedOn w:val="Normal"/>
    <w:link w:val="HTMLPreformattedChar"/>
    <w:uiPriority w:val="99"/>
    <w:semiHidden/>
    <w:unhideWhenUsed/>
    <w:qFormat/>
    <w:rsid w:val="00653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sq-AL"/>
      <w14:ligatures w14:val="none"/>
    </w:rPr>
  </w:style>
  <w:style w:type="character" w:customStyle="1" w:styleId="HTMLPreformattedChar">
    <w:name w:val="HTML Preformatted Char"/>
    <w:basedOn w:val="DefaultParagraphFont"/>
    <w:link w:val="HTMLPreformatted"/>
    <w:uiPriority w:val="99"/>
    <w:semiHidden/>
    <w:qFormat/>
    <w:rsid w:val="0065324E"/>
    <w:rPr>
      <w:rFonts w:ascii="Courier New" w:eastAsia="Times New Roman" w:hAnsi="Courier New" w:cs="Courier New"/>
      <w:kern w:val="0"/>
      <w:sz w:val="20"/>
      <w:szCs w:val="20"/>
      <w:lang w:val="sq-AL" w:eastAsia="sq-AL"/>
      <w14:ligatures w14:val="none"/>
    </w:rPr>
  </w:style>
  <w:style w:type="character" w:customStyle="1" w:styleId="y2iqfc">
    <w:name w:val="y2iqfc"/>
    <w:basedOn w:val="DefaultParagraphFont"/>
    <w:rsid w:val="00ED10BB"/>
  </w:style>
  <w:style w:type="paragraph" w:customStyle="1" w:styleId="paragraph">
    <w:name w:val="paragraph"/>
    <w:basedOn w:val="Normal"/>
    <w:rsid w:val="003654EA"/>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eop">
    <w:name w:val="eop"/>
    <w:basedOn w:val="DefaultParagraphFont"/>
    <w:rsid w:val="0005472D"/>
  </w:style>
  <w:style w:type="character" w:customStyle="1" w:styleId="normaltextrun">
    <w:name w:val="normaltextrun"/>
    <w:basedOn w:val="DefaultParagraphFont"/>
    <w:rsid w:val="0005472D"/>
  </w:style>
  <w:style w:type="paragraph" w:styleId="Revision">
    <w:name w:val="Revision"/>
    <w:hidden/>
    <w:uiPriority w:val="99"/>
    <w:semiHidden/>
    <w:rsid w:val="000C745C"/>
    <w:pPr>
      <w:spacing w:after="0" w:line="240" w:lineRule="auto"/>
    </w:pPr>
    <w:rPr>
      <w:lang w:val="sq-AL"/>
    </w:rPr>
  </w:style>
  <w:style w:type="character" w:styleId="Hyperlink">
    <w:name w:val="Hyperlink"/>
    <w:basedOn w:val="DefaultParagraphFont"/>
    <w:uiPriority w:val="99"/>
    <w:unhideWhenUsed/>
    <w:rsid w:val="000C072F"/>
    <w:rPr>
      <w:color w:val="0563C1" w:themeColor="hyperlink"/>
      <w:u w:val="single"/>
    </w:rPr>
  </w:style>
  <w:style w:type="character" w:styleId="UnresolvedMention">
    <w:name w:val="Unresolved Mention"/>
    <w:basedOn w:val="DefaultParagraphFont"/>
    <w:uiPriority w:val="99"/>
    <w:semiHidden/>
    <w:unhideWhenUsed/>
    <w:rsid w:val="000C072F"/>
    <w:rPr>
      <w:color w:val="605E5C"/>
      <w:shd w:val="clear" w:color="auto" w:fill="E1DFDD"/>
    </w:rPr>
  </w:style>
  <w:style w:type="paragraph" w:customStyle="1" w:styleId="xmsonormal">
    <w:name w:val="x_msonormal"/>
    <w:basedOn w:val="Normal"/>
    <w:rsid w:val="00927733"/>
    <w:pPr>
      <w:spacing w:before="100" w:beforeAutospacing="1" w:after="100" w:afterAutospacing="1" w:line="240" w:lineRule="auto"/>
    </w:pPr>
    <w:rPr>
      <w:rFonts w:ascii="Times New Roman" w:eastAsia="Times New Roman" w:hAnsi="Times New Roman" w:cs="Times New Roman"/>
      <w:kern w:val="0"/>
      <w:lang w:eastAsia="sq-AL"/>
      <w14:ligatures w14:val="none"/>
    </w:rPr>
  </w:style>
  <w:style w:type="paragraph" w:styleId="BodyText">
    <w:name w:val="Body Text"/>
    <w:basedOn w:val="Normal"/>
    <w:link w:val="BodyTextChar"/>
    <w:uiPriority w:val="1"/>
    <w:qFormat/>
    <w:rsid w:val="00DC494C"/>
    <w:pPr>
      <w:widowControl w:val="0"/>
      <w:autoSpaceDE w:val="0"/>
      <w:autoSpaceDN w:val="0"/>
      <w:spacing w:after="0" w:line="240" w:lineRule="auto"/>
      <w:ind w:left="568"/>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DC494C"/>
    <w:rPr>
      <w:rFonts w:ascii="Times New Roman" w:eastAsia="Times New Roman" w:hAnsi="Times New Roman" w:cs="Times New Roman"/>
      <w:kern w:val="0"/>
      <w:lang w:val="sq-AL"/>
      <w14:ligatures w14:val="none"/>
    </w:rPr>
  </w:style>
  <w:style w:type="character" w:styleId="Emphasis">
    <w:name w:val="Emphasis"/>
    <w:basedOn w:val="DefaultParagraphFont"/>
    <w:uiPriority w:val="20"/>
    <w:qFormat/>
    <w:rsid w:val="00C53659"/>
    <w:rPr>
      <w:i/>
      <w:iCs/>
    </w:rPr>
  </w:style>
  <w:style w:type="table" w:styleId="GridTable6Colorful-Accent6">
    <w:name w:val="Grid Table 6 Colorful Accent 6"/>
    <w:basedOn w:val="TableNormal"/>
    <w:uiPriority w:val="51"/>
    <w:rsid w:val="00317E7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Heading">
    <w:name w:val="TOC Heading"/>
    <w:basedOn w:val="Heading1"/>
    <w:next w:val="Normal"/>
    <w:uiPriority w:val="39"/>
    <w:unhideWhenUsed/>
    <w:qFormat/>
    <w:rsid w:val="00592C43"/>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592C43"/>
    <w:pPr>
      <w:spacing w:before="120" w:after="0"/>
    </w:pPr>
    <w:rPr>
      <w:rFonts w:cstheme="minorHAnsi"/>
      <w:b/>
      <w:bCs/>
      <w:i/>
      <w:iCs/>
    </w:rPr>
  </w:style>
  <w:style w:type="paragraph" w:styleId="TOC2">
    <w:name w:val="toc 2"/>
    <w:basedOn w:val="Normal"/>
    <w:next w:val="Normal"/>
    <w:autoRedefine/>
    <w:uiPriority w:val="39"/>
    <w:unhideWhenUsed/>
    <w:rsid w:val="00592C43"/>
    <w:pPr>
      <w:spacing w:before="120" w:after="0"/>
      <w:ind w:left="240"/>
    </w:pPr>
    <w:rPr>
      <w:rFonts w:cstheme="minorHAnsi"/>
      <w:b/>
      <w:bCs/>
      <w:sz w:val="22"/>
      <w:szCs w:val="22"/>
    </w:rPr>
  </w:style>
  <w:style w:type="paragraph" w:styleId="TOC3">
    <w:name w:val="toc 3"/>
    <w:basedOn w:val="Normal"/>
    <w:next w:val="Normal"/>
    <w:autoRedefine/>
    <w:uiPriority w:val="39"/>
    <w:unhideWhenUsed/>
    <w:rsid w:val="00592C43"/>
    <w:pPr>
      <w:spacing w:after="0"/>
      <w:ind w:left="480"/>
    </w:pPr>
    <w:rPr>
      <w:rFonts w:cstheme="minorHAnsi"/>
      <w:sz w:val="20"/>
      <w:szCs w:val="20"/>
    </w:rPr>
  </w:style>
  <w:style w:type="paragraph" w:styleId="TOC4">
    <w:name w:val="toc 4"/>
    <w:basedOn w:val="Normal"/>
    <w:next w:val="Normal"/>
    <w:autoRedefine/>
    <w:uiPriority w:val="39"/>
    <w:semiHidden/>
    <w:unhideWhenUsed/>
    <w:rsid w:val="00592C43"/>
    <w:pPr>
      <w:spacing w:after="0"/>
      <w:ind w:left="720"/>
    </w:pPr>
    <w:rPr>
      <w:rFonts w:cstheme="minorHAnsi"/>
      <w:sz w:val="20"/>
      <w:szCs w:val="20"/>
    </w:rPr>
  </w:style>
  <w:style w:type="paragraph" w:styleId="TOC5">
    <w:name w:val="toc 5"/>
    <w:basedOn w:val="Normal"/>
    <w:next w:val="Normal"/>
    <w:autoRedefine/>
    <w:uiPriority w:val="39"/>
    <w:semiHidden/>
    <w:unhideWhenUsed/>
    <w:rsid w:val="00592C43"/>
    <w:pPr>
      <w:spacing w:after="0"/>
      <w:ind w:left="960"/>
    </w:pPr>
    <w:rPr>
      <w:rFonts w:cstheme="minorHAnsi"/>
      <w:sz w:val="20"/>
      <w:szCs w:val="20"/>
    </w:rPr>
  </w:style>
  <w:style w:type="paragraph" w:styleId="TOC6">
    <w:name w:val="toc 6"/>
    <w:basedOn w:val="Normal"/>
    <w:next w:val="Normal"/>
    <w:autoRedefine/>
    <w:uiPriority w:val="39"/>
    <w:semiHidden/>
    <w:unhideWhenUsed/>
    <w:rsid w:val="00592C43"/>
    <w:pPr>
      <w:spacing w:after="0"/>
      <w:ind w:left="1200"/>
    </w:pPr>
    <w:rPr>
      <w:rFonts w:cstheme="minorHAnsi"/>
      <w:sz w:val="20"/>
      <w:szCs w:val="20"/>
    </w:rPr>
  </w:style>
  <w:style w:type="paragraph" w:styleId="TOC7">
    <w:name w:val="toc 7"/>
    <w:basedOn w:val="Normal"/>
    <w:next w:val="Normal"/>
    <w:autoRedefine/>
    <w:uiPriority w:val="39"/>
    <w:semiHidden/>
    <w:unhideWhenUsed/>
    <w:rsid w:val="00592C43"/>
    <w:pPr>
      <w:spacing w:after="0"/>
      <w:ind w:left="1440"/>
    </w:pPr>
    <w:rPr>
      <w:rFonts w:cstheme="minorHAnsi"/>
      <w:sz w:val="20"/>
      <w:szCs w:val="20"/>
    </w:rPr>
  </w:style>
  <w:style w:type="paragraph" w:styleId="TOC8">
    <w:name w:val="toc 8"/>
    <w:basedOn w:val="Normal"/>
    <w:next w:val="Normal"/>
    <w:autoRedefine/>
    <w:uiPriority w:val="39"/>
    <w:semiHidden/>
    <w:unhideWhenUsed/>
    <w:rsid w:val="00592C43"/>
    <w:pPr>
      <w:spacing w:after="0"/>
      <w:ind w:left="1680"/>
    </w:pPr>
    <w:rPr>
      <w:rFonts w:cstheme="minorHAnsi"/>
      <w:sz w:val="20"/>
      <w:szCs w:val="20"/>
    </w:rPr>
  </w:style>
  <w:style w:type="paragraph" w:styleId="TOC9">
    <w:name w:val="toc 9"/>
    <w:basedOn w:val="Normal"/>
    <w:next w:val="Normal"/>
    <w:autoRedefine/>
    <w:uiPriority w:val="39"/>
    <w:semiHidden/>
    <w:unhideWhenUsed/>
    <w:rsid w:val="00592C43"/>
    <w:pPr>
      <w:spacing w:after="0"/>
      <w:ind w:left="1920"/>
    </w:pPr>
    <w:rPr>
      <w:rFonts w:cstheme="minorHAnsi"/>
      <w:sz w:val="20"/>
      <w:szCs w:val="20"/>
    </w:rPr>
  </w:style>
  <w:style w:type="character" w:styleId="FollowedHyperlink">
    <w:name w:val="FollowedHyperlink"/>
    <w:basedOn w:val="DefaultParagraphFont"/>
    <w:uiPriority w:val="99"/>
    <w:semiHidden/>
    <w:unhideWhenUsed/>
    <w:rsid w:val="00A86C95"/>
    <w:rPr>
      <w:color w:val="954F72" w:themeColor="followedHyperlink"/>
      <w:u w:val="single"/>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uiPriority w:val="99"/>
    <w:rsid w:val="00696399"/>
    <w:pPr>
      <w:spacing w:line="240" w:lineRule="exact"/>
    </w:pPr>
    <w:rPr>
      <w:rFonts w:eastAsiaTheme="minorHAnsi"/>
      <w:vertAlign w:val="superscript"/>
    </w:rPr>
  </w:style>
  <w:style w:type="character" w:customStyle="1" w:styleId="hps">
    <w:name w:val="hps"/>
    <w:basedOn w:val="DefaultParagraphFont"/>
    <w:uiPriority w:val="99"/>
    <w:rsid w:val="00696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413">
      <w:bodyDiv w:val="1"/>
      <w:marLeft w:val="0"/>
      <w:marRight w:val="0"/>
      <w:marTop w:val="0"/>
      <w:marBottom w:val="0"/>
      <w:divBdr>
        <w:top w:val="none" w:sz="0" w:space="0" w:color="auto"/>
        <w:left w:val="none" w:sz="0" w:space="0" w:color="auto"/>
        <w:bottom w:val="none" w:sz="0" w:space="0" w:color="auto"/>
        <w:right w:val="none" w:sz="0" w:space="0" w:color="auto"/>
      </w:divBdr>
    </w:div>
    <w:div w:id="10492141">
      <w:bodyDiv w:val="1"/>
      <w:marLeft w:val="0"/>
      <w:marRight w:val="0"/>
      <w:marTop w:val="0"/>
      <w:marBottom w:val="0"/>
      <w:divBdr>
        <w:top w:val="none" w:sz="0" w:space="0" w:color="auto"/>
        <w:left w:val="none" w:sz="0" w:space="0" w:color="auto"/>
        <w:bottom w:val="none" w:sz="0" w:space="0" w:color="auto"/>
        <w:right w:val="none" w:sz="0" w:space="0" w:color="auto"/>
      </w:divBdr>
    </w:div>
    <w:div w:id="15929061">
      <w:bodyDiv w:val="1"/>
      <w:marLeft w:val="0"/>
      <w:marRight w:val="0"/>
      <w:marTop w:val="0"/>
      <w:marBottom w:val="0"/>
      <w:divBdr>
        <w:top w:val="none" w:sz="0" w:space="0" w:color="auto"/>
        <w:left w:val="none" w:sz="0" w:space="0" w:color="auto"/>
        <w:bottom w:val="none" w:sz="0" w:space="0" w:color="auto"/>
        <w:right w:val="none" w:sz="0" w:space="0" w:color="auto"/>
      </w:divBdr>
    </w:div>
    <w:div w:id="29915088">
      <w:bodyDiv w:val="1"/>
      <w:marLeft w:val="0"/>
      <w:marRight w:val="0"/>
      <w:marTop w:val="0"/>
      <w:marBottom w:val="0"/>
      <w:divBdr>
        <w:top w:val="none" w:sz="0" w:space="0" w:color="auto"/>
        <w:left w:val="none" w:sz="0" w:space="0" w:color="auto"/>
        <w:bottom w:val="none" w:sz="0" w:space="0" w:color="auto"/>
        <w:right w:val="none" w:sz="0" w:space="0" w:color="auto"/>
      </w:divBdr>
    </w:div>
    <w:div w:id="36902137">
      <w:bodyDiv w:val="1"/>
      <w:marLeft w:val="0"/>
      <w:marRight w:val="0"/>
      <w:marTop w:val="0"/>
      <w:marBottom w:val="0"/>
      <w:divBdr>
        <w:top w:val="none" w:sz="0" w:space="0" w:color="auto"/>
        <w:left w:val="none" w:sz="0" w:space="0" w:color="auto"/>
        <w:bottom w:val="none" w:sz="0" w:space="0" w:color="auto"/>
        <w:right w:val="none" w:sz="0" w:space="0" w:color="auto"/>
      </w:divBdr>
    </w:div>
    <w:div w:id="39936710">
      <w:bodyDiv w:val="1"/>
      <w:marLeft w:val="0"/>
      <w:marRight w:val="0"/>
      <w:marTop w:val="0"/>
      <w:marBottom w:val="0"/>
      <w:divBdr>
        <w:top w:val="none" w:sz="0" w:space="0" w:color="auto"/>
        <w:left w:val="none" w:sz="0" w:space="0" w:color="auto"/>
        <w:bottom w:val="none" w:sz="0" w:space="0" w:color="auto"/>
        <w:right w:val="none" w:sz="0" w:space="0" w:color="auto"/>
      </w:divBdr>
    </w:div>
    <w:div w:id="40833668">
      <w:bodyDiv w:val="1"/>
      <w:marLeft w:val="0"/>
      <w:marRight w:val="0"/>
      <w:marTop w:val="0"/>
      <w:marBottom w:val="0"/>
      <w:divBdr>
        <w:top w:val="none" w:sz="0" w:space="0" w:color="auto"/>
        <w:left w:val="none" w:sz="0" w:space="0" w:color="auto"/>
        <w:bottom w:val="none" w:sz="0" w:space="0" w:color="auto"/>
        <w:right w:val="none" w:sz="0" w:space="0" w:color="auto"/>
      </w:divBdr>
    </w:div>
    <w:div w:id="42827129">
      <w:bodyDiv w:val="1"/>
      <w:marLeft w:val="0"/>
      <w:marRight w:val="0"/>
      <w:marTop w:val="0"/>
      <w:marBottom w:val="0"/>
      <w:divBdr>
        <w:top w:val="none" w:sz="0" w:space="0" w:color="auto"/>
        <w:left w:val="none" w:sz="0" w:space="0" w:color="auto"/>
        <w:bottom w:val="none" w:sz="0" w:space="0" w:color="auto"/>
        <w:right w:val="none" w:sz="0" w:space="0" w:color="auto"/>
      </w:divBdr>
    </w:div>
    <w:div w:id="44566893">
      <w:bodyDiv w:val="1"/>
      <w:marLeft w:val="0"/>
      <w:marRight w:val="0"/>
      <w:marTop w:val="0"/>
      <w:marBottom w:val="0"/>
      <w:divBdr>
        <w:top w:val="none" w:sz="0" w:space="0" w:color="auto"/>
        <w:left w:val="none" w:sz="0" w:space="0" w:color="auto"/>
        <w:bottom w:val="none" w:sz="0" w:space="0" w:color="auto"/>
        <w:right w:val="none" w:sz="0" w:space="0" w:color="auto"/>
      </w:divBdr>
    </w:div>
    <w:div w:id="49379839">
      <w:bodyDiv w:val="1"/>
      <w:marLeft w:val="0"/>
      <w:marRight w:val="0"/>
      <w:marTop w:val="0"/>
      <w:marBottom w:val="0"/>
      <w:divBdr>
        <w:top w:val="none" w:sz="0" w:space="0" w:color="auto"/>
        <w:left w:val="none" w:sz="0" w:space="0" w:color="auto"/>
        <w:bottom w:val="none" w:sz="0" w:space="0" w:color="auto"/>
        <w:right w:val="none" w:sz="0" w:space="0" w:color="auto"/>
      </w:divBdr>
    </w:div>
    <w:div w:id="64037265">
      <w:bodyDiv w:val="1"/>
      <w:marLeft w:val="0"/>
      <w:marRight w:val="0"/>
      <w:marTop w:val="0"/>
      <w:marBottom w:val="0"/>
      <w:divBdr>
        <w:top w:val="none" w:sz="0" w:space="0" w:color="auto"/>
        <w:left w:val="none" w:sz="0" w:space="0" w:color="auto"/>
        <w:bottom w:val="none" w:sz="0" w:space="0" w:color="auto"/>
        <w:right w:val="none" w:sz="0" w:space="0" w:color="auto"/>
      </w:divBdr>
    </w:div>
    <w:div w:id="69081487">
      <w:bodyDiv w:val="1"/>
      <w:marLeft w:val="0"/>
      <w:marRight w:val="0"/>
      <w:marTop w:val="0"/>
      <w:marBottom w:val="0"/>
      <w:divBdr>
        <w:top w:val="none" w:sz="0" w:space="0" w:color="auto"/>
        <w:left w:val="none" w:sz="0" w:space="0" w:color="auto"/>
        <w:bottom w:val="none" w:sz="0" w:space="0" w:color="auto"/>
        <w:right w:val="none" w:sz="0" w:space="0" w:color="auto"/>
      </w:divBdr>
    </w:div>
    <w:div w:id="73359978">
      <w:bodyDiv w:val="1"/>
      <w:marLeft w:val="0"/>
      <w:marRight w:val="0"/>
      <w:marTop w:val="0"/>
      <w:marBottom w:val="0"/>
      <w:divBdr>
        <w:top w:val="none" w:sz="0" w:space="0" w:color="auto"/>
        <w:left w:val="none" w:sz="0" w:space="0" w:color="auto"/>
        <w:bottom w:val="none" w:sz="0" w:space="0" w:color="auto"/>
        <w:right w:val="none" w:sz="0" w:space="0" w:color="auto"/>
      </w:divBdr>
      <w:divsChild>
        <w:div w:id="1239752679">
          <w:marLeft w:val="0"/>
          <w:marRight w:val="0"/>
          <w:marTop w:val="0"/>
          <w:marBottom w:val="0"/>
          <w:divBdr>
            <w:top w:val="none" w:sz="0" w:space="0" w:color="auto"/>
            <w:left w:val="none" w:sz="0" w:space="0" w:color="auto"/>
            <w:bottom w:val="none" w:sz="0" w:space="0" w:color="auto"/>
            <w:right w:val="none" w:sz="0" w:space="0" w:color="auto"/>
          </w:divBdr>
          <w:divsChild>
            <w:div w:id="884950236">
              <w:marLeft w:val="0"/>
              <w:marRight w:val="0"/>
              <w:marTop w:val="0"/>
              <w:marBottom w:val="0"/>
              <w:divBdr>
                <w:top w:val="none" w:sz="0" w:space="0" w:color="auto"/>
                <w:left w:val="none" w:sz="0" w:space="0" w:color="auto"/>
                <w:bottom w:val="none" w:sz="0" w:space="0" w:color="auto"/>
                <w:right w:val="none" w:sz="0" w:space="0" w:color="auto"/>
              </w:divBdr>
              <w:divsChild>
                <w:div w:id="234049970">
                  <w:marLeft w:val="0"/>
                  <w:marRight w:val="0"/>
                  <w:marTop w:val="0"/>
                  <w:marBottom w:val="0"/>
                  <w:divBdr>
                    <w:top w:val="none" w:sz="0" w:space="0" w:color="auto"/>
                    <w:left w:val="none" w:sz="0" w:space="0" w:color="auto"/>
                    <w:bottom w:val="none" w:sz="0" w:space="0" w:color="auto"/>
                    <w:right w:val="none" w:sz="0" w:space="0" w:color="auto"/>
                  </w:divBdr>
                  <w:divsChild>
                    <w:div w:id="1239680304">
                      <w:marLeft w:val="0"/>
                      <w:marRight w:val="0"/>
                      <w:marTop w:val="0"/>
                      <w:marBottom w:val="0"/>
                      <w:divBdr>
                        <w:top w:val="none" w:sz="0" w:space="0" w:color="auto"/>
                        <w:left w:val="none" w:sz="0" w:space="0" w:color="auto"/>
                        <w:bottom w:val="none" w:sz="0" w:space="0" w:color="auto"/>
                        <w:right w:val="none" w:sz="0" w:space="0" w:color="auto"/>
                      </w:divBdr>
                      <w:divsChild>
                        <w:div w:id="174927784">
                          <w:marLeft w:val="0"/>
                          <w:marRight w:val="0"/>
                          <w:marTop w:val="0"/>
                          <w:marBottom w:val="0"/>
                          <w:divBdr>
                            <w:top w:val="none" w:sz="0" w:space="0" w:color="auto"/>
                            <w:left w:val="none" w:sz="0" w:space="0" w:color="auto"/>
                            <w:bottom w:val="none" w:sz="0" w:space="0" w:color="auto"/>
                            <w:right w:val="none" w:sz="0" w:space="0" w:color="auto"/>
                          </w:divBdr>
                          <w:divsChild>
                            <w:div w:id="12484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80612">
      <w:bodyDiv w:val="1"/>
      <w:marLeft w:val="0"/>
      <w:marRight w:val="0"/>
      <w:marTop w:val="0"/>
      <w:marBottom w:val="0"/>
      <w:divBdr>
        <w:top w:val="none" w:sz="0" w:space="0" w:color="auto"/>
        <w:left w:val="none" w:sz="0" w:space="0" w:color="auto"/>
        <w:bottom w:val="none" w:sz="0" w:space="0" w:color="auto"/>
        <w:right w:val="none" w:sz="0" w:space="0" w:color="auto"/>
      </w:divBdr>
    </w:div>
    <w:div w:id="86117788">
      <w:bodyDiv w:val="1"/>
      <w:marLeft w:val="0"/>
      <w:marRight w:val="0"/>
      <w:marTop w:val="0"/>
      <w:marBottom w:val="0"/>
      <w:divBdr>
        <w:top w:val="none" w:sz="0" w:space="0" w:color="auto"/>
        <w:left w:val="none" w:sz="0" w:space="0" w:color="auto"/>
        <w:bottom w:val="none" w:sz="0" w:space="0" w:color="auto"/>
        <w:right w:val="none" w:sz="0" w:space="0" w:color="auto"/>
      </w:divBdr>
    </w:div>
    <w:div w:id="87622992">
      <w:bodyDiv w:val="1"/>
      <w:marLeft w:val="0"/>
      <w:marRight w:val="0"/>
      <w:marTop w:val="0"/>
      <w:marBottom w:val="0"/>
      <w:divBdr>
        <w:top w:val="none" w:sz="0" w:space="0" w:color="auto"/>
        <w:left w:val="none" w:sz="0" w:space="0" w:color="auto"/>
        <w:bottom w:val="none" w:sz="0" w:space="0" w:color="auto"/>
        <w:right w:val="none" w:sz="0" w:space="0" w:color="auto"/>
      </w:divBdr>
    </w:div>
    <w:div w:id="94056299">
      <w:bodyDiv w:val="1"/>
      <w:marLeft w:val="0"/>
      <w:marRight w:val="0"/>
      <w:marTop w:val="0"/>
      <w:marBottom w:val="0"/>
      <w:divBdr>
        <w:top w:val="none" w:sz="0" w:space="0" w:color="auto"/>
        <w:left w:val="none" w:sz="0" w:space="0" w:color="auto"/>
        <w:bottom w:val="none" w:sz="0" w:space="0" w:color="auto"/>
        <w:right w:val="none" w:sz="0" w:space="0" w:color="auto"/>
      </w:divBdr>
    </w:div>
    <w:div w:id="103351493">
      <w:bodyDiv w:val="1"/>
      <w:marLeft w:val="0"/>
      <w:marRight w:val="0"/>
      <w:marTop w:val="0"/>
      <w:marBottom w:val="0"/>
      <w:divBdr>
        <w:top w:val="none" w:sz="0" w:space="0" w:color="auto"/>
        <w:left w:val="none" w:sz="0" w:space="0" w:color="auto"/>
        <w:bottom w:val="none" w:sz="0" w:space="0" w:color="auto"/>
        <w:right w:val="none" w:sz="0" w:space="0" w:color="auto"/>
      </w:divBdr>
    </w:div>
    <w:div w:id="110512650">
      <w:bodyDiv w:val="1"/>
      <w:marLeft w:val="0"/>
      <w:marRight w:val="0"/>
      <w:marTop w:val="0"/>
      <w:marBottom w:val="0"/>
      <w:divBdr>
        <w:top w:val="none" w:sz="0" w:space="0" w:color="auto"/>
        <w:left w:val="none" w:sz="0" w:space="0" w:color="auto"/>
        <w:bottom w:val="none" w:sz="0" w:space="0" w:color="auto"/>
        <w:right w:val="none" w:sz="0" w:space="0" w:color="auto"/>
      </w:divBdr>
      <w:divsChild>
        <w:div w:id="876702056">
          <w:marLeft w:val="446"/>
          <w:marRight w:val="0"/>
          <w:marTop w:val="0"/>
          <w:marBottom w:val="0"/>
          <w:divBdr>
            <w:top w:val="none" w:sz="0" w:space="0" w:color="auto"/>
            <w:left w:val="none" w:sz="0" w:space="0" w:color="auto"/>
            <w:bottom w:val="none" w:sz="0" w:space="0" w:color="auto"/>
            <w:right w:val="none" w:sz="0" w:space="0" w:color="auto"/>
          </w:divBdr>
        </w:div>
        <w:div w:id="920798556">
          <w:marLeft w:val="446"/>
          <w:marRight w:val="0"/>
          <w:marTop w:val="0"/>
          <w:marBottom w:val="0"/>
          <w:divBdr>
            <w:top w:val="none" w:sz="0" w:space="0" w:color="auto"/>
            <w:left w:val="none" w:sz="0" w:space="0" w:color="auto"/>
            <w:bottom w:val="none" w:sz="0" w:space="0" w:color="auto"/>
            <w:right w:val="none" w:sz="0" w:space="0" w:color="auto"/>
          </w:divBdr>
        </w:div>
        <w:div w:id="1435133290">
          <w:marLeft w:val="446"/>
          <w:marRight w:val="0"/>
          <w:marTop w:val="0"/>
          <w:marBottom w:val="0"/>
          <w:divBdr>
            <w:top w:val="none" w:sz="0" w:space="0" w:color="auto"/>
            <w:left w:val="none" w:sz="0" w:space="0" w:color="auto"/>
            <w:bottom w:val="none" w:sz="0" w:space="0" w:color="auto"/>
            <w:right w:val="none" w:sz="0" w:space="0" w:color="auto"/>
          </w:divBdr>
        </w:div>
      </w:divsChild>
    </w:div>
    <w:div w:id="117263646">
      <w:bodyDiv w:val="1"/>
      <w:marLeft w:val="0"/>
      <w:marRight w:val="0"/>
      <w:marTop w:val="0"/>
      <w:marBottom w:val="0"/>
      <w:divBdr>
        <w:top w:val="none" w:sz="0" w:space="0" w:color="auto"/>
        <w:left w:val="none" w:sz="0" w:space="0" w:color="auto"/>
        <w:bottom w:val="none" w:sz="0" w:space="0" w:color="auto"/>
        <w:right w:val="none" w:sz="0" w:space="0" w:color="auto"/>
      </w:divBdr>
    </w:div>
    <w:div w:id="132597873">
      <w:bodyDiv w:val="1"/>
      <w:marLeft w:val="0"/>
      <w:marRight w:val="0"/>
      <w:marTop w:val="0"/>
      <w:marBottom w:val="0"/>
      <w:divBdr>
        <w:top w:val="none" w:sz="0" w:space="0" w:color="auto"/>
        <w:left w:val="none" w:sz="0" w:space="0" w:color="auto"/>
        <w:bottom w:val="none" w:sz="0" w:space="0" w:color="auto"/>
        <w:right w:val="none" w:sz="0" w:space="0" w:color="auto"/>
      </w:divBdr>
    </w:div>
    <w:div w:id="133642569">
      <w:bodyDiv w:val="1"/>
      <w:marLeft w:val="0"/>
      <w:marRight w:val="0"/>
      <w:marTop w:val="0"/>
      <w:marBottom w:val="0"/>
      <w:divBdr>
        <w:top w:val="none" w:sz="0" w:space="0" w:color="auto"/>
        <w:left w:val="none" w:sz="0" w:space="0" w:color="auto"/>
        <w:bottom w:val="none" w:sz="0" w:space="0" w:color="auto"/>
        <w:right w:val="none" w:sz="0" w:space="0" w:color="auto"/>
      </w:divBdr>
    </w:div>
    <w:div w:id="135029252">
      <w:bodyDiv w:val="1"/>
      <w:marLeft w:val="0"/>
      <w:marRight w:val="0"/>
      <w:marTop w:val="0"/>
      <w:marBottom w:val="0"/>
      <w:divBdr>
        <w:top w:val="none" w:sz="0" w:space="0" w:color="auto"/>
        <w:left w:val="none" w:sz="0" w:space="0" w:color="auto"/>
        <w:bottom w:val="none" w:sz="0" w:space="0" w:color="auto"/>
        <w:right w:val="none" w:sz="0" w:space="0" w:color="auto"/>
      </w:divBdr>
    </w:div>
    <w:div w:id="146017854">
      <w:bodyDiv w:val="1"/>
      <w:marLeft w:val="0"/>
      <w:marRight w:val="0"/>
      <w:marTop w:val="0"/>
      <w:marBottom w:val="0"/>
      <w:divBdr>
        <w:top w:val="none" w:sz="0" w:space="0" w:color="auto"/>
        <w:left w:val="none" w:sz="0" w:space="0" w:color="auto"/>
        <w:bottom w:val="none" w:sz="0" w:space="0" w:color="auto"/>
        <w:right w:val="none" w:sz="0" w:space="0" w:color="auto"/>
      </w:divBdr>
    </w:div>
    <w:div w:id="161966633">
      <w:bodyDiv w:val="1"/>
      <w:marLeft w:val="0"/>
      <w:marRight w:val="0"/>
      <w:marTop w:val="0"/>
      <w:marBottom w:val="0"/>
      <w:divBdr>
        <w:top w:val="none" w:sz="0" w:space="0" w:color="auto"/>
        <w:left w:val="none" w:sz="0" w:space="0" w:color="auto"/>
        <w:bottom w:val="none" w:sz="0" w:space="0" w:color="auto"/>
        <w:right w:val="none" w:sz="0" w:space="0" w:color="auto"/>
      </w:divBdr>
    </w:div>
    <w:div w:id="164707572">
      <w:bodyDiv w:val="1"/>
      <w:marLeft w:val="0"/>
      <w:marRight w:val="0"/>
      <w:marTop w:val="0"/>
      <w:marBottom w:val="0"/>
      <w:divBdr>
        <w:top w:val="none" w:sz="0" w:space="0" w:color="auto"/>
        <w:left w:val="none" w:sz="0" w:space="0" w:color="auto"/>
        <w:bottom w:val="none" w:sz="0" w:space="0" w:color="auto"/>
        <w:right w:val="none" w:sz="0" w:space="0" w:color="auto"/>
      </w:divBdr>
    </w:div>
    <w:div w:id="167595954">
      <w:bodyDiv w:val="1"/>
      <w:marLeft w:val="0"/>
      <w:marRight w:val="0"/>
      <w:marTop w:val="0"/>
      <w:marBottom w:val="0"/>
      <w:divBdr>
        <w:top w:val="none" w:sz="0" w:space="0" w:color="auto"/>
        <w:left w:val="none" w:sz="0" w:space="0" w:color="auto"/>
        <w:bottom w:val="none" w:sz="0" w:space="0" w:color="auto"/>
        <w:right w:val="none" w:sz="0" w:space="0" w:color="auto"/>
      </w:divBdr>
    </w:div>
    <w:div w:id="169954308">
      <w:bodyDiv w:val="1"/>
      <w:marLeft w:val="0"/>
      <w:marRight w:val="0"/>
      <w:marTop w:val="0"/>
      <w:marBottom w:val="0"/>
      <w:divBdr>
        <w:top w:val="none" w:sz="0" w:space="0" w:color="auto"/>
        <w:left w:val="none" w:sz="0" w:space="0" w:color="auto"/>
        <w:bottom w:val="none" w:sz="0" w:space="0" w:color="auto"/>
        <w:right w:val="none" w:sz="0" w:space="0" w:color="auto"/>
      </w:divBdr>
    </w:div>
    <w:div w:id="183910249">
      <w:bodyDiv w:val="1"/>
      <w:marLeft w:val="0"/>
      <w:marRight w:val="0"/>
      <w:marTop w:val="0"/>
      <w:marBottom w:val="0"/>
      <w:divBdr>
        <w:top w:val="none" w:sz="0" w:space="0" w:color="auto"/>
        <w:left w:val="none" w:sz="0" w:space="0" w:color="auto"/>
        <w:bottom w:val="none" w:sz="0" w:space="0" w:color="auto"/>
        <w:right w:val="none" w:sz="0" w:space="0" w:color="auto"/>
      </w:divBdr>
    </w:div>
    <w:div w:id="188497208">
      <w:bodyDiv w:val="1"/>
      <w:marLeft w:val="0"/>
      <w:marRight w:val="0"/>
      <w:marTop w:val="0"/>
      <w:marBottom w:val="0"/>
      <w:divBdr>
        <w:top w:val="none" w:sz="0" w:space="0" w:color="auto"/>
        <w:left w:val="none" w:sz="0" w:space="0" w:color="auto"/>
        <w:bottom w:val="none" w:sz="0" w:space="0" w:color="auto"/>
        <w:right w:val="none" w:sz="0" w:space="0" w:color="auto"/>
      </w:divBdr>
    </w:div>
    <w:div w:id="200410408">
      <w:bodyDiv w:val="1"/>
      <w:marLeft w:val="0"/>
      <w:marRight w:val="0"/>
      <w:marTop w:val="0"/>
      <w:marBottom w:val="0"/>
      <w:divBdr>
        <w:top w:val="none" w:sz="0" w:space="0" w:color="auto"/>
        <w:left w:val="none" w:sz="0" w:space="0" w:color="auto"/>
        <w:bottom w:val="none" w:sz="0" w:space="0" w:color="auto"/>
        <w:right w:val="none" w:sz="0" w:space="0" w:color="auto"/>
      </w:divBdr>
    </w:div>
    <w:div w:id="200896359">
      <w:bodyDiv w:val="1"/>
      <w:marLeft w:val="0"/>
      <w:marRight w:val="0"/>
      <w:marTop w:val="0"/>
      <w:marBottom w:val="0"/>
      <w:divBdr>
        <w:top w:val="none" w:sz="0" w:space="0" w:color="auto"/>
        <w:left w:val="none" w:sz="0" w:space="0" w:color="auto"/>
        <w:bottom w:val="none" w:sz="0" w:space="0" w:color="auto"/>
        <w:right w:val="none" w:sz="0" w:space="0" w:color="auto"/>
      </w:divBdr>
    </w:div>
    <w:div w:id="203836766">
      <w:bodyDiv w:val="1"/>
      <w:marLeft w:val="0"/>
      <w:marRight w:val="0"/>
      <w:marTop w:val="0"/>
      <w:marBottom w:val="0"/>
      <w:divBdr>
        <w:top w:val="none" w:sz="0" w:space="0" w:color="auto"/>
        <w:left w:val="none" w:sz="0" w:space="0" w:color="auto"/>
        <w:bottom w:val="none" w:sz="0" w:space="0" w:color="auto"/>
        <w:right w:val="none" w:sz="0" w:space="0" w:color="auto"/>
      </w:divBdr>
    </w:div>
    <w:div w:id="231282356">
      <w:bodyDiv w:val="1"/>
      <w:marLeft w:val="0"/>
      <w:marRight w:val="0"/>
      <w:marTop w:val="0"/>
      <w:marBottom w:val="0"/>
      <w:divBdr>
        <w:top w:val="none" w:sz="0" w:space="0" w:color="auto"/>
        <w:left w:val="none" w:sz="0" w:space="0" w:color="auto"/>
        <w:bottom w:val="none" w:sz="0" w:space="0" w:color="auto"/>
        <w:right w:val="none" w:sz="0" w:space="0" w:color="auto"/>
      </w:divBdr>
    </w:div>
    <w:div w:id="233050069">
      <w:bodyDiv w:val="1"/>
      <w:marLeft w:val="0"/>
      <w:marRight w:val="0"/>
      <w:marTop w:val="0"/>
      <w:marBottom w:val="0"/>
      <w:divBdr>
        <w:top w:val="none" w:sz="0" w:space="0" w:color="auto"/>
        <w:left w:val="none" w:sz="0" w:space="0" w:color="auto"/>
        <w:bottom w:val="none" w:sz="0" w:space="0" w:color="auto"/>
        <w:right w:val="none" w:sz="0" w:space="0" w:color="auto"/>
      </w:divBdr>
    </w:div>
    <w:div w:id="239678301">
      <w:bodyDiv w:val="1"/>
      <w:marLeft w:val="0"/>
      <w:marRight w:val="0"/>
      <w:marTop w:val="0"/>
      <w:marBottom w:val="0"/>
      <w:divBdr>
        <w:top w:val="none" w:sz="0" w:space="0" w:color="auto"/>
        <w:left w:val="none" w:sz="0" w:space="0" w:color="auto"/>
        <w:bottom w:val="none" w:sz="0" w:space="0" w:color="auto"/>
        <w:right w:val="none" w:sz="0" w:space="0" w:color="auto"/>
      </w:divBdr>
    </w:div>
    <w:div w:id="249388537">
      <w:bodyDiv w:val="1"/>
      <w:marLeft w:val="0"/>
      <w:marRight w:val="0"/>
      <w:marTop w:val="0"/>
      <w:marBottom w:val="0"/>
      <w:divBdr>
        <w:top w:val="none" w:sz="0" w:space="0" w:color="auto"/>
        <w:left w:val="none" w:sz="0" w:space="0" w:color="auto"/>
        <w:bottom w:val="none" w:sz="0" w:space="0" w:color="auto"/>
        <w:right w:val="none" w:sz="0" w:space="0" w:color="auto"/>
      </w:divBdr>
    </w:div>
    <w:div w:id="249849780">
      <w:bodyDiv w:val="1"/>
      <w:marLeft w:val="0"/>
      <w:marRight w:val="0"/>
      <w:marTop w:val="0"/>
      <w:marBottom w:val="0"/>
      <w:divBdr>
        <w:top w:val="none" w:sz="0" w:space="0" w:color="auto"/>
        <w:left w:val="none" w:sz="0" w:space="0" w:color="auto"/>
        <w:bottom w:val="none" w:sz="0" w:space="0" w:color="auto"/>
        <w:right w:val="none" w:sz="0" w:space="0" w:color="auto"/>
      </w:divBdr>
    </w:div>
    <w:div w:id="260070224">
      <w:bodyDiv w:val="1"/>
      <w:marLeft w:val="0"/>
      <w:marRight w:val="0"/>
      <w:marTop w:val="0"/>
      <w:marBottom w:val="0"/>
      <w:divBdr>
        <w:top w:val="none" w:sz="0" w:space="0" w:color="auto"/>
        <w:left w:val="none" w:sz="0" w:space="0" w:color="auto"/>
        <w:bottom w:val="none" w:sz="0" w:space="0" w:color="auto"/>
        <w:right w:val="none" w:sz="0" w:space="0" w:color="auto"/>
      </w:divBdr>
    </w:div>
    <w:div w:id="261300183">
      <w:bodyDiv w:val="1"/>
      <w:marLeft w:val="0"/>
      <w:marRight w:val="0"/>
      <w:marTop w:val="0"/>
      <w:marBottom w:val="0"/>
      <w:divBdr>
        <w:top w:val="none" w:sz="0" w:space="0" w:color="auto"/>
        <w:left w:val="none" w:sz="0" w:space="0" w:color="auto"/>
        <w:bottom w:val="none" w:sz="0" w:space="0" w:color="auto"/>
        <w:right w:val="none" w:sz="0" w:space="0" w:color="auto"/>
      </w:divBdr>
    </w:div>
    <w:div w:id="277642177">
      <w:bodyDiv w:val="1"/>
      <w:marLeft w:val="0"/>
      <w:marRight w:val="0"/>
      <w:marTop w:val="0"/>
      <w:marBottom w:val="0"/>
      <w:divBdr>
        <w:top w:val="none" w:sz="0" w:space="0" w:color="auto"/>
        <w:left w:val="none" w:sz="0" w:space="0" w:color="auto"/>
        <w:bottom w:val="none" w:sz="0" w:space="0" w:color="auto"/>
        <w:right w:val="none" w:sz="0" w:space="0" w:color="auto"/>
      </w:divBdr>
    </w:div>
    <w:div w:id="291911659">
      <w:bodyDiv w:val="1"/>
      <w:marLeft w:val="0"/>
      <w:marRight w:val="0"/>
      <w:marTop w:val="0"/>
      <w:marBottom w:val="0"/>
      <w:divBdr>
        <w:top w:val="none" w:sz="0" w:space="0" w:color="auto"/>
        <w:left w:val="none" w:sz="0" w:space="0" w:color="auto"/>
        <w:bottom w:val="none" w:sz="0" w:space="0" w:color="auto"/>
        <w:right w:val="none" w:sz="0" w:space="0" w:color="auto"/>
      </w:divBdr>
    </w:div>
    <w:div w:id="292685208">
      <w:bodyDiv w:val="1"/>
      <w:marLeft w:val="0"/>
      <w:marRight w:val="0"/>
      <w:marTop w:val="0"/>
      <w:marBottom w:val="0"/>
      <w:divBdr>
        <w:top w:val="none" w:sz="0" w:space="0" w:color="auto"/>
        <w:left w:val="none" w:sz="0" w:space="0" w:color="auto"/>
        <w:bottom w:val="none" w:sz="0" w:space="0" w:color="auto"/>
        <w:right w:val="none" w:sz="0" w:space="0" w:color="auto"/>
      </w:divBdr>
    </w:div>
    <w:div w:id="297077677">
      <w:bodyDiv w:val="1"/>
      <w:marLeft w:val="0"/>
      <w:marRight w:val="0"/>
      <w:marTop w:val="0"/>
      <w:marBottom w:val="0"/>
      <w:divBdr>
        <w:top w:val="none" w:sz="0" w:space="0" w:color="auto"/>
        <w:left w:val="none" w:sz="0" w:space="0" w:color="auto"/>
        <w:bottom w:val="none" w:sz="0" w:space="0" w:color="auto"/>
        <w:right w:val="none" w:sz="0" w:space="0" w:color="auto"/>
      </w:divBdr>
    </w:div>
    <w:div w:id="308170846">
      <w:bodyDiv w:val="1"/>
      <w:marLeft w:val="0"/>
      <w:marRight w:val="0"/>
      <w:marTop w:val="0"/>
      <w:marBottom w:val="0"/>
      <w:divBdr>
        <w:top w:val="none" w:sz="0" w:space="0" w:color="auto"/>
        <w:left w:val="none" w:sz="0" w:space="0" w:color="auto"/>
        <w:bottom w:val="none" w:sz="0" w:space="0" w:color="auto"/>
        <w:right w:val="none" w:sz="0" w:space="0" w:color="auto"/>
      </w:divBdr>
    </w:div>
    <w:div w:id="308293326">
      <w:bodyDiv w:val="1"/>
      <w:marLeft w:val="0"/>
      <w:marRight w:val="0"/>
      <w:marTop w:val="0"/>
      <w:marBottom w:val="0"/>
      <w:divBdr>
        <w:top w:val="none" w:sz="0" w:space="0" w:color="auto"/>
        <w:left w:val="none" w:sz="0" w:space="0" w:color="auto"/>
        <w:bottom w:val="none" w:sz="0" w:space="0" w:color="auto"/>
        <w:right w:val="none" w:sz="0" w:space="0" w:color="auto"/>
      </w:divBdr>
    </w:div>
    <w:div w:id="310909450">
      <w:bodyDiv w:val="1"/>
      <w:marLeft w:val="0"/>
      <w:marRight w:val="0"/>
      <w:marTop w:val="0"/>
      <w:marBottom w:val="0"/>
      <w:divBdr>
        <w:top w:val="none" w:sz="0" w:space="0" w:color="auto"/>
        <w:left w:val="none" w:sz="0" w:space="0" w:color="auto"/>
        <w:bottom w:val="none" w:sz="0" w:space="0" w:color="auto"/>
        <w:right w:val="none" w:sz="0" w:space="0" w:color="auto"/>
      </w:divBdr>
      <w:divsChild>
        <w:div w:id="1068922201">
          <w:marLeft w:val="0"/>
          <w:marRight w:val="0"/>
          <w:marTop w:val="0"/>
          <w:marBottom w:val="0"/>
          <w:divBdr>
            <w:top w:val="none" w:sz="0" w:space="0" w:color="auto"/>
            <w:left w:val="none" w:sz="0" w:space="0" w:color="auto"/>
            <w:bottom w:val="none" w:sz="0" w:space="0" w:color="auto"/>
            <w:right w:val="none" w:sz="0" w:space="0" w:color="auto"/>
          </w:divBdr>
          <w:divsChild>
            <w:div w:id="580605553">
              <w:marLeft w:val="0"/>
              <w:marRight w:val="0"/>
              <w:marTop w:val="0"/>
              <w:marBottom w:val="0"/>
              <w:divBdr>
                <w:top w:val="none" w:sz="0" w:space="0" w:color="auto"/>
                <w:left w:val="none" w:sz="0" w:space="0" w:color="auto"/>
                <w:bottom w:val="none" w:sz="0" w:space="0" w:color="auto"/>
                <w:right w:val="none" w:sz="0" w:space="0" w:color="auto"/>
              </w:divBdr>
              <w:divsChild>
                <w:div w:id="205413739">
                  <w:marLeft w:val="0"/>
                  <w:marRight w:val="0"/>
                  <w:marTop w:val="0"/>
                  <w:marBottom w:val="0"/>
                  <w:divBdr>
                    <w:top w:val="none" w:sz="0" w:space="0" w:color="auto"/>
                    <w:left w:val="none" w:sz="0" w:space="0" w:color="auto"/>
                    <w:bottom w:val="none" w:sz="0" w:space="0" w:color="auto"/>
                    <w:right w:val="none" w:sz="0" w:space="0" w:color="auto"/>
                  </w:divBdr>
                  <w:divsChild>
                    <w:div w:id="688676674">
                      <w:marLeft w:val="0"/>
                      <w:marRight w:val="0"/>
                      <w:marTop w:val="0"/>
                      <w:marBottom w:val="0"/>
                      <w:divBdr>
                        <w:top w:val="none" w:sz="0" w:space="0" w:color="auto"/>
                        <w:left w:val="none" w:sz="0" w:space="0" w:color="auto"/>
                        <w:bottom w:val="none" w:sz="0" w:space="0" w:color="auto"/>
                        <w:right w:val="none" w:sz="0" w:space="0" w:color="auto"/>
                      </w:divBdr>
                      <w:divsChild>
                        <w:div w:id="142161885">
                          <w:marLeft w:val="0"/>
                          <w:marRight w:val="0"/>
                          <w:marTop w:val="0"/>
                          <w:marBottom w:val="0"/>
                          <w:divBdr>
                            <w:top w:val="none" w:sz="0" w:space="0" w:color="auto"/>
                            <w:left w:val="none" w:sz="0" w:space="0" w:color="auto"/>
                            <w:bottom w:val="none" w:sz="0" w:space="0" w:color="auto"/>
                            <w:right w:val="none" w:sz="0" w:space="0" w:color="auto"/>
                          </w:divBdr>
                          <w:divsChild>
                            <w:div w:id="6625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933639">
                  <w:marLeft w:val="0"/>
                  <w:marRight w:val="0"/>
                  <w:marTop w:val="0"/>
                  <w:marBottom w:val="0"/>
                  <w:divBdr>
                    <w:top w:val="none" w:sz="0" w:space="0" w:color="auto"/>
                    <w:left w:val="none" w:sz="0" w:space="0" w:color="auto"/>
                    <w:bottom w:val="none" w:sz="0" w:space="0" w:color="auto"/>
                    <w:right w:val="none" w:sz="0" w:space="0" w:color="auto"/>
                  </w:divBdr>
                  <w:divsChild>
                    <w:div w:id="18321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685257">
      <w:bodyDiv w:val="1"/>
      <w:marLeft w:val="0"/>
      <w:marRight w:val="0"/>
      <w:marTop w:val="0"/>
      <w:marBottom w:val="0"/>
      <w:divBdr>
        <w:top w:val="none" w:sz="0" w:space="0" w:color="auto"/>
        <w:left w:val="none" w:sz="0" w:space="0" w:color="auto"/>
        <w:bottom w:val="none" w:sz="0" w:space="0" w:color="auto"/>
        <w:right w:val="none" w:sz="0" w:space="0" w:color="auto"/>
      </w:divBdr>
    </w:div>
    <w:div w:id="313993281">
      <w:bodyDiv w:val="1"/>
      <w:marLeft w:val="0"/>
      <w:marRight w:val="0"/>
      <w:marTop w:val="0"/>
      <w:marBottom w:val="0"/>
      <w:divBdr>
        <w:top w:val="none" w:sz="0" w:space="0" w:color="auto"/>
        <w:left w:val="none" w:sz="0" w:space="0" w:color="auto"/>
        <w:bottom w:val="none" w:sz="0" w:space="0" w:color="auto"/>
        <w:right w:val="none" w:sz="0" w:space="0" w:color="auto"/>
      </w:divBdr>
    </w:div>
    <w:div w:id="316880071">
      <w:bodyDiv w:val="1"/>
      <w:marLeft w:val="0"/>
      <w:marRight w:val="0"/>
      <w:marTop w:val="0"/>
      <w:marBottom w:val="0"/>
      <w:divBdr>
        <w:top w:val="none" w:sz="0" w:space="0" w:color="auto"/>
        <w:left w:val="none" w:sz="0" w:space="0" w:color="auto"/>
        <w:bottom w:val="none" w:sz="0" w:space="0" w:color="auto"/>
        <w:right w:val="none" w:sz="0" w:space="0" w:color="auto"/>
      </w:divBdr>
    </w:div>
    <w:div w:id="321659043">
      <w:bodyDiv w:val="1"/>
      <w:marLeft w:val="0"/>
      <w:marRight w:val="0"/>
      <w:marTop w:val="0"/>
      <w:marBottom w:val="0"/>
      <w:divBdr>
        <w:top w:val="none" w:sz="0" w:space="0" w:color="auto"/>
        <w:left w:val="none" w:sz="0" w:space="0" w:color="auto"/>
        <w:bottom w:val="none" w:sz="0" w:space="0" w:color="auto"/>
        <w:right w:val="none" w:sz="0" w:space="0" w:color="auto"/>
      </w:divBdr>
    </w:div>
    <w:div w:id="325402890">
      <w:bodyDiv w:val="1"/>
      <w:marLeft w:val="0"/>
      <w:marRight w:val="0"/>
      <w:marTop w:val="0"/>
      <w:marBottom w:val="0"/>
      <w:divBdr>
        <w:top w:val="none" w:sz="0" w:space="0" w:color="auto"/>
        <w:left w:val="none" w:sz="0" w:space="0" w:color="auto"/>
        <w:bottom w:val="none" w:sz="0" w:space="0" w:color="auto"/>
        <w:right w:val="none" w:sz="0" w:space="0" w:color="auto"/>
      </w:divBdr>
    </w:div>
    <w:div w:id="351540024">
      <w:bodyDiv w:val="1"/>
      <w:marLeft w:val="0"/>
      <w:marRight w:val="0"/>
      <w:marTop w:val="0"/>
      <w:marBottom w:val="0"/>
      <w:divBdr>
        <w:top w:val="none" w:sz="0" w:space="0" w:color="auto"/>
        <w:left w:val="none" w:sz="0" w:space="0" w:color="auto"/>
        <w:bottom w:val="none" w:sz="0" w:space="0" w:color="auto"/>
        <w:right w:val="none" w:sz="0" w:space="0" w:color="auto"/>
      </w:divBdr>
    </w:div>
    <w:div w:id="353501560">
      <w:bodyDiv w:val="1"/>
      <w:marLeft w:val="0"/>
      <w:marRight w:val="0"/>
      <w:marTop w:val="0"/>
      <w:marBottom w:val="0"/>
      <w:divBdr>
        <w:top w:val="none" w:sz="0" w:space="0" w:color="auto"/>
        <w:left w:val="none" w:sz="0" w:space="0" w:color="auto"/>
        <w:bottom w:val="none" w:sz="0" w:space="0" w:color="auto"/>
        <w:right w:val="none" w:sz="0" w:space="0" w:color="auto"/>
      </w:divBdr>
    </w:div>
    <w:div w:id="355741761">
      <w:bodyDiv w:val="1"/>
      <w:marLeft w:val="0"/>
      <w:marRight w:val="0"/>
      <w:marTop w:val="0"/>
      <w:marBottom w:val="0"/>
      <w:divBdr>
        <w:top w:val="none" w:sz="0" w:space="0" w:color="auto"/>
        <w:left w:val="none" w:sz="0" w:space="0" w:color="auto"/>
        <w:bottom w:val="none" w:sz="0" w:space="0" w:color="auto"/>
        <w:right w:val="none" w:sz="0" w:space="0" w:color="auto"/>
      </w:divBdr>
    </w:div>
    <w:div w:id="361562611">
      <w:bodyDiv w:val="1"/>
      <w:marLeft w:val="0"/>
      <w:marRight w:val="0"/>
      <w:marTop w:val="0"/>
      <w:marBottom w:val="0"/>
      <w:divBdr>
        <w:top w:val="none" w:sz="0" w:space="0" w:color="auto"/>
        <w:left w:val="none" w:sz="0" w:space="0" w:color="auto"/>
        <w:bottom w:val="none" w:sz="0" w:space="0" w:color="auto"/>
        <w:right w:val="none" w:sz="0" w:space="0" w:color="auto"/>
      </w:divBdr>
    </w:div>
    <w:div w:id="364525604">
      <w:bodyDiv w:val="1"/>
      <w:marLeft w:val="0"/>
      <w:marRight w:val="0"/>
      <w:marTop w:val="0"/>
      <w:marBottom w:val="0"/>
      <w:divBdr>
        <w:top w:val="none" w:sz="0" w:space="0" w:color="auto"/>
        <w:left w:val="none" w:sz="0" w:space="0" w:color="auto"/>
        <w:bottom w:val="none" w:sz="0" w:space="0" w:color="auto"/>
        <w:right w:val="none" w:sz="0" w:space="0" w:color="auto"/>
      </w:divBdr>
    </w:div>
    <w:div w:id="398476102">
      <w:bodyDiv w:val="1"/>
      <w:marLeft w:val="0"/>
      <w:marRight w:val="0"/>
      <w:marTop w:val="0"/>
      <w:marBottom w:val="0"/>
      <w:divBdr>
        <w:top w:val="none" w:sz="0" w:space="0" w:color="auto"/>
        <w:left w:val="none" w:sz="0" w:space="0" w:color="auto"/>
        <w:bottom w:val="none" w:sz="0" w:space="0" w:color="auto"/>
        <w:right w:val="none" w:sz="0" w:space="0" w:color="auto"/>
      </w:divBdr>
    </w:div>
    <w:div w:id="398482415">
      <w:bodyDiv w:val="1"/>
      <w:marLeft w:val="0"/>
      <w:marRight w:val="0"/>
      <w:marTop w:val="0"/>
      <w:marBottom w:val="0"/>
      <w:divBdr>
        <w:top w:val="none" w:sz="0" w:space="0" w:color="auto"/>
        <w:left w:val="none" w:sz="0" w:space="0" w:color="auto"/>
        <w:bottom w:val="none" w:sz="0" w:space="0" w:color="auto"/>
        <w:right w:val="none" w:sz="0" w:space="0" w:color="auto"/>
      </w:divBdr>
    </w:div>
    <w:div w:id="405884769">
      <w:bodyDiv w:val="1"/>
      <w:marLeft w:val="0"/>
      <w:marRight w:val="0"/>
      <w:marTop w:val="0"/>
      <w:marBottom w:val="0"/>
      <w:divBdr>
        <w:top w:val="none" w:sz="0" w:space="0" w:color="auto"/>
        <w:left w:val="none" w:sz="0" w:space="0" w:color="auto"/>
        <w:bottom w:val="none" w:sz="0" w:space="0" w:color="auto"/>
        <w:right w:val="none" w:sz="0" w:space="0" w:color="auto"/>
      </w:divBdr>
    </w:div>
    <w:div w:id="413860171">
      <w:bodyDiv w:val="1"/>
      <w:marLeft w:val="0"/>
      <w:marRight w:val="0"/>
      <w:marTop w:val="0"/>
      <w:marBottom w:val="0"/>
      <w:divBdr>
        <w:top w:val="none" w:sz="0" w:space="0" w:color="auto"/>
        <w:left w:val="none" w:sz="0" w:space="0" w:color="auto"/>
        <w:bottom w:val="none" w:sz="0" w:space="0" w:color="auto"/>
        <w:right w:val="none" w:sz="0" w:space="0" w:color="auto"/>
      </w:divBdr>
    </w:div>
    <w:div w:id="430514348">
      <w:bodyDiv w:val="1"/>
      <w:marLeft w:val="0"/>
      <w:marRight w:val="0"/>
      <w:marTop w:val="0"/>
      <w:marBottom w:val="0"/>
      <w:divBdr>
        <w:top w:val="none" w:sz="0" w:space="0" w:color="auto"/>
        <w:left w:val="none" w:sz="0" w:space="0" w:color="auto"/>
        <w:bottom w:val="none" w:sz="0" w:space="0" w:color="auto"/>
        <w:right w:val="none" w:sz="0" w:space="0" w:color="auto"/>
      </w:divBdr>
    </w:div>
    <w:div w:id="431438437">
      <w:bodyDiv w:val="1"/>
      <w:marLeft w:val="0"/>
      <w:marRight w:val="0"/>
      <w:marTop w:val="0"/>
      <w:marBottom w:val="0"/>
      <w:divBdr>
        <w:top w:val="none" w:sz="0" w:space="0" w:color="auto"/>
        <w:left w:val="none" w:sz="0" w:space="0" w:color="auto"/>
        <w:bottom w:val="none" w:sz="0" w:space="0" w:color="auto"/>
        <w:right w:val="none" w:sz="0" w:space="0" w:color="auto"/>
      </w:divBdr>
    </w:div>
    <w:div w:id="432670689">
      <w:bodyDiv w:val="1"/>
      <w:marLeft w:val="0"/>
      <w:marRight w:val="0"/>
      <w:marTop w:val="0"/>
      <w:marBottom w:val="0"/>
      <w:divBdr>
        <w:top w:val="none" w:sz="0" w:space="0" w:color="auto"/>
        <w:left w:val="none" w:sz="0" w:space="0" w:color="auto"/>
        <w:bottom w:val="none" w:sz="0" w:space="0" w:color="auto"/>
        <w:right w:val="none" w:sz="0" w:space="0" w:color="auto"/>
      </w:divBdr>
    </w:div>
    <w:div w:id="439034341">
      <w:bodyDiv w:val="1"/>
      <w:marLeft w:val="0"/>
      <w:marRight w:val="0"/>
      <w:marTop w:val="0"/>
      <w:marBottom w:val="0"/>
      <w:divBdr>
        <w:top w:val="none" w:sz="0" w:space="0" w:color="auto"/>
        <w:left w:val="none" w:sz="0" w:space="0" w:color="auto"/>
        <w:bottom w:val="none" w:sz="0" w:space="0" w:color="auto"/>
        <w:right w:val="none" w:sz="0" w:space="0" w:color="auto"/>
      </w:divBdr>
    </w:div>
    <w:div w:id="456337872">
      <w:bodyDiv w:val="1"/>
      <w:marLeft w:val="0"/>
      <w:marRight w:val="0"/>
      <w:marTop w:val="0"/>
      <w:marBottom w:val="0"/>
      <w:divBdr>
        <w:top w:val="none" w:sz="0" w:space="0" w:color="auto"/>
        <w:left w:val="none" w:sz="0" w:space="0" w:color="auto"/>
        <w:bottom w:val="none" w:sz="0" w:space="0" w:color="auto"/>
        <w:right w:val="none" w:sz="0" w:space="0" w:color="auto"/>
      </w:divBdr>
    </w:div>
    <w:div w:id="473646577">
      <w:bodyDiv w:val="1"/>
      <w:marLeft w:val="0"/>
      <w:marRight w:val="0"/>
      <w:marTop w:val="0"/>
      <w:marBottom w:val="0"/>
      <w:divBdr>
        <w:top w:val="none" w:sz="0" w:space="0" w:color="auto"/>
        <w:left w:val="none" w:sz="0" w:space="0" w:color="auto"/>
        <w:bottom w:val="none" w:sz="0" w:space="0" w:color="auto"/>
        <w:right w:val="none" w:sz="0" w:space="0" w:color="auto"/>
      </w:divBdr>
    </w:div>
    <w:div w:id="489249382">
      <w:bodyDiv w:val="1"/>
      <w:marLeft w:val="0"/>
      <w:marRight w:val="0"/>
      <w:marTop w:val="0"/>
      <w:marBottom w:val="0"/>
      <w:divBdr>
        <w:top w:val="none" w:sz="0" w:space="0" w:color="auto"/>
        <w:left w:val="none" w:sz="0" w:space="0" w:color="auto"/>
        <w:bottom w:val="none" w:sz="0" w:space="0" w:color="auto"/>
        <w:right w:val="none" w:sz="0" w:space="0" w:color="auto"/>
      </w:divBdr>
    </w:div>
    <w:div w:id="490294355">
      <w:bodyDiv w:val="1"/>
      <w:marLeft w:val="0"/>
      <w:marRight w:val="0"/>
      <w:marTop w:val="0"/>
      <w:marBottom w:val="0"/>
      <w:divBdr>
        <w:top w:val="none" w:sz="0" w:space="0" w:color="auto"/>
        <w:left w:val="none" w:sz="0" w:space="0" w:color="auto"/>
        <w:bottom w:val="none" w:sz="0" w:space="0" w:color="auto"/>
        <w:right w:val="none" w:sz="0" w:space="0" w:color="auto"/>
      </w:divBdr>
    </w:div>
    <w:div w:id="493567638">
      <w:bodyDiv w:val="1"/>
      <w:marLeft w:val="0"/>
      <w:marRight w:val="0"/>
      <w:marTop w:val="0"/>
      <w:marBottom w:val="0"/>
      <w:divBdr>
        <w:top w:val="none" w:sz="0" w:space="0" w:color="auto"/>
        <w:left w:val="none" w:sz="0" w:space="0" w:color="auto"/>
        <w:bottom w:val="none" w:sz="0" w:space="0" w:color="auto"/>
        <w:right w:val="none" w:sz="0" w:space="0" w:color="auto"/>
      </w:divBdr>
    </w:div>
    <w:div w:id="496506284">
      <w:bodyDiv w:val="1"/>
      <w:marLeft w:val="0"/>
      <w:marRight w:val="0"/>
      <w:marTop w:val="0"/>
      <w:marBottom w:val="0"/>
      <w:divBdr>
        <w:top w:val="none" w:sz="0" w:space="0" w:color="auto"/>
        <w:left w:val="none" w:sz="0" w:space="0" w:color="auto"/>
        <w:bottom w:val="none" w:sz="0" w:space="0" w:color="auto"/>
        <w:right w:val="none" w:sz="0" w:space="0" w:color="auto"/>
      </w:divBdr>
    </w:div>
    <w:div w:id="504439233">
      <w:bodyDiv w:val="1"/>
      <w:marLeft w:val="0"/>
      <w:marRight w:val="0"/>
      <w:marTop w:val="0"/>
      <w:marBottom w:val="0"/>
      <w:divBdr>
        <w:top w:val="none" w:sz="0" w:space="0" w:color="auto"/>
        <w:left w:val="none" w:sz="0" w:space="0" w:color="auto"/>
        <w:bottom w:val="none" w:sz="0" w:space="0" w:color="auto"/>
        <w:right w:val="none" w:sz="0" w:space="0" w:color="auto"/>
      </w:divBdr>
    </w:div>
    <w:div w:id="508714906">
      <w:bodyDiv w:val="1"/>
      <w:marLeft w:val="0"/>
      <w:marRight w:val="0"/>
      <w:marTop w:val="0"/>
      <w:marBottom w:val="0"/>
      <w:divBdr>
        <w:top w:val="none" w:sz="0" w:space="0" w:color="auto"/>
        <w:left w:val="none" w:sz="0" w:space="0" w:color="auto"/>
        <w:bottom w:val="none" w:sz="0" w:space="0" w:color="auto"/>
        <w:right w:val="none" w:sz="0" w:space="0" w:color="auto"/>
      </w:divBdr>
    </w:div>
    <w:div w:id="511183502">
      <w:bodyDiv w:val="1"/>
      <w:marLeft w:val="0"/>
      <w:marRight w:val="0"/>
      <w:marTop w:val="0"/>
      <w:marBottom w:val="0"/>
      <w:divBdr>
        <w:top w:val="none" w:sz="0" w:space="0" w:color="auto"/>
        <w:left w:val="none" w:sz="0" w:space="0" w:color="auto"/>
        <w:bottom w:val="none" w:sz="0" w:space="0" w:color="auto"/>
        <w:right w:val="none" w:sz="0" w:space="0" w:color="auto"/>
      </w:divBdr>
    </w:div>
    <w:div w:id="542447818">
      <w:bodyDiv w:val="1"/>
      <w:marLeft w:val="0"/>
      <w:marRight w:val="0"/>
      <w:marTop w:val="0"/>
      <w:marBottom w:val="0"/>
      <w:divBdr>
        <w:top w:val="none" w:sz="0" w:space="0" w:color="auto"/>
        <w:left w:val="none" w:sz="0" w:space="0" w:color="auto"/>
        <w:bottom w:val="none" w:sz="0" w:space="0" w:color="auto"/>
        <w:right w:val="none" w:sz="0" w:space="0" w:color="auto"/>
      </w:divBdr>
    </w:div>
    <w:div w:id="544607850">
      <w:bodyDiv w:val="1"/>
      <w:marLeft w:val="0"/>
      <w:marRight w:val="0"/>
      <w:marTop w:val="0"/>
      <w:marBottom w:val="0"/>
      <w:divBdr>
        <w:top w:val="none" w:sz="0" w:space="0" w:color="auto"/>
        <w:left w:val="none" w:sz="0" w:space="0" w:color="auto"/>
        <w:bottom w:val="none" w:sz="0" w:space="0" w:color="auto"/>
        <w:right w:val="none" w:sz="0" w:space="0" w:color="auto"/>
      </w:divBdr>
    </w:div>
    <w:div w:id="545991179">
      <w:bodyDiv w:val="1"/>
      <w:marLeft w:val="0"/>
      <w:marRight w:val="0"/>
      <w:marTop w:val="0"/>
      <w:marBottom w:val="0"/>
      <w:divBdr>
        <w:top w:val="none" w:sz="0" w:space="0" w:color="auto"/>
        <w:left w:val="none" w:sz="0" w:space="0" w:color="auto"/>
        <w:bottom w:val="none" w:sz="0" w:space="0" w:color="auto"/>
        <w:right w:val="none" w:sz="0" w:space="0" w:color="auto"/>
      </w:divBdr>
    </w:div>
    <w:div w:id="549342493">
      <w:bodyDiv w:val="1"/>
      <w:marLeft w:val="0"/>
      <w:marRight w:val="0"/>
      <w:marTop w:val="0"/>
      <w:marBottom w:val="0"/>
      <w:divBdr>
        <w:top w:val="none" w:sz="0" w:space="0" w:color="auto"/>
        <w:left w:val="none" w:sz="0" w:space="0" w:color="auto"/>
        <w:bottom w:val="none" w:sz="0" w:space="0" w:color="auto"/>
        <w:right w:val="none" w:sz="0" w:space="0" w:color="auto"/>
      </w:divBdr>
    </w:div>
    <w:div w:id="553348057">
      <w:bodyDiv w:val="1"/>
      <w:marLeft w:val="0"/>
      <w:marRight w:val="0"/>
      <w:marTop w:val="0"/>
      <w:marBottom w:val="0"/>
      <w:divBdr>
        <w:top w:val="none" w:sz="0" w:space="0" w:color="auto"/>
        <w:left w:val="none" w:sz="0" w:space="0" w:color="auto"/>
        <w:bottom w:val="none" w:sz="0" w:space="0" w:color="auto"/>
        <w:right w:val="none" w:sz="0" w:space="0" w:color="auto"/>
      </w:divBdr>
    </w:div>
    <w:div w:id="573201921">
      <w:bodyDiv w:val="1"/>
      <w:marLeft w:val="0"/>
      <w:marRight w:val="0"/>
      <w:marTop w:val="0"/>
      <w:marBottom w:val="0"/>
      <w:divBdr>
        <w:top w:val="none" w:sz="0" w:space="0" w:color="auto"/>
        <w:left w:val="none" w:sz="0" w:space="0" w:color="auto"/>
        <w:bottom w:val="none" w:sz="0" w:space="0" w:color="auto"/>
        <w:right w:val="none" w:sz="0" w:space="0" w:color="auto"/>
      </w:divBdr>
    </w:div>
    <w:div w:id="583418296">
      <w:bodyDiv w:val="1"/>
      <w:marLeft w:val="0"/>
      <w:marRight w:val="0"/>
      <w:marTop w:val="0"/>
      <w:marBottom w:val="0"/>
      <w:divBdr>
        <w:top w:val="none" w:sz="0" w:space="0" w:color="auto"/>
        <w:left w:val="none" w:sz="0" w:space="0" w:color="auto"/>
        <w:bottom w:val="none" w:sz="0" w:space="0" w:color="auto"/>
        <w:right w:val="none" w:sz="0" w:space="0" w:color="auto"/>
      </w:divBdr>
    </w:div>
    <w:div w:id="590357854">
      <w:bodyDiv w:val="1"/>
      <w:marLeft w:val="0"/>
      <w:marRight w:val="0"/>
      <w:marTop w:val="0"/>
      <w:marBottom w:val="0"/>
      <w:divBdr>
        <w:top w:val="none" w:sz="0" w:space="0" w:color="auto"/>
        <w:left w:val="none" w:sz="0" w:space="0" w:color="auto"/>
        <w:bottom w:val="none" w:sz="0" w:space="0" w:color="auto"/>
        <w:right w:val="none" w:sz="0" w:space="0" w:color="auto"/>
      </w:divBdr>
    </w:div>
    <w:div w:id="591283824">
      <w:bodyDiv w:val="1"/>
      <w:marLeft w:val="0"/>
      <w:marRight w:val="0"/>
      <w:marTop w:val="0"/>
      <w:marBottom w:val="0"/>
      <w:divBdr>
        <w:top w:val="none" w:sz="0" w:space="0" w:color="auto"/>
        <w:left w:val="none" w:sz="0" w:space="0" w:color="auto"/>
        <w:bottom w:val="none" w:sz="0" w:space="0" w:color="auto"/>
        <w:right w:val="none" w:sz="0" w:space="0" w:color="auto"/>
      </w:divBdr>
    </w:div>
    <w:div w:id="599335095">
      <w:bodyDiv w:val="1"/>
      <w:marLeft w:val="0"/>
      <w:marRight w:val="0"/>
      <w:marTop w:val="0"/>
      <w:marBottom w:val="0"/>
      <w:divBdr>
        <w:top w:val="none" w:sz="0" w:space="0" w:color="auto"/>
        <w:left w:val="none" w:sz="0" w:space="0" w:color="auto"/>
        <w:bottom w:val="none" w:sz="0" w:space="0" w:color="auto"/>
        <w:right w:val="none" w:sz="0" w:space="0" w:color="auto"/>
      </w:divBdr>
    </w:div>
    <w:div w:id="606960300">
      <w:bodyDiv w:val="1"/>
      <w:marLeft w:val="0"/>
      <w:marRight w:val="0"/>
      <w:marTop w:val="0"/>
      <w:marBottom w:val="0"/>
      <w:divBdr>
        <w:top w:val="none" w:sz="0" w:space="0" w:color="auto"/>
        <w:left w:val="none" w:sz="0" w:space="0" w:color="auto"/>
        <w:bottom w:val="none" w:sz="0" w:space="0" w:color="auto"/>
        <w:right w:val="none" w:sz="0" w:space="0" w:color="auto"/>
      </w:divBdr>
    </w:div>
    <w:div w:id="617373699">
      <w:bodyDiv w:val="1"/>
      <w:marLeft w:val="0"/>
      <w:marRight w:val="0"/>
      <w:marTop w:val="0"/>
      <w:marBottom w:val="0"/>
      <w:divBdr>
        <w:top w:val="none" w:sz="0" w:space="0" w:color="auto"/>
        <w:left w:val="none" w:sz="0" w:space="0" w:color="auto"/>
        <w:bottom w:val="none" w:sz="0" w:space="0" w:color="auto"/>
        <w:right w:val="none" w:sz="0" w:space="0" w:color="auto"/>
      </w:divBdr>
    </w:div>
    <w:div w:id="624776659">
      <w:bodyDiv w:val="1"/>
      <w:marLeft w:val="0"/>
      <w:marRight w:val="0"/>
      <w:marTop w:val="0"/>
      <w:marBottom w:val="0"/>
      <w:divBdr>
        <w:top w:val="none" w:sz="0" w:space="0" w:color="auto"/>
        <w:left w:val="none" w:sz="0" w:space="0" w:color="auto"/>
        <w:bottom w:val="none" w:sz="0" w:space="0" w:color="auto"/>
        <w:right w:val="none" w:sz="0" w:space="0" w:color="auto"/>
      </w:divBdr>
    </w:div>
    <w:div w:id="632950786">
      <w:bodyDiv w:val="1"/>
      <w:marLeft w:val="0"/>
      <w:marRight w:val="0"/>
      <w:marTop w:val="0"/>
      <w:marBottom w:val="0"/>
      <w:divBdr>
        <w:top w:val="none" w:sz="0" w:space="0" w:color="auto"/>
        <w:left w:val="none" w:sz="0" w:space="0" w:color="auto"/>
        <w:bottom w:val="none" w:sz="0" w:space="0" w:color="auto"/>
        <w:right w:val="none" w:sz="0" w:space="0" w:color="auto"/>
      </w:divBdr>
    </w:div>
    <w:div w:id="645744712">
      <w:bodyDiv w:val="1"/>
      <w:marLeft w:val="0"/>
      <w:marRight w:val="0"/>
      <w:marTop w:val="0"/>
      <w:marBottom w:val="0"/>
      <w:divBdr>
        <w:top w:val="none" w:sz="0" w:space="0" w:color="auto"/>
        <w:left w:val="none" w:sz="0" w:space="0" w:color="auto"/>
        <w:bottom w:val="none" w:sz="0" w:space="0" w:color="auto"/>
        <w:right w:val="none" w:sz="0" w:space="0" w:color="auto"/>
      </w:divBdr>
    </w:div>
    <w:div w:id="649097487">
      <w:bodyDiv w:val="1"/>
      <w:marLeft w:val="0"/>
      <w:marRight w:val="0"/>
      <w:marTop w:val="0"/>
      <w:marBottom w:val="0"/>
      <w:divBdr>
        <w:top w:val="none" w:sz="0" w:space="0" w:color="auto"/>
        <w:left w:val="none" w:sz="0" w:space="0" w:color="auto"/>
        <w:bottom w:val="none" w:sz="0" w:space="0" w:color="auto"/>
        <w:right w:val="none" w:sz="0" w:space="0" w:color="auto"/>
      </w:divBdr>
    </w:div>
    <w:div w:id="649332509">
      <w:bodyDiv w:val="1"/>
      <w:marLeft w:val="0"/>
      <w:marRight w:val="0"/>
      <w:marTop w:val="0"/>
      <w:marBottom w:val="0"/>
      <w:divBdr>
        <w:top w:val="none" w:sz="0" w:space="0" w:color="auto"/>
        <w:left w:val="none" w:sz="0" w:space="0" w:color="auto"/>
        <w:bottom w:val="none" w:sz="0" w:space="0" w:color="auto"/>
        <w:right w:val="none" w:sz="0" w:space="0" w:color="auto"/>
      </w:divBdr>
    </w:div>
    <w:div w:id="674842795">
      <w:bodyDiv w:val="1"/>
      <w:marLeft w:val="0"/>
      <w:marRight w:val="0"/>
      <w:marTop w:val="0"/>
      <w:marBottom w:val="0"/>
      <w:divBdr>
        <w:top w:val="none" w:sz="0" w:space="0" w:color="auto"/>
        <w:left w:val="none" w:sz="0" w:space="0" w:color="auto"/>
        <w:bottom w:val="none" w:sz="0" w:space="0" w:color="auto"/>
        <w:right w:val="none" w:sz="0" w:space="0" w:color="auto"/>
      </w:divBdr>
    </w:div>
    <w:div w:id="681275922">
      <w:bodyDiv w:val="1"/>
      <w:marLeft w:val="0"/>
      <w:marRight w:val="0"/>
      <w:marTop w:val="0"/>
      <w:marBottom w:val="0"/>
      <w:divBdr>
        <w:top w:val="none" w:sz="0" w:space="0" w:color="auto"/>
        <w:left w:val="none" w:sz="0" w:space="0" w:color="auto"/>
        <w:bottom w:val="none" w:sz="0" w:space="0" w:color="auto"/>
        <w:right w:val="none" w:sz="0" w:space="0" w:color="auto"/>
      </w:divBdr>
    </w:div>
    <w:div w:id="682517001">
      <w:bodyDiv w:val="1"/>
      <w:marLeft w:val="0"/>
      <w:marRight w:val="0"/>
      <w:marTop w:val="0"/>
      <w:marBottom w:val="0"/>
      <w:divBdr>
        <w:top w:val="none" w:sz="0" w:space="0" w:color="auto"/>
        <w:left w:val="none" w:sz="0" w:space="0" w:color="auto"/>
        <w:bottom w:val="none" w:sz="0" w:space="0" w:color="auto"/>
        <w:right w:val="none" w:sz="0" w:space="0" w:color="auto"/>
      </w:divBdr>
    </w:div>
    <w:div w:id="687756142">
      <w:bodyDiv w:val="1"/>
      <w:marLeft w:val="0"/>
      <w:marRight w:val="0"/>
      <w:marTop w:val="0"/>
      <w:marBottom w:val="0"/>
      <w:divBdr>
        <w:top w:val="none" w:sz="0" w:space="0" w:color="auto"/>
        <w:left w:val="none" w:sz="0" w:space="0" w:color="auto"/>
        <w:bottom w:val="none" w:sz="0" w:space="0" w:color="auto"/>
        <w:right w:val="none" w:sz="0" w:space="0" w:color="auto"/>
      </w:divBdr>
    </w:div>
    <w:div w:id="696662189">
      <w:bodyDiv w:val="1"/>
      <w:marLeft w:val="0"/>
      <w:marRight w:val="0"/>
      <w:marTop w:val="0"/>
      <w:marBottom w:val="0"/>
      <w:divBdr>
        <w:top w:val="none" w:sz="0" w:space="0" w:color="auto"/>
        <w:left w:val="none" w:sz="0" w:space="0" w:color="auto"/>
        <w:bottom w:val="none" w:sz="0" w:space="0" w:color="auto"/>
        <w:right w:val="none" w:sz="0" w:space="0" w:color="auto"/>
      </w:divBdr>
    </w:div>
    <w:div w:id="708335655">
      <w:bodyDiv w:val="1"/>
      <w:marLeft w:val="0"/>
      <w:marRight w:val="0"/>
      <w:marTop w:val="0"/>
      <w:marBottom w:val="0"/>
      <w:divBdr>
        <w:top w:val="none" w:sz="0" w:space="0" w:color="auto"/>
        <w:left w:val="none" w:sz="0" w:space="0" w:color="auto"/>
        <w:bottom w:val="none" w:sz="0" w:space="0" w:color="auto"/>
        <w:right w:val="none" w:sz="0" w:space="0" w:color="auto"/>
      </w:divBdr>
    </w:div>
    <w:div w:id="708338639">
      <w:bodyDiv w:val="1"/>
      <w:marLeft w:val="0"/>
      <w:marRight w:val="0"/>
      <w:marTop w:val="0"/>
      <w:marBottom w:val="0"/>
      <w:divBdr>
        <w:top w:val="none" w:sz="0" w:space="0" w:color="auto"/>
        <w:left w:val="none" w:sz="0" w:space="0" w:color="auto"/>
        <w:bottom w:val="none" w:sz="0" w:space="0" w:color="auto"/>
        <w:right w:val="none" w:sz="0" w:space="0" w:color="auto"/>
      </w:divBdr>
    </w:div>
    <w:div w:id="715810510">
      <w:bodyDiv w:val="1"/>
      <w:marLeft w:val="0"/>
      <w:marRight w:val="0"/>
      <w:marTop w:val="0"/>
      <w:marBottom w:val="0"/>
      <w:divBdr>
        <w:top w:val="none" w:sz="0" w:space="0" w:color="auto"/>
        <w:left w:val="none" w:sz="0" w:space="0" w:color="auto"/>
        <w:bottom w:val="none" w:sz="0" w:space="0" w:color="auto"/>
        <w:right w:val="none" w:sz="0" w:space="0" w:color="auto"/>
      </w:divBdr>
    </w:div>
    <w:div w:id="717970815">
      <w:bodyDiv w:val="1"/>
      <w:marLeft w:val="0"/>
      <w:marRight w:val="0"/>
      <w:marTop w:val="0"/>
      <w:marBottom w:val="0"/>
      <w:divBdr>
        <w:top w:val="none" w:sz="0" w:space="0" w:color="auto"/>
        <w:left w:val="none" w:sz="0" w:space="0" w:color="auto"/>
        <w:bottom w:val="none" w:sz="0" w:space="0" w:color="auto"/>
        <w:right w:val="none" w:sz="0" w:space="0" w:color="auto"/>
      </w:divBdr>
    </w:div>
    <w:div w:id="732507194">
      <w:bodyDiv w:val="1"/>
      <w:marLeft w:val="0"/>
      <w:marRight w:val="0"/>
      <w:marTop w:val="0"/>
      <w:marBottom w:val="0"/>
      <w:divBdr>
        <w:top w:val="none" w:sz="0" w:space="0" w:color="auto"/>
        <w:left w:val="none" w:sz="0" w:space="0" w:color="auto"/>
        <w:bottom w:val="none" w:sz="0" w:space="0" w:color="auto"/>
        <w:right w:val="none" w:sz="0" w:space="0" w:color="auto"/>
      </w:divBdr>
    </w:div>
    <w:div w:id="739793539">
      <w:bodyDiv w:val="1"/>
      <w:marLeft w:val="0"/>
      <w:marRight w:val="0"/>
      <w:marTop w:val="0"/>
      <w:marBottom w:val="0"/>
      <w:divBdr>
        <w:top w:val="none" w:sz="0" w:space="0" w:color="auto"/>
        <w:left w:val="none" w:sz="0" w:space="0" w:color="auto"/>
        <w:bottom w:val="none" w:sz="0" w:space="0" w:color="auto"/>
        <w:right w:val="none" w:sz="0" w:space="0" w:color="auto"/>
      </w:divBdr>
    </w:div>
    <w:div w:id="741105461">
      <w:bodyDiv w:val="1"/>
      <w:marLeft w:val="0"/>
      <w:marRight w:val="0"/>
      <w:marTop w:val="0"/>
      <w:marBottom w:val="0"/>
      <w:divBdr>
        <w:top w:val="none" w:sz="0" w:space="0" w:color="auto"/>
        <w:left w:val="none" w:sz="0" w:space="0" w:color="auto"/>
        <w:bottom w:val="none" w:sz="0" w:space="0" w:color="auto"/>
        <w:right w:val="none" w:sz="0" w:space="0" w:color="auto"/>
      </w:divBdr>
    </w:div>
    <w:div w:id="774132524">
      <w:bodyDiv w:val="1"/>
      <w:marLeft w:val="0"/>
      <w:marRight w:val="0"/>
      <w:marTop w:val="0"/>
      <w:marBottom w:val="0"/>
      <w:divBdr>
        <w:top w:val="none" w:sz="0" w:space="0" w:color="auto"/>
        <w:left w:val="none" w:sz="0" w:space="0" w:color="auto"/>
        <w:bottom w:val="none" w:sz="0" w:space="0" w:color="auto"/>
        <w:right w:val="none" w:sz="0" w:space="0" w:color="auto"/>
      </w:divBdr>
    </w:div>
    <w:div w:id="782072893">
      <w:bodyDiv w:val="1"/>
      <w:marLeft w:val="0"/>
      <w:marRight w:val="0"/>
      <w:marTop w:val="0"/>
      <w:marBottom w:val="0"/>
      <w:divBdr>
        <w:top w:val="none" w:sz="0" w:space="0" w:color="auto"/>
        <w:left w:val="none" w:sz="0" w:space="0" w:color="auto"/>
        <w:bottom w:val="none" w:sz="0" w:space="0" w:color="auto"/>
        <w:right w:val="none" w:sz="0" w:space="0" w:color="auto"/>
      </w:divBdr>
    </w:div>
    <w:div w:id="784546208">
      <w:bodyDiv w:val="1"/>
      <w:marLeft w:val="0"/>
      <w:marRight w:val="0"/>
      <w:marTop w:val="0"/>
      <w:marBottom w:val="0"/>
      <w:divBdr>
        <w:top w:val="none" w:sz="0" w:space="0" w:color="auto"/>
        <w:left w:val="none" w:sz="0" w:space="0" w:color="auto"/>
        <w:bottom w:val="none" w:sz="0" w:space="0" w:color="auto"/>
        <w:right w:val="none" w:sz="0" w:space="0" w:color="auto"/>
      </w:divBdr>
    </w:div>
    <w:div w:id="787744371">
      <w:bodyDiv w:val="1"/>
      <w:marLeft w:val="0"/>
      <w:marRight w:val="0"/>
      <w:marTop w:val="0"/>
      <w:marBottom w:val="0"/>
      <w:divBdr>
        <w:top w:val="none" w:sz="0" w:space="0" w:color="auto"/>
        <w:left w:val="none" w:sz="0" w:space="0" w:color="auto"/>
        <w:bottom w:val="none" w:sz="0" w:space="0" w:color="auto"/>
        <w:right w:val="none" w:sz="0" w:space="0" w:color="auto"/>
      </w:divBdr>
    </w:div>
    <w:div w:id="791436195">
      <w:bodyDiv w:val="1"/>
      <w:marLeft w:val="0"/>
      <w:marRight w:val="0"/>
      <w:marTop w:val="0"/>
      <w:marBottom w:val="0"/>
      <w:divBdr>
        <w:top w:val="none" w:sz="0" w:space="0" w:color="auto"/>
        <w:left w:val="none" w:sz="0" w:space="0" w:color="auto"/>
        <w:bottom w:val="none" w:sz="0" w:space="0" w:color="auto"/>
        <w:right w:val="none" w:sz="0" w:space="0" w:color="auto"/>
      </w:divBdr>
    </w:div>
    <w:div w:id="794637171">
      <w:bodyDiv w:val="1"/>
      <w:marLeft w:val="0"/>
      <w:marRight w:val="0"/>
      <w:marTop w:val="0"/>
      <w:marBottom w:val="0"/>
      <w:divBdr>
        <w:top w:val="none" w:sz="0" w:space="0" w:color="auto"/>
        <w:left w:val="none" w:sz="0" w:space="0" w:color="auto"/>
        <w:bottom w:val="none" w:sz="0" w:space="0" w:color="auto"/>
        <w:right w:val="none" w:sz="0" w:space="0" w:color="auto"/>
      </w:divBdr>
    </w:div>
    <w:div w:id="800924266">
      <w:bodyDiv w:val="1"/>
      <w:marLeft w:val="0"/>
      <w:marRight w:val="0"/>
      <w:marTop w:val="0"/>
      <w:marBottom w:val="0"/>
      <w:divBdr>
        <w:top w:val="none" w:sz="0" w:space="0" w:color="auto"/>
        <w:left w:val="none" w:sz="0" w:space="0" w:color="auto"/>
        <w:bottom w:val="none" w:sz="0" w:space="0" w:color="auto"/>
        <w:right w:val="none" w:sz="0" w:space="0" w:color="auto"/>
      </w:divBdr>
      <w:divsChild>
        <w:div w:id="1485781321">
          <w:marLeft w:val="0"/>
          <w:marRight w:val="0"/>
          <w:marTop w:val="0"/>
          <w:marBottom w:val="0"/>
          <w:divBdr>
            <w:top w:val="none" w:sz="0" w:space="0" w:color="auto"/>
            <w:left w:val="none" w:sz="0" w:space="0" w:color="auto"/>
            <w:bottom w:val="none" w:sz="0" w:space="0" w:color="auto"/>
            <w:right w:val="none" w:sz="0" w:space="0" w:color="auto"/>
          </w:divBdr>
          <w:divsChild>
            <w:div w:id="1924872368">
              <w:marLeft w:val="0"/>
              <w:marRight w:val="0"/>
              <w:marTop w:val="0"/>
              <w:marBottom w:val="0"/>
              <w:divBdr>
                <w:top w:val="none" w:sz="0" w:space="0" w:color="auto"/>
                <w:left w:val="none" w:sz="0" w:space="0" w:color="auto"/>
                <w:bottom w:val="none" w:sz="0" w:space="0" w:color="auto"/>
                <w:right w:val="none" w:sz="0" w:space="0" w:color="auto"/>
              </w:divBdr>
              <w:divsChild>
                <w:div w:id="864945796">
                  <w:marLeft w:val="0"/>
                  <w:marRight w:val="0"/>
                  <w:marTop w:val="0"/>
                  <w:marBottom w:val="0"/>
                  <w:divBdr>
                    <w:top w:val="none" w:sz="0" w:space="0" w:color="auto"/>
                    <w:left w:val="none" w:sz="0" w:space="0" w:color="auto"/>
                    <w:bottom w:val="none" w:sz="0" w:space="0" w:color="auto"/>
                    <w:right w:val="none" w:sz="0" w:space="0" w:color="auto"/>
                  </w:divBdr>
                  <w:divsChild>
                    <w:div w:id="336427668">
                      <w:marLeft w:val="0"/>
                      <w:marRight w:val="0"/>
                      <w:marTop w:val="0"/>
                      <w:marBottom w:val="0"/>
                      <w:divBdr>
                        <w:top w:val="none" w:sz="0" w:space="0" w:color="auto"/>
                        <w:left w:val="none" w:sz="0" w:space="0" w:color="auto"/>
                        <w:bottom w:val="none" w:sz="0" w:space="0" w:color="auto"/>
                        <w:right w:val="none" w:sz="0" w:space="0" w:color="auto"/>
                      </w:divBdr>
                      <w:divsChild>
                        <w:div w:id="977764171">
                          <w:marLeft w:val="0"/>
                          <w:marRight w:val="0"/>
                          <w:marTop w:val="0"/>
                          <w:marBottom w:val="0"/>
                          <w:divBdr>
                            <w:top w:val="none" w:sz="0" w:space="0" w:color="auto"/>
                            <w:left w:val="none" w:sz="0" w:space="0" w:color="auto"/>
                            <w:bottom w:val="none" w:sz="0" w:space="0" w:color="auto"/>
                            <w:right w:val="none" w:sz="0" w:space="0" w:color="auto"/>
                          </w:divBdr>
                          <w:divsChild>
                            <w:div w:id="2077051067">
                              <w:marLeft w:val="0"/>
                              <w:marRight w:val="0"/>
                              <w:marTop w:val="0"/>
                              <w:marBottom w:val="0"/>
                              <w:divBdr>
                                <w:top w:val="none" w:sz="0" w:space="0" w:color="auto"/>
                                <w:left w:val="none" w:sz="0" w:space="0" w:color="auto"/>
                                <w:bottom w:val="none" w:sz="0" w:space="0" w:color="auto"/>
                                <w:right w:val="none" w:sz="0" w:space="0" w:color="auto"/>
                              </w:divBdr>
                              <w:divsChild>
                                <w:div w:id="715467248">
                                  <w:marLeft w:val="0"/>
                                  <w:marRight w:val="0"/>
                                  <w:marTop w:val="0"/>
                                  <w:marBottom w:val="0"/>
                                  <w:divBdr>
                                    <w:top w:val="none" w:sz="0" w:space="0" w:color="auto"/>
                                    <w:left w:val="none" w:sz="0" w:space="0" w:color="auto"/>
                                    <w:bottom w:val="none" w:sz="0" w:space="0" w:color="auto"/>
                                    <w:right w:val="none" w:sz="0" w:space="0" w:color="auto"/>
                                  </w:divBdr>
                                  <w:divsChild>
                                    <w:div w:id="13779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238333">
      <w:bodyDiv w:val="1"/>
      <w:marLeft w:val="0"/>
      <w:marRight w:val="0"/>
      <w:marTop w:val="0"/>
      <w:marBottom w:val="0"/>
      <w:divBdr>
        <w:top w:val="none" w:sz="0" w:space="0" w:color="auto"/>
        <w:left w:val="none" w:sz="0" w:space="0" w:color="auto"/>
        <w:bottom w:val="none" w:sz="0" w:space="0" w:color="auto"/>
        <w:right w:val="none" w:sz="0" w:space="0" w:color="auto"/>
      </w:divBdr>
    </w:div>
    <w:div w:id="803809555">
      <w:bodyDiv w:val="1"/>
      <w:marLeft w:val="0"/>
      <w:marRight w:val="0"/>
      <w:marTop w:val="0"/>
      <w:marBottom w:val="0"/>
      <w:divBdr>
        <w:top w:val="none" w:sz="0" w:space="0" w:color="auto"/>
        <w:left w:val="none" w:sz="0" w:space="0" w:color="auto"/>
        <w:bottom w:val="none" w:sz="0" w:space="0" w:color="auto"/>
        <w:right w:val="none" w:sz="0" w:space="0" w:color="auto"/>
      </w:divBdr>
    </w:div>
    <w:div w:id="815300201">
      <w:bodyDiv w:val="1"/>
      <w:marLeft w:val="0"/>
      <w:marRight w:val="0"/>
      <w:marTop w:val="0"/>
      <w:marBottom w:val="0"/>
      <w:divBdr>
        <w:top w:val="none" w:sz="0" w:space="0" w:color="auto"/>
        <w:left w:val="none" w:sz="0" w:space="0" w:color="auto"/>
        <w:bottom w:val="none" w:sz="0" w:space="0" w:color="auto"/>
        <w:right w:val="none" w:sz="0" w:space="0" w:color="auto"/>
      </w:divBdr>
    </w:div>
    <w:div w:id="833107980">
      <w:bodyDiv w:val="1"/>
      <w:marLeft w:val="0"/>
      <w:marRight w:val="0"/>
      <w:marTop w:val="0"/>
      <w:marBottom w:val="0"/>
      <w:divBdr>
        <w:top w:val="none" w:sz="0" w:space="0" w:color="auto"/>
        <w:left w:val="none" w:sz="0" w:space="0" w:color="auto"/>
        <w:bottom w:val="none" w:sz="0" w:space="0" w:color="auto"/>
        <w:right w:val="none" w:sz="0" w:space="0" w:color="auto"/>
      </w:divBdr>
    </w:div>
    <w:div w:id="835877042">
      <w:bodyDiv w:val="1"/>
      <w:marLeft w:val="0"/>
      <w:marRight w:val="0"/>
      <w:marTop w:val="0"/>
      <w:marBottom w:val="0"/>
      <w:divBdr>
        <w:top w:val="none" w:sz="0" w:space="0" w:color="auto"/>
        <w:left w:val="none" w:sz="0" w:space="0" w:color="auto"/>
        <w:bottom w:val="none" w:sz="0" w:space="0" w:color="auto"/>
        <w:right w:val="none" w:sz="0" w:space="0" w:color="auto"/>
      </w:divBdr>
    </w:div>
    <w:div w:id="850724534">
      <w:bodyDiv w:val="1"/>
      <w:marLeft w:val="0"/>
      <w:marRight w:val="0"/>
      <w:marTop w:val="0"/>
      <w:marBottom w:val="0"/>
      <w:divBdr>
        <w:top w:val="none" w:sz="0" w:space="0" w:color="auto"/>
        <w:left w:val="none" w:sz="0" w:space="0" w:color="auto"/>
        <w:bottom w:val="none" w:sz="0" w:space="0" w:color="auto"/>
        <w:right w:val="none" w:sz="0" w:space="0" w:color="auto"/>
      </w:divBdr>
    </w:div>
    <w:div w:id="858393665">
      <w:bodyDiv w:val="1"/>
      <w:marLeft w:val="0"/>
      <w:marRight w:val="0"/>
      <w:marTop w:val="0"/>
      <w:marBottom w:val="0"/>
      <w:divBdr>
        <w:top w:val="none" w:sz="0" w:space="0" w:color="auto"/>
        <w:left w:val="none" w:sz="0" w:space="0" w:color="auto"/>
        <w:bottom w:val="none" w:sz="0" w:space="0" w:color="auto"/>
        <w:right w:val="none" w:sz="0" w:space="0" w:color="auto"/>
      </w:divBdr>
    </w:div>
    <w:div w:id="859776792">
      <w:bodyDiv w:val="1"/>
      <w:marLeft w:val="0"/>
      <w:marRight w:val="0"/>
      <w:marTop w:val="0"/>
      <w:marBottom w:val="0"/>
      <w:divBdr>
        <w:top w:val="none" w:sz="0" w:space="0" w:color="auto"/>
        <w:left w:val="none" w:sz="0" w:space="0" w:color="auto"/>
        <w:bottom w:val="none" w:sz="0" w:space="0" w:color="auto"/>
        <w:right w:val="none" w:sz="0" w:space="0" w:color="auto"/>
      </w:divBdr>
    </w:div>
    <w:div w:id="859898075">
      <w:bodyDiv w:val="1"/>
      <w:marLeft w:val="0"/>
      <w:marRight w:val="0"/>
      <w:marTop w:val="0"/>
      <w:marBottom w:val="0"/>
      <w:divBdr>
        <w:top w:val="none" w:sz="0" w:space="0" w:color="auto"/>
        <w:left w:val="none" w:sz="0" w:space="0" w:color="auto"/>
        <w:bottom w:val="none" w:sz="0" w:space="0" w:color="auto"/>
        <w:right w:val="none" w:sz="0" w:space="0" w:color="auto"/>
      </w:divBdr>
    </w:div>
    <w:div w:id="890850602">
      <w:bodyDiv w:val="1"/>
      <w:marLeft w:val="0"/>
      <w:marRight w:val="0"/>
      <w:marTop w:val="0"/>
      <w:marBottom w:val="0"/>
      <w:divBdr>
        <w:top w:val="none" w:sz="0" w:space="0" w:color="auto"/>
        <w:left w:val="none" w:sz="0" w:space="0" w:color="auto"/>
        <w:bottom w:val="none" w:sz="0" w:space="0" w:color="auto"/>
        <w:right w:val="none" w:sz="0" w:space="0" w:color="auto"/>
      </w:divBdr>
    </w:div>
    <w:div w:id="901255431">
      <w:bodyDiv w:val="1"/>
      <w:marLeft w:val="0"/>
      <w:marRight w:val="0"/>
      <w:marTop w:val="0"/>
      <w:marBottom w:val="0"/>
      <w:divBdr>
        <w:top w:val="none" w:sz="0" w:space="0" w:color="auto"/>
        <w:left w:val="none" w:sz="0" w:space="0" w:color="auto"/>
        <w:bottom w:val="none" w:sz="0" w:space="0" w:color="auto"/>
        <w:right w:val="none" w:sz="0" w:space="0" w:color="auto"/>
      </w:divBdr>
      <w:divsChild>
        <w:div w:id="1555044722">
          <w:marLeft w:val="0"/>
          <w:marRight w:val="0"/>
          <w:marTop w:val="0"/>
          <w:marBottom w:val="0"/>
          <w:divBdr>
            <w:top w:val="none" w:sz="0" w:space="0" w:color="auto"/>
            <w:left w:val="none" w:sz="0" w:space="0" w:color="auto"/>
            <w:bottom w:val="none" w:sz="0" w:space="0" w:color="auto"/>
            <w:right w:val="none" w:sz="0" w:space="0" w:color="auto"/>
          </w:divBdr>
          <w:divsChild>
            <w:div w:id="2134863145">
              <w:marLeft w:val="0"/>
              <w:marRight w:val="0"/>
              <w:marTop w:val="0"/>
              <w:marBottom w:val="0"/>
              <w:divBdr>
                <w:top w:val="none" w:sz="0" w:space="0" w:color="auto"/>
                <w:left w:val="none" w:sz="0" w:space="0" w:color="auto"/>
                <w:bottom w:val="none" w:sz="0" w:space="0" w:color="auto"/>
                <w:right w:val="none" w:sz="0" w:space="0" w:color="auto"/>
              </w:divBdr>
              <w:divsChild>
                <w:div w:id="165554983">
                  <w:marLeft w:val="0"/>
                  <w:marRight w:val="0"/>
                  <w:marTop w:val="0"/>
                  <w:marBottom w:val="0"/>
                  <w:divBdr>
                    <w:top w:val="none" w:sz="0" w:space="0" w:color="auto"/>
                    <w:left w:val="none" w:sz="0" w:space="0" w:color="auto"/>
                    <w:bottom w:val="none" w:sz="0" w:space="0" w:color="auto"/>
                    <w:right w:val="none" w:sz="0" w:space="0" w:color="auto"/>
                  </w:divBdr>
                  <w:divsChild>
                    <w:div w:id="398669975">
                      <w:marLeft w:val="0"/>
                      <w:marRight w:val="0"/>
                      <w:marTop w:val="0"/>
                      <w:marBottom w:val="0"/>
                      <w:divBdr>
                        <w:top w:val="none" w:sz="0" w:space="0" w:color="auto"/>
                        <w:left w:val="none" w:sz="0" w:space="0" w:color="auto"/>
                        <w:bottom w:val="none" w:sz="0" w:space="0" w:color="auto"/>
                        <w:right w:val="none" w:sz="0" w:space="0" w:color="auto"/>
                      </w:divBdr>
                      <w:divsChild>
                        <w:div w:id="1412921226">
                          <w:marLeft w:val="0"/>
                          <w:marRight w:val="0"/>
                          <w:marTop w:val="0"/>
                          <w:marBottom w:val="0"/>
                          <w:divBdr>
                            <w:top w:val="none" w:sz="0" w:space="0" w:color="auto"/>
                            <w:left w:val="none" w:sz="0" w:space="0" w:color="auto"/>
                            <w:bottom w:val="none" w:sz="0" w:space="0" w:color="auto"/>
                            <w:right w:val="none" w:sz="0" w:space="0" w:color="auto"/>
                          </w:divBdr>
                          <w:divsChild>
                            <w:div w:id="1834299237">
                              <w:marLeft w:val="0"/>
                              <w:marRight w:val="0"/>
                              <w:marTop w:val="0"/>
                              <w:marBottom w:val="0"/>
                              <w:divBdr>
                                <w:top w:val="none" w:sz="0" w:space="0" w:color="auto"/>
                                <w:left w:val="none" w:sz="0" w:space="0" w:color="auto"/>
                                <w:bottom w:val="none" w:sz="0" w:space="0" w:color="auto"/>
                                <w:right w:val="none" w:sz="0" w:space="0" w:color="auto"/>
                              </w:divBdr>
                              <w:divsChild>
                                <w:div w:id="1349142469">
                                  <w:marLeft w:val="0"/>
                                  <w:marRight w:val="0"/>
                                  <w:marTop w:val="0"/>
                                  <w:marBottom w:val="0"/>
                                  <w:divBdr>
                                    <w:top w:val="none" w:sz="0" w:space="0" w:color="auto"/>
                                    <w:left w:val="none" w:sz="0" w:space="0" w:color="auto"/>
                                    <w:bottom w:val="none" w:sz="0" w:space="0" w:color="auto"/>
                                    <w:right w:val="none" w:sz="0" w:space="0" w:color="auto"/>
                                  </w:divBdr>
                                  <w:divsChild>
                                    <w:div w:id="76357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326700">
      <w:bodyDiv w:val="1"/>
      <w:marLeft w:val="0"/>
      <w:marRight w:val="0"/>
      <w:marTop w:val="0"/>
      <w:marBottom w:val="0"/>
      <w:divBdr>
        <w:top w:val="none" w:sz="0" w:space="0" w:color="auto"/>
        <w:left w:val="none" w:sz="0" w:space="0" w:color="auto"/>
        <w:bottom w:val="none" w:sz="0" w:space="0" w:color="auto"/>
        <w:right w:val="none" w:sz="0" w:space="0" w:color="auto"/>
      </w:divBdr>
    </w:div>
    <w:div w:id="902134350">
      <w:bodyDiv w:val="1"/>
      <w:marLeft w:val="0"/>
      <w:marRight w:val="0"/>
      <w:marTop w:val="0"/>
      <w:marBottom w:val="0"/>
      <w:divBdr>
        <w:top w:val="none" w:sz="0" w:space="0" w:color="auto"/>
        <w:left w:val="none" w:sz="0" w:space="0" w:color="auto"/>
        <w:bottom w:val="none" w:sz="0" w:space="0" w:color="auto"/>
        <w:right w:val="none" w:sz="0" w:space="0" w:color="auto"/>
      </w:divBdr>
    </w:div>
    <w:div w:id="909968483">
      <w:bodyDiv w:val="1"/>
      <w:marLeft w:val="0"/>
      <w:marRight w:val="0"/>
      <w:marTop w:val="0"/>
      <w:marBottom w:val="0"/>
      <w:divBdr>
        <w:top w:val="none" w:sz="0" w:space="0" w:color="auto"/>
        <w:left w:val="none" w:sz="0" w:space="0" w:color="auto"/>
        <w:bottom w:val="none" w:sz="0" w:space="0" w:color="auto"/>
        <w:right w:val="none" w:sz="0" w:space="0" w:color="auto"/>
      </w:divBdr>
    </w:div>
    <w:div w:id="914975757">
      <w:bodyDiv w:val="1"/>
      <w:marLeft w:val="0"/>
      <w:marRight w:val="0"/>
      <w:marTop w:val="0"/>
      <w:marBottom w:val="0"/>
      <w:divBdr>
        <w:top w:val="none" w:sz="0" w:space="0" w:color="auto"/>
        <w:left w:val="none" w:sz="0" w:space="0" w:color="auto"/>
        <w:bottom w:val="none" w:sz="0" w:space="0" w:color="auto"/>
        <w:right w:val="none" w:sz="0" w:space="0" w:color="auto"/>
      </w:divBdr>
    </w:div>
    <w:div w:id="921841597">
      <w:bodyDiv w:val="1"/>
      <w:marLeft w:val="0"/>
      <w:marRight w:val="0"/>
      <w:marTop w:val="0"/>
      <w:marBottom w:val="0"/>
      <w:divBdr>
        <w:top w:val="none" w:sz="0" w:space="0" w:color="auto"/>
        <w:left w:val="none" w:sz="0" w:space="0" w:color="auto"/>
        <w:bottom w:val="none" w:sz="0" w:space="0" w:color="auto"/>
        <w:right w:val="none" w:sz="0" w:space="0" w:color="auto"/>
      </w:divBdr>
    </w:div>
    <w:div w:id="925502041">
      <w:bodyDiv w:val="1"/>
      <w:marLeft w:val="0"/>
      <w:marRight w:val="0"/>
      <w:marTop w:val="0"/>
      <w:marBottom w:val="0"/>
      <w:divBdr>
        <w:top w:val="none" w:sz="0" w:space="0" w:color="auto"/>
        <w:left w:val="none" w:sz="0" w:space="0" w:color="auto"/>
        <w:bottom w:val="none" w:sz="0" w:space="0" w:color="auto"/>
        <w:right w:val="none" w:sz="0" w:space="0" w:color="auto"/>
      </w:divBdr>
    </w:div>
    <w:div w:id="926614391">
      <w:bodyDiv w:val="1"/>
      <w:marLeft w:val="0"/>
      <w:marRight w:val="0"/>
      <w:marTop w:val="0"/>
      <w:marBottom w:val="0"/>
      <w:divBdr>
        <w:top w:val="none" w:sz="0" w:space="0" w:color="auto"/>
        <w:left w:val="none" w:sz="0" w:space="0" w:color="auto"/>
        <w:bottom w:val="none" w:sz="0" w:space="0" w:color="auto"/>
        <w:right w:val="none" w:sz="0" w:space="0" w:color="auto"/>
      </w:divBdr>
    </w:div>
    <w:div w:id="932860997">
      <w:bodyDiv w:val="1"/>
      <w:marLeft w:val="0"/>
      <w:marRight w:val="0"/>
      <w:marTop w:val="0"/>
      <w:marBottom w:val="0"/>
      <w:divBdr>
        <w:top w:val="none" w:sz="0" w:space="0" w:color="auto"/>
        <w:left w:val="none" w:sz="0" w:space="0" w:color="auto"/>
        <w:bottom w:val="none" w:sz="0" w:space="0" w:color="auto"/>
        <w:right w:val="none" w:sz="0" w:space="0" w:color="auto"/>
      </w:divBdr>
    </w:div>
    <w:div w:id="933636492">
      <w:bodyDiv w:val="1"/>
      <w:marLeft w:val="0"/>
      <w:marRight w:val="0"/>
      <w:marTop w:val="0"/>
      <w:marBottom w:val="0"/>
      <w:divBdr>
        <w:top w:val="none" w:sz="0" w:space="0" w:color="auto"/>
        <w:left w:val="none" w:sz="0" w:space="0" w:color="auto"/>
        <w:bottom w:val="none" w:sz="0" w:space="0" w:color="auto"/>
        <w:right w:val="none" w:sz="0" w:space="0" w:color="auto"/>
      </w:divBdr>
    </w:div>
    <w:div w:id="946354812">
      <w:bodyDiv w:val="1"/>
      <w:marLeft w:val="0"/>
      <w:marRight w:val="0"/>
      <w:marTop w:val="0"/>
      <w:marBottom w:val="0"/>
      <w:divBdr>
        <w:top w:val="none" w:sz="0" w:space="0" w:color="auto"/>
        <w:left w:val="none" w:sz="0" w:space="0" w:color="auto"/>
        <w:bottom w:val="none" w:sz="0" w:space="0" w:color="auto"/>
        <w:right w:val="none" w:sz="0" w:space="0" w:color="auto"/>
      </w:divBdr>
    </w:div>
    <w:div w:id="973095188">
      <w:bodyDiv w:val="1"/>
      <w:marLeft w:val="0"/>
      <w:marRight w:val="0"/>
      <w:marTop w:val="0"/>
      <w:marBottom w:val="0"/>
      <w:divBdr>
        <w:top w:val="none" w:sz="0" w:space="0" w:color="auto"/>
        <w:left w:val="none" w:sz="0" w:space="0" w:color="auto"/>
        <w:bottom w:val="none" w:sz="0" w:space="0" w:color="auto"/>
        <w:right w:val="none" w:sz="0" w:space="0" w:color="auto"/>
      </w:divBdr>
    </w:div>
    <w:div w:id="1005673507">
      <w:bodyDiv w:val="1"/>
      <w:marLeft w:val="0"/>
      <w:marRight w:val="0"/>
      <w:marTop w:val="0"/>
      <w:marBottom w:val="0"/>
      <w:divBdr>
        <w:top w:val="none" w:sz="0" w:space="0" w:color="auto"/>
        <w:left w:val="none" w:sz="0" w:space="0" w:color="auto"/>
        <w:bottom w:val="none" w:sz="0" w:space="0" w:color="auto"/>
        <w:right w:val="none" w:sz="0" w:space="0" w:color="auto"/>
      </w:divBdr>
      <w:divsChild>
        <w:div w:id="505481735">
          <w:marLeft w:val="0"/>
          <w:marRight w:val="0"/>
          <w:marTop w:val="0"/>
          <w:marBottom w:val="0"/>
          <w:divBdr>
            <w:top w:val="none" w:sz="0" w:space="0" w:color="auto"/>
            <w:left w:val="none" w:sz="0" w:space="0" w:color="auto"/>
            <w:bottom w:val="none" w:sz="0" w:space="0" w:color="auto"/>
            <w:right w:val="none" w:sz="0" w:space="0" w:color="auto"/>
          </w:divBdr>
          <w:divsChild>
            <w:div w:id="1299533393">
              <w:marLeft w:val="0"/>
              <w:marRight w:val="0"/>
              <w:marTop w:val="0"/>
              <w:marBottom w:val="0"/>
              <w:divBdr>
                <w:top w:val="none" w:sz="0" w:space="0" w:color="auto"/>
                <w:left w:val="none" w:sz="0" w:space="0" w:color="auto"/>
                <w:bottom w:val="none" w:sz="0" w:space="0" w:color="auto"/>
                <w:right w:val="none" w:sz="0" w:space="0" w:color="auto"/>
              </w:divBdr>
              <w:divsChild>
                <w:div w:id="1239637461">
                  <w:marLeft w:val="0"/>
                  <w:marRight w:val="0"/>
                  <w:marTop w:val="0"/>
                  <w:marBottom w:val="0"/>
                  <w:divBdr>
                    <w:top w:val="none" w:sz="0" w:space="0" w:color="auto"/>
                    <w:left w:val="none" w:sz="0" w:space="0" w:color="auto"/>
                    <w:bottom w:val="none" w:sz="0" w:space="0" w:color="auto"/>
                    <w:right w:val="none" w:sz="0" w:space="0" w:color="auto"/>
                  </w:divBdr>
                  <w:divsChild>
                    <w:div w:id="1802839822">
                      <w:marLeft w:val="0"/>
                      <w:marRight w:val="0"/>
                      <w:marTop w:val="0"/>
                      <w:marBottom w:val="0"/>
                      <w:divBdr>
                        <w:top w:val="none" w:sz="0" w:space="0" w:color="auto"/>
                        <w:left w:val="none" w:sz="0" w:space="0" w:color="auto"/>
                        <w:bottom w:val="none" w:sz="0" w:space="0" w:color="auto"/>
                        <w:right w:val="none" w:sz="0" w:space="0" w:color="auto"/>
                      </w:divBdr>
                    </w:div>
                  </w:divsChild>
                </w:div>
                <w:div w:id="1926567410">
                  <w:marLeft w:val="0"/>
                  <w:marRight w:val="0"/>
                  <w:marTop w:val="0"/>
                  <w:marBottom w:val="0"/>
                  <w:divBdr>
                    <w:top w:val="none" w:sz="0" w:space="0" w:color="auto"/>
                    <w:left w:val="none" w:sz="0" w:space="0" w:color="auto"/>
                    <w:bottom w:val="none" w:sz="0" w:space="0" w:color="auto"/>
                    <w:right w:val="none" w:sz="0" w:space="0" w:color="auto"/>
                  </w:divBdr>
                  <w:divsChild>
                    <w:div w:id="1053427906">
                      <w:marLeft w:val="0"/>
                      <w:marRight w:val="0"/>
                      <w:marTop w:val="0"/>
                      <w:marBottom w:val="0"/>
                      <w:divBdr>
                        <w:top w:val="none" w:sz="0" w:space="0" w:color="auto"/>
                        <w:left w:val="none" w:sz="0" w:space="0" w:color="auto"/>
                        <w:bottom w:val="none" w:sz="0" w:space="0" w:color="auto"/>
                        <w:right w:val="none" w:sz="0" w:space="0" w:color="auto"/>
                      </w:divBdr>
                      <w:divsChild>
                        <w:div w:id="751120906">
                          <w:marLeft w:val="0"/>
                          <w:marRight w:val="0"/>
                          <w:marTop w:val="0"/>
                          <w:marBottom w:val="0"/>
                          <w:divBdr>
                            <w:top w:val="none" w:sz="0" w:space="0" w:color="auto"/>
                            <w:left w:val="none" w:sz="0" w:space="0" w:color="auto"/>
                            <w:bottom w:val="none" w:sz="0" w:space="0" w:color="auto"/>
                            <w:right w:val="none" w:sz="0" w:space="0" w:color="auto"/>
                          </w:divBdr>
                          <w:divsChild>
                            <w:div w:id="8999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678719">
      <w:bodyDiv w:val="1"/>
      <w:marLeft w:val="0"/>
      <w:marRight w:val="0"/>
      <w:marTop w:val="0"/>
      <w:marBottom w:val="0"/>
      <w:divBdr>
        <w:top w:val="none" w:sz="0" w:space="0" w:color="auto"/>
        <w:left w:val="none" w:sz="0" w:space="0" w:color="auto"/>
        <w:bottom w:val="none" w:sz="0" w:space="0" w:color="auto"/>
        <w:right w:val="none" w:sz="0" w:space="0" w:color="auto"/>
      </w:divBdr>
    </w:div>
    <w:div w:id="1018849049">
      <w:bodyDiv w:val="1"/>
      <w:marLeft w:val="0"/>
      <w:marRight w:val="0"/>
      <w:marTop w:val="0"/>
      <w:marBottom w:val="0"/>
      <w:divBdr>
        <w:top w:val="none" w:sz="0" w:space="0" w:color="auto"/>
        <w:left w:val="none" w:sz="0" w:space="0" w:color="auto"/>
        <w:bottom w:val="none" w:sz="0" w:space="0" w:color="auto"/>
        <w:right w:val="none" w:sz="0" w:space="0" w:color="auto"/>
      </w:divBdr>
      <w:divsChild>
        <w:div w:id="1977223774">
          <w:marLeft w:val="0"/>
          <w:marRight w:val="0"/>
          <w:marTop w:val="0"/>
          <w:marBottom w:val="0"/>
          <w:divBdr>
            <w:top w:val="none" w:sz="0" w:space="0" w:color="auto"/>
            <w:left w:val="none" w:sz="0" w:space="0" w:color="auto"/>
            <w:bottom w:val="none" w:sz="0" w:space="0" w:color="auto"/>
            <w:right w:val="none" w:sz="0" w:space="0" w:color="auto"/>
          </w:divBdr>
          <w:divsChild>
            <w:div w:id="1636715298">
              <w:marLeft w:val="0"/>
              <w:marRight w:val="0"/>
              <w:marTop w:val="0"/>
              <w:marBottom w:val="0"/>
              <w:divBdr>
                <w:top w:val="none" w:sz="0" w:space="0" w:color="auto"/>
                <w:left w:val="none" w:sz="0" w:space="0" w:color="auto"/>
                <w:bottom w:val="none" w:sz="0" w:space="0" w:color="auto"/>
                <w:right w:val="none" w:sz="0" w:space="0" w:color="auto"/>
              </w:divBdr>
              <w:divsChild>
                <w:div w:id="926770039">
                  <w:marLeft w:val="0"/>
                  <w:marRight w:val="0"/>
                  <w:marTop w:val="0"/>
                  <w:marBottom w:val="0"/>
                  <w:divBdr>
                    <w:top w:val="none" w:sz="0" w:space="0" w:color="auto"/>
                    <w:left w:val="none" w:sz="0" w:space="0" w:color="auto"/>
                    <w:bottom w:val="none" w:sz="0" w:space="0" w:color="auto"/>
                    <w:right w:val="none" w:sz="0" w:space="0" w:color="auto"/>
                  </w:divBdr>
                  <w:divsChild>
                    <w:div w:id="911503119">
                      <w:marLeft w:val="0"/>
                      <w:marRight w:val="0"/>
                      <w:marTop w:val="0"/>
                      <w:marBottom w:val="0"/>
                      <w:divBdr>
                        <w:top w:val="none" w:sz="0" w:space="0" w:color="auto"/>
                        <w:left w:val="none" w:sz="0" w:space="0" w:color="auto"/>
                        <w:bottom w:val="none" w:sz="0" w:space="0" w:color="auto"/>
                        <w:right w:val="none" w:sz="0" w:space="0" w:color="auto"/>
                      </w:divBdr>
                      <w:divsChild>
                        <w:div w:id="421684813">
                          <w:marLeft w:val="0"/>
                          <w:marRight w:val="0"/>
                          <w:marTop w:val="0"/>
                          <w:marBottom w:val="0"/>
                          <w:divBdr>
                            <w:top w:val="none" w:sz="0" w:space="0" w:color="auto"/>
                            <w:left w:val="none" w:sz="0" w:space="0" w:color="auto"/>
                            <w:bottom w:val="none" w:sz="0" w:space="0" w:color="auto"/>
                            <w:right w:val="none" w:sz="0" w:space="0" w:color="auto"/>
                          </w:divBdr>
                          <w:divsChild>
                            <w:div w:id="1978678617">
                              <w:marLeft w:val="0"/>
                              <w:marRight w:val="0"/>
                              <w:marTop w:val="0"/>
                              <w:marBottom w:val="0"/>
                              <w:divBdr>
                                <w:top w:val="none" w:sz="0" w:space="0" w:color="auto"/>
                                <w:left w:val="none" w:sz="0" w:space="0" w:color="auto"/>
                                <w:bottom w:val="none" w:sz="0" w:space="0" w:color="auto"/>
                                <w:right w:val="none" w:sz="0" w:space="0" w:color="auto"/>
                              </w:divBdr>
                              <w:divsChild>
                                <w:div w:id="1017119537">
                                  <w:marLeft w:val="0"/>
                                  <w:marRight w:val="0"/>
                                  <w:marTop w:val="0"/>
                                  <w:marBottom w:val="0"/>
                                  <w:divBdr>
                                    <w:top w:val="none" w:sz="0" w:space="0" w:color="auto"/>
                                    <w:left w:val="none" w:sz="0" w:space="0" w:color="auto"/>
                                    <w:bottom w:val="none" w:sz="0" w:space="0" w:color="auto"/>
                                    <w:right w:val="none" w:sz="0" w:space="0" w:color="auto"/>
                                  </w:divBdr>
                                  <w:divsChild>
                                    <w:div w:id="6110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895630">
      <w:bodyDiv w:val="1"/>
      <w:marLeft w:val="0"/>
      <w:marRight w:val="0"/>
      <w:marTop w:val="0"/>
      <w:marBottom w:val="0"/>
      <w:divBdr>
        <w:top w:val="none" w:sz="0" w:space="0" w:color="auto"/>
        <w:left w:val="none" w:sz="0" w:space="0" w:color="auto"/>
        <w:bottom w:val="none" w:sz="0" w:space="0" w:color="auto"/>
        <w:right w:val="none" w:sz="0" w:space="0" w:color="auto"/>
      </w:divBdr>
    </w:div>
    <w:div w:id="1026562264">
      <w:bodyDiv w:val="1"/>
      <w:marLeft w:val="0"/>
      <w:marRight w:val="0"/>
      <w:marTop w:val="0"/>
      <w:marBottom w:val="0"/>
      <w:divBdr>
        <w:top w:val="none" w:sz="0" w:space="0" w:color="auto"/>
        <w:left w:val="none" w:sz="0" w:space="0" w:color="auto"/>
        <w:bottom w:val="none" w:sz="0" w:space="0" w:color="auto"/>
        <w:right w:val="none" w:sz="0" w:space="0" w:color="auto"/>
      </w:divBdr>
    </w:div>
    <w:div w:id="1054429382">
      <w:bodyDiv w:val="1"/>
      <w:marLeft w:val="0"/>
      <w:marRight w:val="0"/>
      <w:marTop w:val="0"/>
      <w:marBottom w:val="0"/>
      <w:divBdr>
        <w:top w:val="none" w:sz="0" w:space="0" w:color="auto"/>
        <w:left w:val="none" w:sz="0" w:space="0" w:color="auto"/>
        <w:bottom w:val="none" w:sz="0" w:space="0" w:color="auto"/>
        <w:right w:val="none" w:sz="0" w:space="0" w:color="auto"/>
      </w:divBdr>
    </w:div>
    <w:div w:id="1058433136">
      <w:bodyDiv w:val="1"/>
      <w:marLeft w:val="0"/>
      <w:marRight w:val="0"/>
      <w:marTop w:val="0"/>
      <w:marBottom w:val="0"/>
      <w:divBdr>
        <w:top w:val="none" w:sz="0" w:space="0" w:color="auto"/>
        <w:left w:val="none" w:sz="0" w:space="0" w:color="auto"/>
        <w:bottom w:val="none" w:sz="0" w:space="0" w:color="auto"/>
        <w:right w:val="none" w:sz="0" w:space="0" w:color="auto"/>
      </w:divBdr>
    </w:div>
    <w:div w:id="1093211653">
      <w:bodyDiv w:val="1"/>
      <w:marLeft w:val="0"/>
      <w:marRight w:val="0"/>
      <w:marTop w:val="0"/>
      <w:marBottom w:val="0"/>
      <w:divBdr>
        <w:top w:val="none" w:sz="0" w:space="0" w:color="auto"/>
        <w:left w:val="none" w:sz="0" w:space="0" w:color="auto"/>
        <w:bottom w:val="none" w:sz="0" w:space="0" w:color="auto"/>
        <w:right w:val="none" w:sz="0" w:space="0" w:color="auto"/>
      </w:divBdr>
    </w:div>
    <w:div w:id="1099521724">
      <w:bodyDiv w:val="1"/>
      <w:marLeft w:val="0"/>
      <w:marRight w:val="0"/>
      <w:marTop w:val="0"/>
      <w:marBottom w:val="0"/>
      <w:divBdr>
        <w:top w:val="none" w:sz="0" w:space="0" w:color="auto"/>
        <w:left w:val="none" w:sz="0" w:space="0" w:color="auto"/>
        <w:bottom w:val="none" w:sz="0" w:space="0" w:color="auto"/>
        <w:right w:val="none" w:sz="0" w:space="0" w:color="auto"/>
      </w:divBdr>
    </w:div>
    <w:div w:id="1113280889">
      <w:bodyDiv w:val="1"/>
      <w:marLeft w:val="0"/>
      <w:marRight w:val="0"/>
      <w:marTop w:val="0"/>
      <w:marBottom w:val="0"/>
      <w:divBdr>
        <w:top w:val="none" w:sz="0" w:space="0" w:color="auto"/>
        <w:left w:val="none" w:sz="0" w:space="0" w:color="auto"/>
        <w:bottom w:val="none" w:sz="0" w:space="0" w:color="auto"/>
        <w:right w:val="none" w:sz="0" w:space="0" w:color="auto"/>
      </w:divBdr>
    </w:div>
    <w:div w:id="1116481849">
      <w:bodyDiv w:val="1"/>
      <w:marLeft w:val="0"/>
      <w:marRight w:val="0"/>
      <w:marTop w:val="0"/>
      <w:marBottom w:val="0"/>
      <w:divBdr>
        <w:top w:val="none" w:sz="0" w:space="0" w:color="auto"/>
        <w:left w:val="none" w:sz="0" w:space="0" w:color="auto"/>
        <w:bottom w:val="none" w:sz="0" w:space="0" w:color="auto"/>
        <w:right w:val="none" w:sz="0" w:space="0" w:color="auto"/>
      </w:divBdr>
    </w:div>
    <w:div w:id="1124302318">
      <w:bodyDiv w:val="1"/>
      <w:marLeft w:val="0"/>
      <w:marRight w:val="0"/>
      <w:marTop w:val="0"/>
      <w:marBottom w:val="0"/>
      <w:divBdr>
        <w:top w:val="none" w:sz="0" w:space="0" w:color="auto"/>
        <w:left w:val="none" w:sz="0" w:space="0" w:color="auto"/>
        <w:bottom w:val="none" w:sz="0" w:space="0" w:color="auto"/>
        <w:right w:val="none" w:sz="0" w:space="0" w:color="auto"/>
      </w:divBdr>
    </w:div>
    <w:div w:id="1125612322">
      <w:bodyDiv w:val="1"/>
      <w:marLeft w:val="0"/>
      <w:marRight w:val="0"/>
      <w:marTop w:val="0"/>
      <w:marBottom w:val="0"/>
      <w:divBdr>
        <w:top w:val="none" w:sz="0" w:space="0" w:color="auto"/>
        <w:left w:val="none" w:sz="0" w:space="0" w:color="auto"/>
        <w:bottom w:val="none" w:sz="0" w:space="0" w:color="auto"/>
        <w:right w:val="none" w:sz="0" w:space="0" w:color="auto"/>
      </w:divBdr>
    </w:div>
    <w:div w:id="1128476847">
      <w:bodyDiv w:val="1"/>
      <w:marLeft w:val="0"/>
      <w:marRight w:val="0"/>
      <w:marTop w:val="0"/>
      <w:marBottom w:val="0"/>
      <w:divBdr>
        <w:top w:val="none" w:sz="0" w:space="0" w:color="auto"/>
        <w:left w:val="none" w:sz="0" w:space="0" w:color="auto"/>
        <w:bottom w:val="none" w:sz="0" w:space="0" w:color="auto"/>
        <w:right w:val="none" w:sz="0" w:space="0" w:color="auto"/>
      </w:divBdr>
    </w:div>
    <w:div w:id="1136097174">
      <w:bodyDiv w:val="1"/>
      <w:marLeft w:val="0"/>
      <w:marRight w:val="0"/>
      <w:marTop w:val="0"/>
      <w:marBottom w:val="0"/>
      <w:divBdr>
        <w:top w:val="none" w:sz="0" w:space="0" w:color="auto"/>
        <w:left w:val="none" w:sz="0" w:space="0" w:color="auto"/>
        <w:bottom w:val="none" w:sz="0" w:space="0" w:color="auto"/>
        <w:right w:val="none" w:sz="0" w:space="0" w:color="auto"/>
      </w:divBdr>
    </w:div>
    <w:div w:id="1142650223">
      <w:bodyDiv w:val="1"/>
      <w:marLeft w:val="0"/>
      <w:marRight w:val="0"/>
      <w:marTop w:val="0"/>
      <w:marBottom w:val="0"/>
      <w:divBdr>
        <w:top w:val="none" w:sz="0" w:space="0" w:color="auto"/>
        <w:left w:val="none" w:sz="0" w:space="0" w:color="auto"/>
        <w:bottom w:val="none" w:sz="0" w:space="0" w:color="auto"/>
        <w:right w:val="none" w:sz="0" w:space="0" w:color="auto"/>
      </w:divBdr>
    </w:div>
    <w:div w:id="1147891056">
      <w:bodyDiv w:val="1"/>
      <w:marLeft w:val="0"/>
      <w:marRight w:val="0"/>
      <w:marTop w:val="0"/>
      <w:marBottom w:val="0"/>
      <w:divBdr>
        <w:top w:val="none" w:sz="0" w:space="0" w:color="auto"/>
        <w:left w:val="none" w:sz="0" w:space="0" w:color="auto"/>
        <w:bottom w:val="none" w:sz="0" w:space="0" w:color="auto"/>
        <w:right w:val="none" w:sz="0" w:space="0" w:color="auto"/>
      </w:divBdr>
    </w:div>
    <w:div w:id="1150681488">
      <w:bodyDiv w:val="1"/>
      <w:marLeft w:val="0"/>
      <w:marRight w:val="0"/>
      <w:marTop w:val="0"/>
      <w:marBottom w:val="0"/>
      <w:divBdr>
        <w:top w:val="none" w:sz="0" w:space="0" w:color="auto"/>
        <w:left w:val="none" w:sz="0" w:space="0" w:color="auto"/>
        <w:bottom w:val="none" w:sz="0" w:space="0" w:color="auto"/>
        <w:right w:val="none" w:sz="0" w:space="0" w:color="auto"/>
      </w:divBdr>
    </w:div>
    <w:div w:id="1166166222">
      <w:bodyDiv w:val="1"/>
      <w:marLeft w:val="0"/>
      <w:marRight w:val="0"/>
      <w:marTop w:val="0"/>
      <w:marBottom w:val="0"/>
      <w:divBdr>
        <w:top w:val="none" w:sz="0" w:space="0" w:color="auto"/>
        <w:left w:val="none" w:sz="0" w:space="0" w:color="auto"/>
        <w:bottom w:val="none" w:sz="0" w:space="0" w:color="auto"/>
        <w:right w:val="none" w:sz="0" w:space="0" w:color="auto"/>
      </w:divBdr>
    </w:div>
    <w:div w:id="1170678088">
      <w:bodyDiv w:val="1"/>
      <w:marLeft w:val="0"/>
      <w:marRight w:val="0"/>
      <w:marTop w:val="0"/>
      <w:marBottom w:val="0"/>
      <w:divBdr>
        <w:top w:val="none" w:sz="0" w:space="0" w:color="auto"/>
        <w:left w:val="none" w:sz="0" w:space="0" w:color="auto"/>
        <w:bottom w:val="none" w:sz="0" w:space="0" w:color="auto"/>
        <w:right w:val="none" w:sz="0" w:space="0" w:color="auto"/>
      </w:divBdr>
      <w:divsChild>
        <w:div w:id="2026050917">
          <w:marLeft w:val="0"/>
          <w:marRight w:val="0"/>
          <w:marTop w:val="0"/>
          <w:marBottom w:val="0"/>
          <w:divBdr>
            <w:top w:val="none" w:sz="0" w:space="0" w:color="auto"/>
            <w:left w:val="none" w:sz="0" w:space="0" w:color="auto"/>
            <w:bottom w:val="none" w:sz="0" w:space="0" w:color="auto"/>
            <w:right w:val="none" w:sz="0" w:space="0" w:color="auto"/>
          </w:divBdr>
          <w:divsChild>
            <w:div w:id="1435978697">
              <w:marLeft w:val="0"/>
              <w:marRight w:val="0"/>
              <w:marTop w:val="0"/>
              <w:marBottom w:val="0"/>
              <w:divBdr>
                <w:top w:val="none" w:sz="0" w:space="0" w:color="auto"/>
                <w:left w:val="none" w:sz="0" w:space="0" w:color="auto"/>
                <w:bottom w:val="none" w:sz="0" w:space="0" w:color="auto"/>
                <w:right w:val="none" w:sz="0" w:space="0" w:color="auto"/>
              </w:divBdr>
              <w:divsChild>
                <w:div w:id="1940676907">
                  <w:marLeft w:val="0"/>
                  <w:marRight w:val="0"/>
                  <w:marTop w:val="0"/>
                  <w:marBottom w:val="0"/>
                  <w:divBdr>
                    <w:top w:val="none" w:sz="0" w:space="0" w:color="auto"/>
                    <w:left w:val="none" w:sz="0" w:space="0" w:color="auto"/>
                    <w:bottom w:val="none" w:sz="0" w:space="0" w:color="auto"/>
                    <w:right w:val="none" w:sz="0" w:space="0" w:color="auto"/>
                  </w:divBdr>
                  <w:divsChild>
                    <w:div w:id="2027101119">
                      <w:marLeft w:val="0"/>
                      <w:marRight w:val="0"/>
                      <w:marTop w:val="0"/>
                      <w:marBottom w:val="0"/>
                      <w:divBdr>
                        <w:top w:val="none" w:sz="0" w:space="0" w:color="auto"/>
                        <w:left w:val="none" w:sz="0" w:space="0" w:color="auto"/>
                        <w:bottom w:val="none" w:sz="0" w:space="0" w:color="auto"/>
                        <w:right w:val="none" w:sz="0" w:space="0" w:color="auto"/>
                      </w:divBdr>
                      <w:divsChild>
                        <w:div w:id="2055347642">
                          <w:marLeft w:val="0"/>
                          <w:marRight w:val="0"/>
                          <w:marTop w:val="0"/>
                          <w:marBottom w:val="0"/>
                          <w:divBdr>
                            <w:top w:val="none" w:sz="0" w:space="0" w:color="auto"/>
                            <w:left w:val="none" w:sz="0" w:space="0" w:color="auto"/>
                            <w:bottom w:val="none" w:sz="0" w:space="0" w:color="auto"/>
                            <w:right w:val="none" w:sz="0" w:space="0" w:color="auto"/>
                          </w:divBdr>
                          <w:divsChild>
                            <w:div w:id="1952197755">
                              <w:marLeft w:val="0"/>
                              <w:marRight w:val="0"/>
                              <w:marTop w:val="0"/>
                              <w:marBottom w:val="0"/>
                              <w:divBdr>
                                <w:top w:val="none" w:sz="0" w:space="0" w:color="auto"/>
                                <w:left w:val="none" w:sz="0" w:space="0" w:color="auto"/>
                                <w:bottom w:val="none" w:sz="0" w:space="0" w:color="auto"/>
                                <w:right w:val="none" w:sz="0" w:space="0" w:color="auto"/>
                              </w:divBdr>
                              <w:divsChild>
                                <w:div w:id="515463858">
                                  <w:marLeft w:val="0"/>
                                  <w:marRight w:val="0"/>
                                  <w:marTop w:val="0"/>
                                  <w:marBottom w:val="0"/>
                                  <w:divBdr>
                                    <w:top w:val="none" w:sz="0" w:space="0" w:color="auto"/>
                                    <w:left w:val="none" w:sz="0" w:space="0" w:color="auto"/>
                                    <w:bottom w:val="none" w:sz="0" w:space="0" w:color="auto"/>
                                    <w:right w:val="none" w:sz="0" w:space="0" w:color="auto"/>
                                  </w:divBdr>
                                  <w:divsChild>
                                    <w:div w:id="3451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7617640">
      <w:bodyDiv w:val="1"/>
      <w:marLeft w:val="0"/>
      <w:marRight w:val="0"/>
      <w:marTop w:val="0"/>
      <w:marBottom w:val="0"/>
      <w:divBdr>
        <w:top w:val="none" w:sz="0" w:space="0" w:color="auto"/>
        <w:left w:val="none" w:sz="0" w:space="0" w:color="auto"/>
        <w:bottom w:val="none" w:sz="0" w:space="0" w:color="auto"/>
        <w:right w:val="none" w:sz="0" w:space="0" w:color="auto"/>
      </w:divBdr>
    </w:div>
    <w:div w:id="1190297460">
      <w:bodyDiv w:val="1"/>
      <w:marLeft w:val="0"/>
      <w:marRight w:val="0"/>
      <w:marTop w:val="0"/>
      <w:marBottom w:val="0"/>
      <w:divBdr>
        <w:top w:val="none" w:sz="0" w:space="0" w:color="auto"/>
        <w:left w:val="none" w:sz="0" w:space="0" w:color="auto"/>
        <w:bottom w:val="none" w:sz="0" w:space="0" w:color="auto"/>
        <w:right w:val="none" w:sz="0" w:space="0" w:color="auto"/>
      </w:divBdr>
    </w:div>
    <w:div w:id="1194346235">
      <w:bodyDiv w:val="1"/>
      <w:marLeft w:val="0"/>
      <w:marRight w:val="0"/>
      <w:marTop w:val="0"/>
      <w:marBottom w:val="0"/>
      <w:divBdr>
        <w:top w:val="none" w:sz="0" w:space="0" w:color="auto"/>
        <w:left w:val="none" w:sz="0" w:space="0" w:color="auto"/>
        <w:bottom w:val="none" w:sz="0" w:space="0" w:color="auto"/>
        <w:right w:val="none" w:sz="0" w:space="0" w:color="auto"/>
      </w:divBdr>
    </w:div>
    <w:div w:id="1195459697">
      <w:bodyDiv w:val="1"/>
      <w:marLeft w:val="0"/>
      <w:marRight w:val="0"/>
      <w:marTop w:val="0"/>
      <w:marBottom w:val="0"/>
      <w:divBdr>
        <w:top w:val="none" w:sz="0" w:space="0" w:color="auto"/>
        <w:left w:val="none" w:sz="0" w:space="0" w:color="auto"/>
        <w:bottom w:val="none" w:sz="0" w:space="0" w:color="auto"/>
        <w:right w:val="none" w:sz="0" w:space="0" w:color="auto"/>
      </w:divBdr>
    </w:div>
    <w:div w:id="1199121790">
      <w:bodyDiv w:val="1"/>
      <w:marLeft w:val="0"/>
      <w:marRight w:val="0"/>
      <w:marTop w:val="0"/>
      <w:marBottom w:val="0"/>
      <w:divBdr>
        <w:top w:val="none" w:sz="0" w:space="0" w:color="auto"/>
        <w:left w:val="none" w:sz="0" w:space="0" w:color="auto"/>
        <w:bottom w:val="none" w:sz="0" w:space="0" w:color="auto"/>
        <w:right w:val="none" w:sz="0" w:space="0" w:color="auto"/>
      </w:divBdr>
    </w:div>
    <w:div w:id="1231577659">
      <w:bodyDiv w:val="1"/>
      <w:marLeft w:val="0"/>
      <w:marRight w:val="0"/>
      <w:marTop w:val="0"/>
      <w:marBottom w:val="0"/>
      <w:divBdr>
        <w:top w:val="none" w:sz="0" w:space="0" w:color="auto"/>
        <w:left w:val="none" w:sz="0" w:space="0" w:color="auto"/>
        <w:bottom w:val="none" w:sz="0" w:space="0" w:color="auto"/>
        <w:right w:val="none" w:sz="0" w:space="0" w:color="auto"/>
      </w:divBdr>
    </w:div>
    <w:div w:id="1244801718">
      <w:bodyDiv w:val="1"/>
      <w:marLeft w:val="0"/>
      <w:marRight w:val="0"/>
      <w:marTop w:val="0"/>
      <w:marBottom w:val="0"/>
      <w:divBdr>
        <w:top w:val="none" w:sz="0" w:space="0" w:color="auto"/>
        <w:left w:val="none" w:sz="0" w:space="0" w:color="auto"/>
        <w:bottom w:val="none" w:sz="0" w:space="0" w:color="auto"/>
        <w:right w:val="none" w:sz="0" w:space="0" w:color="auto"/>
      </w:divBdr>
    </w:div>
    <w:div w:id="1244994222">
      <w:bodyDiv w:val="1"/>
      <w:marLeft w:val="0"/>
      <w:marRight w:val="0"/>
      <w:marTop w:val="0"/>
      <w:marBottom w:val="0"/>
      <w:divBdr>
        <w:top w:val="none" w:sz="0" w:space="0" w:color="auto"/>
        <w:left w:val="none" w:sz="0" w:space="0" w:color="auto"/>
        <w:bottom w:val="none" w:sz="0" w:space="0" w:color="auto"/>
        <w:right w:val="none" w:sz="0" w:space="0" w:color="auto"/>
      </w:divBdr>
      <w:divsChild>
        <w:div w:id="1129786618">
          <w:marLeft w:val="600"/>
          <w:marRight w:val="0"/>
          <w:marTop w:val="0"/>
          <w:marBottom w:val="0"/>
          <w:divBdr>
            <w:top w:val="none" w:sz="0" w:space="0" w:color="auto"/>
            <w:left w:val="none" w:sz="0" w:space="0" w:color="auto"/>
            <w:bottom w:val="none" w:sz="0" w:space="0" w:color="auto"/>
            <w:right w:val="none" w:sz="0" w:space="0" w:color="auto"/>
          </w:divBdr>
          <w:divsChild>
            <w:div w:id="294913833">
              <w:marLeft w:val="0"/>
              <w:marRight w:val="0"/>
              <w:marTop w:val="0"/>
              <w:marBottom w:val="0"/>
              <w:divBdr>
                <w:top w:val="none" w:sz="0" w:space="0" w:color="auto"/>
                <w:left w:val="none" w:sz="0" w:space="0" w:color="auto"/>
                <w:bottom w:val="none" w:sz="0" w:space="0" w:color="auto"/>
                <w:right w:val="none" w:sz="0" w:space="0" w:color="auto"/>
              </w:divBdr>
            </w:div>
          </w:divsChild>
        </w:div>
        <w:div w:id="1448964820">
          <w:marLeft w:val="0"/>
          <w:marRight w:val="0"/>
          <w:marTop w:val="0"/>
          <w:marBottom w:val="0"/>
          <w:divBdr>
            <w:top w:val="none" w:sz="0" w:space="0" w:color="auto"/>
            <w:left w:val="none" w:sz="0" w:space="0" w:color="auto"/>
            <w:bottom w:val="none" w:sz="0" w:space="0" w:color="auto"/>
            <w:right w:val="none" w:sz="0" w:space="0" w:color="auto"/>
          </w:divBdr>
          <w:divsChild>
            <w:div w:id="4140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69262">
      <w:bodyDiv w:val="1"/>
      <w:marLeft w:val="0"/>
      <w:marRight w:val="0"/>
      <w:marTop w:val="0"/>
      <w:marBottom w:val="0"/>
      <w:divBdr>
        <w:top w:val="none" w:sz="0" w:space="0" w:color="auto"/>
        <w:left w:val="none" w:sz="0" w:space="0" w:color="auto"/>
        <w:bottom w:val="none" w:sz="0" w:space="0" w:color="auto"/>
        <w:right w:val="none" w:sz="0" w:space="0" w:color="auto"/>
      </w:divBdr>
    </w:div>
    <w:div w:id="1257247197">
      <w:bodyDiv w:val="1"/>
      <w:marLeft w:val="0"/>
      <w:marRight w:val="0"/>
      <w:marTop w:val="0"/>
      <w:marBottom w:val="0"/>
      <w:divBdr>
        <w:top w:val="none" w:sz="0" w:space="0" w:color="auto"/>
        <w:left w:val="none" w:sz="0" w:space="0" w:color="auto"/>
        <w:bottom w:val="none" w:sz="0" w:space="0" w:color="auto"/>
        <w:right w:val="none" w:sz="0" w:space="0" w:color="auto"/>
      </w:divBdr>
    </w:div>
    <w:div w:id="1261526364">
      <w:bodyDiv w:val="1"/>
      <w:marLeft w:val="0"/>
      <w:marRight w:val="0"/>
      <w:marTop w:val="0"/>
      <w:marBottom w:val="0"/>
      <w:divBdr>
        <w:top w:val="none" w:sz="0" w:space="0" w:color="auto"/>
        <w:left w:val="none" w:sz="0" w:space="0" w:color="auto"/>
        <w:bottom w:val="none" w:sz="0" w:space="0" w:color="auto"/>
        <w:right w:val="none" w:sz="0" w:space="0" w:color="auto"/>
      </w:divBdr>
    </w:div>
    <w:div w:id="1263146291">
      <w:bodyDiv w:val="1"/>
      <w:marLeft w:val="0"/>
      <w:marRight w:val="0"/>
      <w:marTop w:val="0"/>
      <w:marBottom w:val="0"/>
      <w:divBdr>
        <w:top w:val="none" w:sz="0" w:space="0" w:color="auto"/>
        <w:left w:val="none" w:sz="0" w:space="0" w:color="auto"/>
        <w:bottom w:val="none" w:sz="0" w:space="0" w:color="auto"/>
        <w:right w:val="none" w:sz="0" w:space="0" w:color="auto"/>
      </w:divBdr>
    </w:div>
    <w:div w:id="1264460590">
      <w:bodyDiv w:val="1"/>
      <w:marLeft w:val="0"/>
      <w:marRight w:val="0"/>
      <w:marTop w:val="0"/>
      <w:marBottom w:val="0"/>
      <w:divBdr>
        <w:top w:val="none" w:sz="0" w:space="0" w:color="auto"/>
        <w:left w:val="none" w:sz="0" w:space="0" w:color="auto"/>
        <w:bottom w:val="none" w:sz="0" w:space="0" w:color="auto"/>
        <w:right w:val="none" w:sz="0" w:space="0" w:color="auto"/>
      </w:divBdr>
    </w:div>
    <w:div w:id="1267884766">
      <w:bodyDiv w:val="1"/>
      <w:marLeft w:val="0"/>
      <w:marRight w:val="0"/>
      <w:marTop w:val="0"/>
      <w:marBottom w:val="0"/>
      <w:divBdr>
        <w:top w:val="none" w:sz="0" w:space="0" w:color="auto"/>
        <w:left w:val="none" w:sz="0" w:space="0" w:color="auto"/>
        <w:bottom w:val="none" w:sz="0" w:space="0" w:color="auto"/>
        <w:right w:val="none" w:sz="0" w:space="0" w:color="auto"/>
      </w:divBdr>
    </w:div>
    <w:div w:id="1268780743">
      <w:bodyDiv w:val="1"/>
      <w:marLeft w:val="0"/>
      <w:marRight w:val="0"/>
      <w:marTop w:val="0"/>
      <w:marBottom w:val="0"/>
      <w:divBdr>
        <w:top w:val="none" w:sz="0" w:space="0" w:color="auto"/>
        <w:left w:val="none" w:sz="0" w:space="0" w:color="auto"/>
        <w:bottom w:val="none" w:sz="0" w:space="0" w:color="auto"/>
        <w:right w:val="none" w:sz="0" w:space="0" w:color="auto"/>
      </w:divBdr>
    </w:div>
    <w:div w:id="1273705079">
      <w:bodyDiv w:val="1"/>
      <w:marLeft w:val="0"/>
      <w:marRight w:val="0"/>
      <w:marTop w:val="0"/>
      <w:marBottom w:val="0"/>
      <w:divBdr>
        <w:top w:val="none" w:sz="0" w:space="0" w:color="auto"/>
        <w:left w:val="none" w:sz="0" w:space="0" w:color="auto"/>
        <w:bottom w:val="none" w:sz="0" w:space="0" w:color="auto"/>
        <w:right w:val="none" w:sz="0" w:space="0" w:color="auto"/>
      </w:divBdr>
    </w:div>
    <w:div w:id="1273779596">
      <w:bodyDiv w:val="1"/>
      <w:marLeft w:val="0"/>
      <w:marRight w:val="0"/>
      <w:marTop w:val="0"/>
      <w:marBottom w:val="0"/>
      <w:divBdr>
        <w:top w:val="none" w:sz="0" w:space="0" w:color="auto"/>
        <w:left w:val="none" w:sz="0" w:space="0" w:color="auto"/>
        <w:bottom w:val="none" w:sz="0" w:space="0" w:color="auto"/>
        <w:right w:val="none" w:sz="0" w:space="0" w:color="auto"/>
      </w:divBdr>
    </w:div>
    <w:div w:id="1277828933">
      <w:bodyDiv w:val="1"/>
      <w:marLeft w:val="0"/>
      <w:marRight w:val="0"/>
      <w:marTop w:val="0"/>
      <w:marBottom w:val="0"/>
      <w:divBdr>
        <w:top w:val="none" w:sz="0" w:space="0" w:color="auto"/>
        <w:left w:val="none" w:sz="0" w:space="0" w:color="auto"/>
        <w:bottom w:val="none" w:sz="0" w:space="0" w:color="auto"/>
        <w:right w:val="none" w:sz="0" w:space="0" w:color="auto"/>
      </w:divBdr>
    </w:div>
    <w:div w:id="1284654126">
      <w:bodyDiv w:val="1"/>
      <w:marLeft w:val="0"/>
      <w:marRight w:val="0"/>
      <w:marTop w:val="0"/>
      <w:marBottom w:val="0"/>
      <w:divBdr>
        <w:top w:val="none" w:sz="0" w:space="0" w:color="auto"/>
        <w:left w:val="none" w:sz="0" w:space="0" w:color="auto"/>
        <w:bottom w:val="none" w:sz="0" w:space="0" w:color="auto"/>
        <w:right w:val="none" w:sz="0" w:space="0" w:color="auto"/>
      </w:divBdr>
    </w:div>
    <w:div w:id="1285506256">
      <w:bodyDiv w:val="1"/>
      <w:marLeft w:val="0"/>
      <w:marRight w:val="0"/>
      <w:marTop w:val="0"/>
      <w:marBottom w:val="0"/>
      <w:divBdr>
        <w:top w:val="none" w:sz="0" w:space="0" w:color="auto"/>
        <w:left w:val="none" w:sz="0" w:space="0" w:color="auto"/>
        <w:bottom w:val="none" w:sz="0" w:space="0" w:color="auto"/>
        <w:right w:val="none" w:sz="0" w:space="0" w:color="auto"/>
      </w:divBdr>
    </w:div>
    <w:div w:id="1291322858">
      <w:bodyDiv w:val="1"/>
      <w:marLeft w:val="0"/>
      <w:marRight w:val="0"/>
      <w:marTop w:val="0"/>
      <w:marBottom w:val="0"/>
      <w:divBdr>
        <w:top w:val="none" w:sz="0" w:space="0" w:color="auto"/>
        <w:left w:val="none" w:sz="0" w:space="0" w:color="auto"/>
        <w:bottom w:val="none" w:sz="0" w:space="0" w:color="auto"/>
        <w:right w:val="none" w:sz="0" w:space="0" w:color="auto"/>
      </w:divBdr>
    </w:div>
    <w:div w:id="1296371597">
      <w:bodyDiv w:val="1"/>
      <w:marLeft w:val="0"/>
      <w:marRight w:val="0"/>
      <w:marTop w:val="0"/>
      <w:marBottom w:val="0"/>
      <w:divBdr>
        <w:top w:val="none" w:sz="0" w:space="0" w:color="auto"/>
        <w:left w:val="none" w:sz="0" w:space="0" w:color="auto"/>
        <w:bottom w:val="none" w:sz="0" w:space="0" w:color="auto"/>
        <w:right w:val="none" w:sz="0" w:space="0" w:color="auto"/>
      </w:divBdr>
    </w:div>
    <w:div w:id="1301039286">
      <w:bodyDiv w:val="1"/>
      <w:marLeft w:val="0"/>
      <w:marRight w:val="0"/>
      <w:marTop w:val="0"/>
      <w:marBottom w:val="0"/>
      <w:divBdr>
        <w:top w:val="none" w:sz="0" w:space="0" w:color="auto"/>
        <w:left w:val="none" w:sz="0" w:space="0" w:color="auto"/>
        <w:bottom w:val="none" w:sz="0" w:space="0" w:color="auto"/>
        <w:right w:val="none" w:sz="0" w:space="0" w:color="auto"/>
      </w:divBdr>
      <w:divsChild>
        <w:div w:id="1064648317">
          <w:marLeft w:val="0"/>
          <w:marRight w:val="0"/>
          <w:marTop w:val="0"/>
          <w:marBottom w:val="0"/>
          <w:divBdr>
            <w:top w:val="none" w:sz="0" w:space="0" w:color="auto"/>
            <w:left w:val="none" w:sz="0" w:space="0" w:color="auto"/>
            <w:bottom w:val="none" w:sz="0" w:space="0" w:color="auto"/>
            <w:right w:val="none" w:sz="0" w:space="0" w:color="auto"/>
          </w:divBdr>
          <w:divsChild>
            <w:div w:id="1638679111">
              <w:marLeft w:val="0"/>
              <w:marRight w:val="0"/>
              <w:marTop w:val="0"/>
              <w:marBottom w:val="0"/>
              <w:divBdr>
                <w:top w:val="none" w:sz="0" w:space="0" w:color="auto"/>
                <w:left w:val="none" w:sz="0" w:space="0" w:color="auto"/>
                <w:bottom w:val="none" w:sz="0" w:space="0" w:color="auto"/>
                <w:right w:val="none" w:sz="0" w:space="0" w:color="auto"/>
              </w:divBdr>
              <w:divsChild>
                <w:div w:id="670916997">
                  <w:marLeft w:val="0"/>
                  <w:marRight w:val="0"/>
                  <w:marTop w:val="0"/>
                  <w:marBottom w:val="0"/>
                  <w:divBdr>
                    <w:top w:val="none" w:sz="0" w:space="0" w:color="auto"/>
                    <w:left w:val="none" w:sz="0" w:space="0" w:color="auto"/>
                    <w:bottom w:val="none" w:sz="0" w:space="0" w:color="auto"/>
                    <w:right w:val="none" w:sz="0" w:space="0" w:color="auto"/>
                  </w:divBdr>
                  <w:divsChild>
                    <w:div w:id="1556891530">
                      <w:marLeft w:val="0"/>
                      <w:marRight w:val="0"/>
                      <w:marTop w:val="0"/>
                      <w:marBottom w:val="0"/>
                      <w:divBdr>
                        <w:top w:val="none" w:sz="0" w:space="0" w:color="auto"/>
                        <w:left w:val="none" w:sz="0" w:space="0" w:color="auto"/>
                        <w:bottom w:val="none" w:sz="0" w:space="0" w:color="auto"/>
                        <w:right w:val="none" w:sz="0" w:space="0" w:color="auto"/>
                      </w:divBdr>
                      <w:divsChild>
                        <w:div w:id="21438248">
                          <w:marLeft w:val="0"/>
                          <w:marRight w:val="0"/>
                          <w:marTop w:val="0"/>
                          <w:marBottom w:val="0"/>
                          <w:divBdr>
                            <w:top w:val="none" w:sz="0" w:space="0" w:color="auto"/>
                            <w:left w:val="none" w:sz="0" w:space="0" w:color="auto"/>
                            <w:bottom w:val="none" w:sz="0" w:space="0" w:color="auto"/>
                            <w:right w:val="none" w:sz="0" w:space="0" w:color="auto"/>
                          </w:divBdr>
                          <w:divsChild>
                            <w:div w:id="464470935">
                              <w:marLeft w:val="0"/>
                              <w:marRight w:val="0"/>
                              <w:marTop w:val="0"/>
                              <w:marBottom w:val="0"/>
                              <w:divBdr>
                                <w:top w:val="none" w:sz="0" w:space="0" w:color="auto"/>
                                <w:left w:val="none" w:sz="0" w:space="0" w:color="auto"/>
                                <w:bottom w:val="none" w:sz="0" w:space="0" w:color="auto"/>
                                <w:right w:val="none" w:sz="0" w:space="0" w:color="auto"/>
                              </w:divBdr>
                              <w:divsChild>
                                <w:div w:id="913205463">
                                  <w:marLeft w:val="0"/>
                                  <w:marRight w:val="0"/>
                                  <w:marTop w:val="0"/>
                                  <w:marBottom w:val="0"/>
                                  <w:divBdr>
                                    <w:top w:val="none" w:sz="0" w:space="0" w:color="auto"/>
                                    <w:left w:val="none" w:sz="0" w:space="0" w:color="auto"/>
                                    <w:bottom w:val="none" w:sz="0" w:space="0" w:color="auto"/>
                                    <w:right w:val="none" w:sz="0" w:space="0" w:color="auto"/>
                                  </w:divBdr>
                                  <w:divsChild>
                                    <w:div w:id="2891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79078">
      <w:bodyDiv w:val="1"/>
      <w:marLeft w:val="0"/>
      <w:marRight w:val="0"/>
      <w:marTop w:val="0"/>
      <w:marBottom w:val="0"/>
      <w:divBdr>
        <w:top w:val="none" w:sz="0" w:space="0" w:color="auto"/>
        <w:left w:val="none" w:sz="0" w:space="0" w:color="auto"/>
        <w:bottom w:val="none" w:sz="0" w:space="0" w:color="auto"/>
        <w:right w:val="none" w:sz="0" w:space="0" w:color="auto"/>
      </w:divBdr>
    </w:div>
    <w:div w:id="1308365360">
      <w:bodyDiv w:val="1"/>
      <w:marLeft w:val="0"/>
      <w:marRight w:val="0"/>
      <w:marTop w:val="0"/>
      <w:marBottom w:val="0"/>
      <w:divBdr>
        <w:top w:val="none" w:sz="0" w:space="0" w:color="auto"/>
        <w:left w:val="none" w:sz="0" w:space="0" w:color="auto"/>
        <w:bottom w:val="none" w:sz="0" w:space="0" w:color="auto"/>
        <w:right w:val="none" w:sz="0" w:space="0" w:color="auto"/>
      </w:divBdr>
    </w:div>
    <w:div w:id="1316253924">
      <w:bodyDiv w:val="1"/>
      <w:marLeft w:val="0"/>
      <w:marRight w:val="0"/>
      <w:marTop w:val="0"/>
      <w:marBottom w:val="0"/>
      <w:divBdr>
        <w:top w:val="none" w:sz="0" w:space="0" w:color="auto"/>
        <w:left w:val="none" w:sz="0" w:space="0" w:color="auto"/>
        <w:bottom w:val="none" w:sz="0" w:space="0" w:color="auto"/>
        <w:right w:val="none" w:sz="0" w:space="0" w:color="auto"/>
      </w:divBdr>
    </w:div>
    <w:div w:id="1319068081">
      <w:bodyDiv w:val="1"/>
      <w:marLeft w:val="0"/>
      <w:marRight w:val="0"/>
      <w:marTop w:val="0"/>
      <w:marBottom w:val="0"/>
      <w:divBdr>
        <w:top w:val="none" w:sz="0" w:space="0" w:color="auto"/>
        <w:left w:val="none" w:sz="0" w:space="0" w:color="auto"/>
        <w:bottom w:val="none" w:sz="0" w:space="0" w:color="auto"/>
        <w:right w:val="none" w:sz="0" w:space="0" w:color="auto"/>
      </w:divBdr>
    </w:div>
    <w:div w:id="1343584332">
      <w:bodyDiv w:val="1"/>
      <w:marLeft w:val="0"/>
      <w:marRight w:val="0"/>
      <w:marTop w:val="0"/>
      <w:marBottom w:val="0"/>
      <w:divBdr>
        <w:top w:val="none" w:sz="0" w:space="0" w:color="auto"/>
        <w:left w:val="none" w:sz="0" w:space="0" w:color="auto"/>
        <w:bottom w:val="none" w:sz="0" w:space="0" w:color="auto"/>
        <w:right w:val="none" w:sz="0" w:space="0" w:color="auto"/>
      </w:divBdr>
    </w:div>
    <w:div w:id="1352024598">
      <w:bodyDiv w:val="1"/>
      <w:marLeft w:val="0"/>
      <w:marRight w:val="0"/>
      <w:marTop w:val="0"/>
      <w:marBottom w:val="0"/>
      <w:divBdr>
        <w:top w:val="none" w:sz="0" w:space="0" w:color="auto"/>
        <w:left w:val="none" w:sz="0" w:space="0" w:color="auto"/>
        <w:bottom w:val="none" w:sz="0" w:space="0" w:color="auto"/>
        <w:right w:val="none" w:sz="0" w:space="0" w:color="auto"/>
      </w:divBdr>
    </w:div>
    <w:div w:id="1352144785">
      <w:bodyDiv w:val="1"/>
      <w:marLeft w:val="0"/>
      <w:marRight w:val="0"/>
      <w:marTop w:val="0"/>
      <w:marBottom w:val="0"/>
      <w:divBdr>
        <w:top w:val="none" w:sz="0" w:space="0" w:color="auto"/>
        <w:left w:val="none" w:sz="0" w:space="0" w:color="auto"/>
        <w:bottom w:val="none" w:sz="0" w:space="0" w:color="auto"/>
        <w:right w:val="none" w:sz="0" w:space="0" w:color="auto"/>
      </w:divBdr>
      <w:divsChild>
        <w:div w:id="1813059558">
          <w:marLeft w:val="0"/>
          <w:marRight w:val="0"/>
          <w:marTop w:val="0"/>
          <w:marBottom w:val="0"/>
          <w:divBdr>
            <w:top w:val="none" w:sz="0" w:space="0" w:color="auto"/>
            <w:left w:val="none" w:sz="0" w:space="0" w:color="auto"/>
            <w:bottom w:val="none" w:sz="0" w:space="0" w:color="auto"/>
            <w:right w:val="none" w:sz="0" w:space="0" w:color="auto"/>
          </w:divBdr>
          <w:divsChild>
            <w:div w:id="1109541672">
              <w:marLeft w:val="0"/>
              <w:marRight w:val="0"/>
              <w:marTop w:val="0"/>
              <w:marBottom w:val="0"/>
              <w:divBdr>
                <w:top w:val="none" w:sz="0" w:space="0" w:color="auto"/>
                <w:left w:val="none" w:sz="0" w:space="0" w:color="auto"/>
                <w:bottom w:val="none" w:sz="0" w:space="0" w:color="auto"/>
                <w:right w:val="none" w:sz="0" w:space="0" w:color="auto"/>
              </w:divBdr>
              <w:divsChild>
                <w:div w:id="1890264171">
                  <w:marLeft w:val="0"/>
                  <w:marRight w:val="0"/>
                  <w:marTop w:val="0"/>
                  <w:marBottom w:val="0"/>
                  <w:divBdr>
                    <w:top w:val="none" w:sz="0" w:space="0" w:color="auto"/>
                    <w:left w:val="none" w:sz="0" w:space="0" w:color="auto"/>
                    <w:bottom w:val="none" w:sz="0" w:space="0" w:color="auto"/>
                    <w:right w:val="none" w:sz="0" w:space="0" w:color="auto"/>
                  </w:divBdr>
                  <w:divsChild>
                    <w:div w:id="1353648301">
                      <w:marLeft w:val="0"/>
                      <w:marRight w:val="0"/>
                      <w:marTop w:val="0"/>
                      <w:marBottom w:val="0"/>
                      <w:divBdr>
                        <w:top w:val="none" w:sz="0" w:space="0" w:color="auto"/>
                        <w:left w:val="none" w:sz="0" w:space="0" w:color="auto"/>
                        <w:bottom w:val="none" w:sz="0" w:space="0" w:color="auto"/>
                        <w:right w:val="none" w:sz="0" w:space="0" w:color="auto"/>
                      </w:divBdr>
                      <w:divsChild>
                        <w:div w:id="74672748">
                          <w:marLeft w:val="0"/>
                          <w:marRight w:val="0"/>
                          <w:marTop w:val="0"/>
                          <w:marBottom w:val="0"/>
                          <w:divBdr>
                            <w:top w:val="none" w:sz="0" w:space="0" w:color="auto"/>
                            <w:left w:val="none" w:sz="0" w:space="0" w:color="auto"/>
                            <w:bottom w:val="none" w:sz="0" w:space="0" w:color="auto"/>
                            <w:right w:val="none" w:sz="0" w:space="0" w:color="auto"/>
                          </w:divBdr>
                          <w:divsChild>
                            <w:div w:id="829252752">
                              <w:marLeft w:val="0"/>
                              <w:marRight w:val="0"/>
                              <w:marTop w:val="0"/>
                              <w:marBottom w:val="0"/>
                              <w:divBdr>
                                <w:top w:val="none" w:sz="0" w:space="0" w:color="auto"/>
                                <w:left w:val="none" w:sz="0" w:space="0" w:color="auto"/>
                                <w:bottom w:val="none" w:sz="0" w:space="0" w:color="auto"/>
                                <w:right w:val="none" w:sz="0" w:space="0" w:color="auto"/>
                              </w:divBdr>
                              <w:divsChild>
                                <w:div w:id="1425614842">
                                  <w:marLeft w:val="0"/>
                                  <w:marRight w:val="0"/>
                                  <w:marTop w:val="0"/>
                                  <w:marBottom w:val="0"/>
                                  <w:divBdr>
                                    <w:top w:val="none" w:sz="0" w:space="0" w:color="auto"/>
                                    <w:left w:val="none" w:sz="0" w:space="0" w:color="auto"/>
                                    <w:bottom w:val="none" w:sz="0" w:space="0" w:color="auto"/>
                                    <w:right w:val="none" w:sz="0" w:space="0" w:color="auto"/>
                                  </w:divBdr>
                                  <w:divsChild>
                                    <w:div w:id="61363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616562">
      <w:bodyDiv w:val="1"/>
      <w:marLeft w:val="0"/>
      <w:marRight w:val="0"/>
      <w:marTop w:val="0"/>
      <w:marBottom w:val="0"/>
      <w:divBdr>
        <w:top w:val="none" w:sz="0" w:space="0" w:color="auto"/>
        <w:left w:val="none" w:sz="0" w:space="0" w:color="auto"/>
        <w:bottom w:val="none" w:sz="0" w:space="0" w:color="auto"/>
        <w:right w:val="none" w:sz="0" w:space="0" w:color="auto"/>
      </w:divBdr>
    </w:div>
    <w:div w:id="1366251761">
      <w:bodyDiv w:val="1"/>
      <w:marLeft w:val="0"/>
      <w:marRight w:val="0"/>
      <w:marTop w:val="0"/>
      <w:marBottom w:val="0"/>
      <w:divBdr>
        <w:top w:val="none" w:sz="0" w:space="0" w:color="auto"/>
        <w:left w:val="none" w:sz="0" w:space="0" w:color="auto"/>
        <w:bottom w:val="none" w:sz="0" w:space="0" w:color="auto"/>
        <w:right w:val="none" w:sz="0" w:space="0" w:color="auto"/>
      </w:divBdr>
    </w:div>
    <w:div w:id="1397238406">
      <w:bodyDiv w:val="1"/>
      <w:marLeft w:val="0"/>
      <w:marRight w:val="0"/>
      <w:marTop w:val="0"/>
      <w:marBottom w:val="0"/>
      <w:divBdr>
        <w:top w:val="none" w:sz="0" w:space="0" w:color="auto"/>
        <w:left w:val="none" w:sz="0" w:space="0" w:color="auto"/>
        <w:bottom w:val="none" w:sz="0" w:space="0" w:color="auto"/>
        <w:right w:val="none" w:sz="0" w:space="0" w:color="auto"/>
      </w:divBdr>
    </w:div>
    <w:div w:id="1400440797">
      <w:bodyDiv w:val="1"/>
      <w:marLeft w:val="0"/>
      <w:marRight w:val="0"/>
      <w:marTop w:val="0"/>
      <w:marBottom w:val="0"/>
      <w:divBdr>
        <w:top w:val="none" w:sz="0" w:space="0" w:color="auto"/>
        <w:left w:val="none" w:sz="0" w:space="0" w:color="auto"/>
        <w:bottom w:val="none" w:sz="0" w:space="0" w:color="auto"/>
        <w:right w:val="none" w:sz="0" w:space="0" w:color="auto"/>
      </w:divBdr>
    </w:div>
    <w:div w:id="1402093218">
      <w:bodyDiv w:val="1"/>
      <w:marLeft w:val="0"/>
      <w:marRight w:val="0"/>
      <w:marTop w:val="0"/>
      <w:marBottom w:val="0"/>
      <w:divBdr>
        <w:top w:val="none" w:sz="0" w:space="0" w:color="auto"/>
        <w:left w:val="none" w:sz="0" w:space="0" w:color="auto"/>
        <w:bottom w:val="none" w:sz="0" w:space="0" w:color="auto"/>
        <w:right w:val="none" w:sz="0" w:space="0" w:color="auto"/>
      </w:divBdr>
    </w:div>
    <w:div w:id="1423336435">
      <w:bodyDiv w:val="1"/>
      <w:marLeft w:val="0"/>
      <w:marRight w:val="0"/>
      <w:marTop w:val="0"/>
      <w:marBottom w:val="0"/>
      <w:divBdr>
        <w:top w:val="none" w:sz="0" w:space="0" w:color="auto"/>
        <w:left w:val="none" w:sz="0" w:space="0" w:color="auto"/>
        <w:bottom w:val="none" w:sz="0" w:space="0" w:color="auto"/>
        <w:right w:val="none" w:sz="0" w:space="0" w:color="auto"/>
      </w:divBdr>
    </w:div>
    <w:div w:id="1423531645">
      <w:bodyDiv w:val="1"/>
      <w:marLeft w:val="0"/>
      <w:marRight w:val="0"/>
      <w:marTop w:val="0"/>
      <w:marBottom w:val="0"/>
      <w:divBdr>
        <w:top w:val="none" w:sz="0" w:space="0" w:color="auto"/>
        <w:left w:val="none" w:sz="0" w:space="0" w:color="auto"/>
        <w:bottom w:val="none" w:sz="0" w:space="0" w:color="auto"/>
        <w:right w:val="none" w:sz="0" w:space="0" w:color="auto"/>
      </w:divBdr>
    </w:div>
    <w:div w:id="1438217535">
      <w:bodyDiv w:val="1"/>
      <w:marLeft w:val="0"/>
      <w:marRight w:val="0"/>
      <w:marTop w:val="0"/>
      <w:marBottom w:val="0"/>
      <w:divBdr>
        <w:top w:val="none" w:sz="0" w:space="0" w:color="auto"/>
        <w:left w:val="none" w:sz="0" w:space="0" w:color="auto"/>
        <w:bottom w:val="none" w:sz="0" w:space="0" w:color="auto"/>
        <w:right w:val="none" w:sz="0" w:space="0" w:color="auto"/>
      </w:divBdr>
    </w:div>
    <w:div w:id="1453935623">
      <w:bodyDiv w:val="1"/>
      <w:marLeft w:val="0"/>
      <w:marRight w:val="0"/>
      <w:marTop w:val="0"/>
      <w:marBottom w:val="0"/>
      <w:divBdr>
        <w:top w:val="none" w:sz="0" w:space="0" w:color="auto"/>
        <w:left w:val="none" w:sz="0" w:space="0" w:color="auto"/>
        <w:bottom w:val="none" w:sz="0" w:space="0" w:color="auto"/>
        <w:right w:val="none" w:sz="0" w:space="0" w:color="auto"/>
      </w:divBdr>
    </w:div>
    <w:div w:id="1456563554">
      <w:bodyDiv w:val="1"/>
      <w:marLeft w:val="0"/>
      <w:marRight w:val="0"/>
      <w:marTop w:val="0"/>
      <w:marBottom w:val="0"/>
      <w:divBdr>
        <w:top w:val="none" w:sz="0" w:space="0" w:color="auto"/>
        <w:left w:val="none" w:sz="0" w:space="0" w:color="auto"/>
        <w:bottom w:val="none" w:sz="0" w:space="0" w:color="auto"/>
        <w:right w:val="none" w:sz="0" w:space="0" w:color="auto"/>
      </w:divBdr>
    </w:div>
    <w:div w:id="1464545565">
      <w:bodyDiv w:val="1"/>
      <w:marLeft w:val="0"/>
      <w:marRight w:val="0"/>
      <w:marTop w:val="0"/>
      <w:marBottom w:val="0"/>
      <w:divBdr>
        <w:top w:val="none" w:sz="0" w:space="0" w:color="auto"/>
        <w:left w:val="none" w:sz="0" w:space="0" w:color="auto"/>
        <w:bottom w:val="none" w:sz="0" w:space="0" w:color="auto"/>
        <w:right w:val="none" w:sz="0" w:space="0" w:color="auto"/>
      </w:divBdr>
    </w:div>
    <w:div w:id="1465663424">
      <w:bodyDiv w:val="1"/>
      <w:marLeft w:val="0"/>
      <w:marRight w:val="0"/>
      <w:marTop w:val="0"/>
      <w:marBottom w:val="0"/>
      <w:divBdr>
        <w:top w:val="none" w:sz="0" w:space="0" w:color="auto"/>
        <w:left w:val="none" w:sz="0" w:space="0" w:color="auto"/>
        <w:bottom w:val="none" w:sz="0" w:space="0" w:color="auto"/>
        <w:right w:val="none" w:sz="0" w:space="0" w:color="auto"/>
      </w:divBdr>
    </w:div>
    <w:div w:id="1466240162">
      <w:bodyDiv w:val="1"/>
      <w:marLeft w:val="0"/>
      <w:marRight w:val="0"/>
      <w:marTop w:val="0"/>
      <w:marBottom w:val="0"/>
      <w:divBdr>
        <w:top w:val="none" w:sz="0" w:space="0" w:color="auto"/>
        <w:left w:val="none" w:sz="0" w:space="0" w:color="auto"/>
        <w:bottom w:val="none" w:sz="0" w:space="0" w:color="auto"/>
        <w:right w:val="none" w:sz="0" w:space="0" w:color="auto"/>
      </w:divBdr>
    </w:div>
    <w:div w:id="1471359134">
      <w:bodyDiv w:val="1"/>
      <w:marLeft w:val="0"/>
      <w:marRight w:val="0"/>
      <w:marTop w:val="0"/>
      <w:marBottom w:val="0"/>
      <w:divBdr>
        <w:top w:val="none" w:sz="0" w:space="0" w:color="auto"/>
        <w:left w:val="none" w:sz="0" w:space="0" w:color="auto"/>
        <w:bottom w:val="none" w:sz="0" w:space="0" w:color="auto"/>
        <w:right w:val="none" w:sz="0" w:space="0" w:color="auto"/>
      </w:divBdr>
    </w:div>
    <w:div w:id="1479877694">
      <w:bodyDiv w:val="1"/>
      <w:marLeft w:val="0"/>
      <w:marRight w:val="0"/>
      <w:marTop w:val="0"/>
      <w:marBottom w:val="0"/>
      <w:divBdr>
        <w:top w:val="none" w:sz="0" w:space="0" w:color="auto"/>
        <w:left w:val="none" w:sz="0" w:space="0" w:color="auto"/>
        <w:bottom w:val="none" w:sz="0" w:space="0" w:color="auto"/>
        <w:right w:val="none" w:sz="0" w:space="0" w:color="auto"/>
      </w:divBdr>
    </w:div>
    <w:div w:id="1489321705">
      <w:bodyDiv w:val="1"/>
      <w:marLeft w:val="0"/>
      <w:marRight w:val="0"/>
      <w:marTop w:val="0"/>
      <w:marBottom w:val="0"/>
      <w:divBdr>
        <w:top w:val="none" w:sz="0" w:space="0" w:color="auto"/>
        <w:left w:val="none" w:sz="0" w:space="0" w:color="auto"/>
        <w:bottom w:val="none" w:sz="0" w:space="0" w:color="auto"/>
        <w:right w:val="none" w:sz="0" w:space="0" w:color="auto"/>
      </w:divBdr>
    </w:div>
    <w:div w:id="1523277109">
      <w:bodyDiv w:val="1"/>
      <w:marLeft w:val="0"/>
      <w:marRight w:val="0"/>
      <w:marTop w:val="0"/>
      <w:marBottom w:val="0"/>
      <w:divBdr>
        <w:top w:val="none" w:sz="0" w:space="0" w:color="auto"/>
        <w:left w:val="none" w:sz="0" w:space="0" w:color="auto"/>
        <w:bottom w:val="none" w:sz="0" w:space="0" w:color="auto"/>
        <w:right w:val="none" w:sz="0" w:space="0" w:color="auto"/>
      </w:divBdr>
    </w:div>
    <w:div w:id="1529686077">
      <w:bodyDiv w:val="1"/>
      <w:marLeft w:val="0"/>
      <w:marRight w:val="0"/>
      <w:marTop w:val="0"/>
      <w:marBottom w:val="0"/>
      <w:divBdr>
        <w:top w:val="none" w:sz="0" w:space="0" w:color="auto"/>
        <w:left w:val="none" w:sz="0" w:space="0" w:color="auto"/>
        <w:bottom w:val="none" w:sz="0" w:space="0" w:color="auto"/>
        <w:right w:val="none" w:sz="0" w:space="0" w:color="auto"/>
      </w:divBdr>
    </w:div>
    <w:div w:id="1538853598">
      <w:bodyDiv w:val="1"/>
      <w:marLeft w:val="0"/>
      <w:marRight w:val="0"/>
      <w:marTop w:val="0"/>
      <w:marBottom w:val="0"/>
      <w:divBdr>
        <w:top w:val="none" w:sz="0" w:space="0" w:color="auto"/>
        <w:left w:val="none" w:sz="0" w:space="0" w:color="auto"/>
        <w:bottom w:val="none" w:sz="0" w:space="0" w:color="auto"/>
        <w:right w:val="none" w:sz="0" w:space="0" w:color="auto"/>
      </w:divBdr>
    </w:div>
    <w:div w:id="1542286295">
      <w:bodyDiv w:val="1"/>
      <w:marLeft w:val="0"/>
      <w:marRight w:val="0"/>
      <w:marTop w:val="0"/>
      <w:marBottom w:val="0"/>
      <w:divBdr>
        <w:top w:val="none" w:sz="0" w:space="0" w:color="auto"/>
        <w:left w:val="none" w:sz="0" w:space="0" w:color="auto"/>
        <w:bottom w:val="none" w:sz="0" w:space="0" w:color="auto"/>
        <w:right w:val="none" w:sz="0" w:space="0" w:color="auto"/>
      </w:divBdr>
    </w:div>
    <w:div w:id="1546716440">
      <w:bodyDiv w:val="1"/>
      <w:marLeft w:val="0"/>
      <w:marRight w:val="0"/>
      <w:marTop w:val="0"/>
      <w:marBottom w:val="0"/>
      <w:divBdr>
        <w:top w:val="none" w:sz="0" w:space="0" w:color="auto"/>
        <w:left w:val="none" w:sz="0" w:space="0" w:color="auto"/>
        <w:bottom w:val="none" w:sz="0" w:space="0" w:color="auto"/>
        <w:right w:val="none" w:sz="0" w:space="0" w:color="auto"/>
      </w:divBdr>
    </w:div>
    <w:div w:id="1552423549">
      <w:bodyDiv w:val="1"/>
      <w:marLeft w:val="0"/>
      <w:marRight w:val="0"/>
      <w:marTop w:val="0"/>
      <w:marBottom w:val="0"/>
      <w:divBdr>
        <w:top w:val="none" w:sz="0" w:space="0" w:color="auto"/>
        <w:left w:val="none" w:sz="0" w:space="0" w:color="auto"/>
        <w:bottom w:val="none" w:sz="0" w:space="0" w:color="auto"/>
        <w:right w:val="none" w:sz="0" w:space="0" w:color="auto"/>
      </w:divBdr>
      <w:divsChild>
        <w:div w:id="1561288926">
          <w:marLeft w:val="0"/>
          <w:marRight w:val="0"/>
          <w:marTop w:val="0"/>
          <w:marBottom w:val="0"/>
          <w:divBdr>
            <w:top w:val="none" w:sz="0" w:space="0" w:color="auto"/>
            <w:left w:val="none" w:sz="0" w:space="0" w:color="auto"/>
            <w:bottom w:val="none" w:sz="0" w:space="0" w:color="auto"/>
            <w:right w:val="none" w:sz="0" w:space="0" w:color="auto"/>
          </w:divBdr>
          <w:divsChild>
            <w:div w:id="1381319917">
              <w:marLeft w:val="0"/>
              <w:marRight w:val="0"/>
              <w:marTop w:val="0"/>
              <w:marBottom w:val="0"/>
              <w:divBdr>
                <w:top w:val="none" w:sz="0" w:space="0" w:color="auto"/>
                <w:left w:val="none" w:sz="0" w:space="0" w:color="auto"/>
                <w:bottom w:val="none" w:sz="0" w:space="0" w:color="auto"/>
                <w:right w:val="none" w:sz="0" w:space="0" w:color="auto"/>
              </w:divBdr>
              <w:divsChild>
                <w:div w:id="1680353542">
                  <w:marLeft w:val="0"/>
                  <w:marRight w:val="0"/>
                  <w:marTop w:val="0"/>
                  <w:marBottom w:val="0"/>
                  <w:divBdr>
                    <w:top w:val="none" w:sz="0" w:space="0" w:color="auto"/>
                    <w:left w:val="none" w:sz="0" w:space="0" w:color="auto"/>
                    <w:bottom w:val="none" w:sz="0" w:space="0" w:color="auto"/>
                    <w:right w:val="none" w:sz="0" w:space="0" w:color="auto"/>
                  </w:divBdr>
                  <w:divsChild>
                    <w:div w:id="381562062">
                      <w:marLeft w:val="0"/>
                      <w:marRight w:val="0"/>
                      <w:marTop w:val="0"/>
                      <w:marBottom w:val="0"/>
                      <w:divBdr>
                        <w:top w:val="none" w:sz="0" w:space="0" w:color="auto"/>
                        <w:left w:val="none" w:sz="0" w:space="0" w:color="auto"/>
                        <w:bottom w:val="none" w:sz="0" w:space="0" w:color="auto"/>
                        <w:right w:val="none" w:sz="0" w:space="0" w:color="auto"/>
                      </w:divBdr>
                      <w:divsChild>
                        <w:div w:id="1642735382">
                          <w:marLeft w:val="0"/>
                          <w:marRight w:val="0"/>
                          <w:marTop w:val="0"/>
                          <w:marBottom w:val="0"/>
                          <w:divBdr>
                            <w:top w:val="none" w:sz="0" w:space="0" w:color="auto"/>
                            <w:left w:val="none" w:sz="0" w:space="0" w:color="auto"/>
                            <w:bottom w:val="none" w:sz="0" w:space="0" w:color="auto"/>
                            <w:right w:val="none" w:sz="0" w:space="0" w:color="auto"/>
                          </w:divBdr>
                          <w:divsChild>
                            <w:div w:id="43348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535570">
      <w:bodyDiv w:val="1"/>
      <w:marLeft w:val="0"/>
      <w:marRight w:val="0"/>
      <w:marTop w:val="0"/>
      <w:marBottom w:val="0"/>
      <w:divBdr>
        <w:top w:val="none" w:sz="0" w:space="0" w:color="auto"/>
        <w:left w:val="none" w:sz="0" w:space="0" w:color="auto"/>
        <w:bottom w:val="none" w:sz="0" w:space="0" w:color="auto"/>
        <w:right w:val="none" w:sz="0" w:space="0" w:color="auto"/>
      </w:divBdr>
    </w:div>
    <w:div w:id="1563637940">
      <w:bodyDiv w:val="1"/>
      <w:marLeft w:val="0"/>
      <w:marRight w:val="0"/>
      <w:marTop w:val="0"/>
      <w:marBottom w:val="0"/>
      <w:divBdr>
        <w:top w:val="none" w:sz="0" w:space="0" w:color="auto"/>
        <w:left w:val="none" w:sz="0" w:space="0" w:color="auto"/>
        <w:bottom w:val="none" w:sz="0" w:space="0" w:color="auto"/>
        <w:right w:val="none" w:sz="0" w:space="0" w:color="auto"/>
      </w:divBdr>
    </w:div>
    <w:div w:id="1565751212">
      <w:bodyDiv w:val="1"/>
      <w:marLeft w:val="0"/>
      <w:marRight w:val="0"/>
      <w:marTop w:val="0"/>
      <w:marBottom w:val="0"/>
      <w:divBdr>
        <w:top w:val="none" w:sz="0" w:space="0" w:color="auto"/>
        <w:left w:val="none" w:sz="0" w:space="0" w:color="auto"/>
        <w:bottom w:val="none" w:sz="0" w:space="0" w:color="auto"/>
        <w:right w:val="none" w:sz="0" w:space="0" w:color="auto"/>
      </w:divBdr>
    </w:div>
    <w:div w:id="1595671986">
      <w:bodyDiv w:val="1"/>
      <w:marLeft w:val="0"/>
      <w:marRight w:val="0"/>
      <w:marTop w:val="0"/>
      <w:marBottom w:val="0"/>
      <w:divBdr>
        <w:top w:val="none" w:sz="0" w:space="0" w:color="auto"/>
        <w:left w:val="none" w:sz="0" w:space="0" w:color="auto"/>
        <w:bottom w:val="none" w:sz="0" w:space="0" w:color="auto"/>
        <w:right w:val="none" w:sz="0" w:space="0" w:color="auto"/>
      </w:divBdr>
    </w:div>
    <w:div w:id="1597326931">
      <w:bodyDiv w:val="1"/>
      <w:marLeft w:val="0"/>
      <w:marRight w:val="0"/>
      <w:marTop w:val="0"/>
      <w:marBottom w:val="0"/>
      <w:divBdr>
        <w:top w:val="none" w:sz="0" w:space="0" w:color="auto"/>
        <w:left w:val="none" w:sz="0" w:space="0" w:color="auto"/>
        <w:bottom w:val="none" w:sz="0" w:space="0" w:color="auto"/>
        <w:right w:val="none" w:sz="0" w:space="0" w:color="auto"/>
      </w:divBdr>
    </w:div>
    <w:div w:id="1605188490">
      <w:bodyDiv w:val="1"/>
      <w:marLeft w:val="0"/>
      <w:marRight w:val="0"/>
      <w:marTop w:val="0"/>
      <w:marBottom w:val="0"/>
      <w:divBdr>
        <w:top w:val="none" w:sz="0" w:space="0" w:color="auto"/>
        <w:left w:val="none" w:sz="0" w:space="0" w:color="auto"/>
        <w:bottom w:val="none" w:sz="0" w:space="0" w:color="auto"/>
        <w:right w:val="none" w:sz="0" w:space="0" w:color="auto"/>
      </w:divBdr>
      <w:divsChild>
        <w:div w:id="1434789413">
          <w:marLeft w:val="0"/>
          <w:marRight w:val="0"/>
          <w:marTop w:val="0"/>
          <w:marBottom w:val="0"/>
          <w:divBdr>
            <w:top w:val="none" w:sz="0" w:space="0" w:color="auto"/>
            <w:left w:val="none" w:sz="0" w:space="0" w:color="auto"/>
            <w:bottom w:val="none" w:sz="0" w:space="0" w:color="auto"/>
            <w:right w:val="none" w:sz="0" w:space="0" w:color="auto"/>
          </w:divBdr>
          <w:divsChild>
            <w:div w:id="1322780411">
              <w:marLeft w:val="0"/>
              <w:marRight w:val="0"/>
              <w:marTop w:val="0"/>
              <w:marBottom w:val="0"/>
              <w:divBdr>
                <w:top w:val="none" w:sz="0" w:space="0" w:color="auto"/>
                <w:left w:val="none" w:sz="0" w:space="0" w:color="auto"/>
                <w:bottom w:val="none" w:sz="0" w:space="0" w:color="auto"/>
                <w:right w:val="none" w:sz="0" w:space="0" w:color="auto"/>
              </w:divBdr>
            </w:div>
          </w:divsChild>
        </w:div>
        <w:div w:id="1958028272">
          <w:marLeft w:val="600"/>
          <w:marRight w:val="0"/>
          <w:marTop w:val="0"/>
          <w:marBottom w:val="0"/>
          <w:divBdr>
            <w:top w:val="none" w:sz="0" w:space="0" w:color="auto"/>
            <w:left w:val="none" w:sz="0" w:space="0" w:color="auto"/>
            <w:bottom w:val="none" w:sz="0" w:space="0" w:color="auto"/>
            <w:right w:val="none" w:sz="0" w:space="0" w:color="auto"/>
          </w:divBdr>
          <w:divsChild>
            <w:div w:id="27336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18615">
      <w:bodyDiv w:val="1"/>
      <w:marLeft w:val="0"/>
      <w:marRight w:val="0"/>
      <w:marTop w:val="0"/>
      <w:marBottom w:val="0"/>
      <w:divBdr>
        <w:top w:val="none" w:sz="0" w:space="0" w:color="auto"/>
        <w:left w:val="none" w:sz="0" w:space="0" w:color="auto"/>
        <w:bottom w:val="none" w:sz="0" w:space="0" w:color="auto"/>
        <w:right w:val="none" w:sz="0" w:space="0" w:color="auto"/>
      </w:divBdr>
    </w:div>
    <w:div w:id="1618951679">
      <w:bodyDiv w:val="1"/>
      <w:marLeft w:val="0"/>
      <w:marRight w:val="0"/>
      <w:marTop w:val="0"/>
      <w:marBottom w:val="0"/>
      <w:divBdr>
        <w:top w:val="none" w:sz="0" w:space="0" w:color="auto"/>
        <w:left w:val="none" w:sz="0" w:space="0" w:color="auto"/>
        <w:bottom w:val="none" w:sz="0" w:space="0" w:color="auto"/>
        <w:right w:val="none" w:sz="0" w:space="0" w:color="auto"/>
      </w:divBdr>
    </w:div>
    <w:div w:id="1627656525">
      <w:bodyDiv w:val="1"/>
      <w:marLeft w:val="0"/>
      <w:marRight w:val="0"/>
      <w:marTop w:val="0"/>
      <w:marBottom w:val="0"/>
      <w:divBdr>
        <w:top w:val="none" w:sz="0" w:space="0" w:color="auto"/>
        <w:left w:val="none" w:sz="0" w:space="0" w:color="auto"/>
        <w:bottom w:val="none" w:sz="0" w:space="0" w:color="auto"/>
        <w:right w:val="none" w:sz="0" w:space="0" w:color="auto"/>
      </w:divBdr>
    </w:div>
    <w:div w:id="1644850107">
      <w:bodyDiv w:val="1"/>
      <w:marLeft w:val="0"/>
      <w:marRight w:val="0"/>
      <w:marTop w:val="0"/>
      <w:marBottom w:val="0"/>
      <w:divBdr>
        <w:top w:val="none" w:sz="0" w:space="0" w:color="auto"/>
        <w:left w:val="none" w:sz="0" w:space="0" w:color="auto"/>
        <w:bottom w:val="none" w:sz="0" w:space="0" w:color="auto"/>
        <w:right w:val="none" w:sz="0" w:space="0" w:color="auto"/>
      </w:divBdr>
    </w:div>
    <w:div w:id="1661738484">
      <w:bodyDiv w:val="1"/>
      <w:marLeft w:val="0"/>
      <w:marRight w:val="0"/>
      <w:marTop w:val="0"/>
      <w:marBottom w:val="0"/>
      <w:divBdr>
        <w:top w:val="none" w:sz="0" w:space="0" w:color="auto"/>
        <w:left w:val="none" w:sz="0" w:space="0" w:color="auto"/>
        <w:bottom w:val="none" w:sz="0" w:space="0" w:color="auto"/>
        <w:right w:val="none" w:sz="0" w:space="0" w:color="auto"/>
      </w:divBdr>
    </w:div>
    <w:div w:id="1682202503">
      <w:bodyDiv w:val="1"/>
      <w:marLeft w:val="0"/>
      <w:marRight w:val="0"/>
      <w:marTop w:val="0"/>
      <w:marBottom w:val="0"/>
      <w:divBdr>
        <w:top w:val="none" w:sz="0" w:space="0" w:color="auto"/>
        <w:left w:val="none" w:sz="0" w:space="0" w:color="auto"/>
        <w:bottom w:val="none" w:sz="0" w:space="0" w:color="auto"/>
        <w:right w:val="none" w:sz="0" w:space="0" w:color="auto"/>
      </w:divBdr>
    </w:div>
    <w:div w:id="1688172712">
      <w:bodyDiv w:val="1"/>
      <w:marLeft w:val="0"/>
      <w:marRight w:val="0"/>
      <w:marTop w:val="0"/>
      <w:marBottom w:val="0"/>
      <w:divBdr>
        <w:top w:val="none" w:sz="0" w:space="0" w:color="auto"/>
        <w:left w:val="none" w:sz="0" w:space="0" w:color="auto"/>
        <w:bottom w:val="none" w:sz="0" w:space="0" w:color="auto"/>
        <w:right w:val="none" w:sz="0" w:space="0" w:color="auto"/>
      </w:divBdr>
    </w:div>
    <w:div w:id="1688486381">
      <w:bodyDiv w:val="1"/>
      <w:marLeft w:val="0"/>
      <w:marRight w:val="0"/>
      <w:marTop w:val="0"/>
      <w:marBottom w:val="0"/>
      <w:divBdr>
        <w:top w:val="none" w:sz="0" w:space="0" w:color="auto"/>
        <w:left w:val="none" w:sz="0" w:space="0" w:color="auto"/>
        <w:bottom w:val="none" w:sz="0" w:space="0" w:color="auto"/>
        <w:right w:val="none" w:sz="0" w:space="0" w:color="auto"/>
      </w:divBdr>
    </w:div>
    <w:div w:id="1688676423">
      <w:bodyDiv w:val="1"/>
      <w:marLeft w:val="0"/>
      <w:marRight w:val="0"/>
      <w:marTop w:val="0"/>
      <w:marBottom w:val="0"/>
      <w:divBdr>
        <w:top w:val="none" w:sz="0" w:space="0" w:color="auto"/>
        <w:left w:val="none" w:sz="0" w:space="0" w:color="auto"/>
        <w:bottom w:val="none" w:sz="0" w:space="0" w:color="auto"/>
        <w:right w:val="none" w:sz="0" w:space="0" w:color="auto"/>
      </w:divBdr>
    </w:div>
    <w:div w:id="1689600835">
      <w:bodyDiv w:val="1"/>
      <w:marLeft w:val="0"/>
      <w:marRight w:val="0"/>
      <w:marTop w:val="0"/>
      <w:marBottom w:val="0"/>
      <w:divBdr>
        <w:top w:val="none" w:sz="0" w:space="0" w:color="auto"/>
        <w:left w:val="none" w:sz="0" w:space="0" w:color="auto"/>
        <w:bottom w:val="none" w:sz="0" w:space="0" w:color="auto"/>
        <w:right w:val="none" w:sz="0" w:space="0" w:color="auto"/>
      </w:divBdr>
    </w:div>
    <w:div w:id="1691757243">
      <w:bodyDiv w:val="1"/>
      <w:marLeft w:val="0"/>
      <w:marRight w:val="0"/>
      <w:marTop w:val="0"/>
      <w:marBottom w:val="0"/>
      <w:divBdr>
        <w:top w:val="none" w:sz="0" w:space="0" w:color="auto"/>
        <w:left w:val="none" w:sz="0" w:space="0" w:color="auto"/>
        <w:bottom w:val="none" w:sz="0" w:space="0" w:color="auto"/>
        <w:right w:val="none" w:sz="0" w:space="0" w:color="auto"/>
      </w:divBdr>
    </w:div>
    <w:div w:id="1692142720">
      <w:bodyDiv w:val="1"/>
      <w:marLeft w:val="0"/>
      <w:marRight w:val="0"/>
      <w:marTop w:val="0"/>
      <w:marBottom w:val="0"/>
      <w:divBdr>
        <w:top w:val="none" w:sz="0" w:space="0" w:color="auto"/>
        <w:left w:val="none" w:sz="0" w:space="0" w:color="auto"/>
        <w:bottom w:val="none" w:sz="0" w:space="0" w:color="auto"/>
        <w:right w:val="none" w:sz="0" w:space="0" w:color="auto"/>
      </w:divBdr>
    </w:div>
    <w:div w:id="1695379007">
      <w:bodyDiv w:val="1"/>
      <w:marLeft w:val="0"/>
      <w:marRight w:val="0"/>
      <w:marTop w:val="0"/>
      <w:marBottom w:val="0"/>
      <w:divBdr>
        <w:top w:val="none" w:sz="0" w:space="0" w:color="auto"/>
        <w:left w:val="none" w:sz="0" w:space="0" w:color="auto"/>
        <w:bottom w:val="none" w:sz="0" w:space="0" w:color="auto"/>
        <w:right w:val="none" w:sz="0" w:space="0" w:color="auto"/>
      </w:divBdr>
    </w:div>
    <w:div w:id="1703821663">
      <w:bodyDiv w:val="1"/>
      <w:marLeft w:val="0"/>
      <w:marRight w:val="0"/>
      <w:marTop w:val="0"/>
      <w:marBottom w:val="0"/>
      <w:divBdr>
        <w:top w:val="none" w:sz="0" w:space="0" w:color="auto"/>
        <w:left w:val="none" w:sz="0" w:space="0" w:color="auto"/>
        <w:bottom w:val="none" w:sz="0" w:space="0" w:color="auto"/>
        <w:right w:val="none" w:sz="0" w:space="0" w:color="auto"/>
      </w:divBdr>
    </w:div>
    <w:div w:id="1709724505">
      <w:bodyDiv w:val="1"/>
      <w:marLeft w:val="0"/>
      <w:marRight w:val="0"/>
      <w:marTop w:val="0"/>
      <w:marBottom w:val="0"/>
      <w:divBdr>
        <w:top w:val="none" w:sz="0" w:space="0" w:color="auto"/>
        <w:left w:val="none" w:sz="0" w:space="0" w:color="auto"/>
        <w:bottom w:val="none" w:sz="0" w:space="0" w:color="auto"/>
        <w:right w:val="none" w:sz="0" w:space="0" w:color="auto"/>
      </w:divBdr>
    </w:div>
    <w:div w:id="1710110390">
      <w:bodyDiv w:val="1"/>
      <w:marLeft w:val="0"/>
      <w:marRight w:val="0"/>
      <w:marTop w:val="0"/>
      <w:marBottom w:val="0"/>
      <w:divBdr>
        <w:top w:val="none" w:sz="0" w:space="0" w:color="auto"/>
        <w:left w:val="none" w:sz="0" w:space="0" w:color="auto"/>
        <w:bottom w:val="none" w:sz="0" w:space="0" w:color="auto"/>
        <w:right w:val="none" w:sz="0" w:space="0" w:color="auto"/>
      </w:divBdr>
    </w:div>
    <w:div w:id="1716856245">
      <w:bodyDiv w:val="1"/>
      <w:marLeft w:val="0"/>
      <w:marRight w:val="0"/>
      <w:marTop w:val="0"/>
      <w:marBottom w:val="0"/>
      <w:divBdr>
        <w:top w:val="none" w:sz="0" w:space="0" w:color="auto"/>
        <w:left w:val="none" w:sz="0" w:space="0" w:color="auto"/>
        <w:bottom w:val="none" w:sz="0" w:space="0" w:color="auto"/>
        <w:right w:val="none" w:sz="0" w:space="0" w:color="auto"/>
      </w:divBdr>
    </w:div>
    <w:div w:id="1717006209">
      <w:bodyDiv w:val="1"/>
      <w:marLeft w:val="0"/>
      <w:marRight w:val="0"/>
      <w:marTop w:val="0"/>
      <w:marBottom w:val="0"/>
      <w:divBdr>
        <w:top w:val="none" w:sz="0" w:space="0" w:color="auto"/>
        <w:left w:val="none" w:sz="0" w:space="0" w:color="auto"/>
        <w:bottom w:val="none" w:sz="0" w:space="0" w:color="auto"/>
        <w:right w:val="none" w:sz="0" w:space="0" w:color="auto"/>
      </w:divBdr>
    </w:div>
    <w:div w:id="1717117157">
      <w:bodyDiv w:val="1"/>
      <w:marLeft w:val="0"/>
      <w:marRight w:val="0"/>
      <w:marTop w:val="0"/>
      <w:marBottom w:val="0"/>
      <w:divBdr>
        <w:top w:val="none" w:sz="0" w:space="0" w:color="auto"/>
        <w:left w:val="none" w:sz="0" w:space="0" w:color="auto"/>
        <w:bottom w:val="none" w:sz="0" w:space="0" w:color="auto"/>
        <w:right w:val="none" w:sz="0" w:space="0" w:color="auto"/>
      </w:divBdr>
    </w:div>
    <w:div w:id="1720010042">
      <w:bodyDiv w:val="1"/>
      <w:marLeft w:val="0"/>
      <w:marRight w:val="0"/>
      <w:marTop w:val="0"/>
      <w:marBottom w:val="0"/>
      <w:divBdr>
        <w:top w:val="none" w:sz="0" w:space="0" w:color="auto"/>
        <w:left w:val="none" w:sz="0" w:space="0" w:color="auto"/>
        <w:bottom w:val="none" w:sz="0" w:space="0" w:color="auto"/>
        <w:right w:val="none" w:sz="0" w:space="0" w:color="auto"/>
      </w:divBdr>
    </w:div>
    <w:div w:id="1732997286">
      <w:bodyDiv w:val="1"/>
      <w:marLeft w:val="0"/>
      <w:marRight w:val="0"/>
      <w:marTop w:val="0"/>
      <w:marBottom w:val="0"/>
      <w:divBdr>
        <w:top w:val="none" w:sz="0" w:space="0" w:color="auto"/>
        <w:left w:val="none" w:sz="0" w:space="0" w:color="auto"/>
        <w:bottom w:val="none" w:sz="0" w:space="0" w:color="auto"/>
        <w:right w:val="none" w:sz="0" w:space="0" w:color="auto"/>
      </w:divBdr>
    </w:div>
    <w:div w:id="1740863507">
      <w:bodyDiv w:val="1"/>
      <w:marLeft w:val="0"/>
      <w:marRight w:val="0"/>
      <w:marTop w:val="0"/>
      <w:marBottom w:val="0"/>
      <w:divBdr>
        <w:top w:val="none" w:sz="0" w:space="0" w:color="auto"/>
        <w:left w:val="none" w:sz="0" w:space="0" w:color="auto"/>
        <w:bottom w:val="none" w:sz="0" w:space="0" w:color="auto"/>
        <w:right w:val="none" w:sz="0" w:space="0" w:color="auto"/>
      </w:divBdr>
    </w:div>
    <w:div w:id="1746760520">
      <w:bodyDiv w:val="1"/>
      <w:marLeft w:val="0"/>
      <w:marRight w:val="0"/>
      <w:marTop w:val="0"/>
      <w:marBottom w:val="0"/>
      <w:divBdr>
        <w:top w:val="none" w:sz="0" w:space="0" w:color="auto"/>
        <w:left w:val="none" w:sz="0" w:space="0" w:color="auto"/>
        <w:bottom w:val="none" w:sz="0" w:space="0" w:color="auto"/>
        <w:right w:val="none" w:sz="0" w:space="0" w:color="auto"/>
      </w:divBdr>
    </w:div>
    <w:div w:id="1747651510">
      <w:bodyDiv w:val="1"/>
      <w:marLeft w:val="0"/>
      <w:marRight w:val="0"/>
      <w:marTop w:val="0"/>
      <w:marBottom w:val="0"/>
      <w:divBdr>
        <w:top w:val="none" w:sz="0" w:space="0" w:color="auto"/>
        <w:left w:val="none" w:sz="0" w:space="0" w:color="auto"/>
        <w:bottom w:val="none" w:sz="0" w:space="0" w:color="auto"/>
        <w:right w:val="none" w:sz="0" w:space="0" w:color="auto"/>
      </w:divBdr>
    </w:div>
    <w:div w:id="1749183909">
      <w:bodyDiv w:val="1"/>
      <w:marLeft w:val="0"/>
      <w:marRight w:val="0"/>
      <w:marTop w:val="0"/>
      <w:marBottom w:val="0"/>
      <w:divBdr>
        <w:top w:val="none" w:sz="0" w:space="0" w:color="auto"/>
        <w:left w:val="none" w:sz="0" w:space="0" w:color="auto"/>
        <w:bottom w:val="none" w:sz="0" w:space="0" w:color="auto"/>
        <w:right w:val="none" w:sz="0" w:space="0" w:color="auto"/>
      </w:divBdr>
    </w:div>
    <w:div w:id="1759209108">
      <w:bodyDiv w:val="1"/>
      <w:marLeft w:val="0"/>
      <w:marRight w:val="0"/>
      <w:marTop w:val="0"/>
      <w:marBottom w:val="0"/>
      <w:divBdr>
        <w:top w:val="none" w:sz="0" w:space="0" w:color="auto"/>
        <w:left w:val="none" w:sz="0" w:space="0" w:color="auto"/>
        <w:bottom w:val="none" w:sz="0" w:space="0" w:color="auto"/>
        <w:right w:val="none" w:sz="0" w:space="0" w:color="auto"/>
      </w:divBdr>
    </w:div>
    <w:div w:id="1763603668">
      <w:bodyDiv w:val="1"/>
      <w:marLeft w:val="0"/>
      <w:marRight w:val="0"/>
      <w:marTop w:val="0"/>
      <w:marBottom w:val="0"/>
      <w:divBdr>
        <w:top w:val="none" w:sz="0" w:space="0" w:color="auto"/>
        <w:left w:val="none" w:sz="0" w:space="0" w:color="auto"/>
        <w:bottom w:val="none" w:sz="0" w:space="0" w:color="auto"/>
        <w:right w:val="none" w:sz="0" w:space="0" w:color="auto"/>
      </w:divBdr>
      <w:divsChild>
        <w:div w:id="1756512747">
          <w:marLeft w:val="0"/>
          <w:marRight w:val="0"/>
          <w:marTop w:val="0"/>
          <w:marBottom w:val="0"/>
          <w:divBdr>
            <w:top w:val="none" w:sz="0" w:space="0" w:color="auto"/>
            <w:left w:val="none" w:sz="0" w:space="0" w:color="auto"/>
            <w:bottom w:val="none" w:sz="0" w:space="0" w:color="auto"/>
            <w:right w:val="none" w:sz="0" w:space="0" w:color="auto"/>
          </w:divBdr>
          <w:divsChild>
            <w:div w:id="491802686">
              <w:marLeft w:val="0"/>
              <w:marRight w:val="0"/>
              <w:marTop w:val="0"/>
              <w:marBottom w:val="0"/>
              <w:divBdr>
                <w:top w:val="none" w:sz="0" w:space="0" w:color="auto"/>
                <w:left w:val="none" w:sz="0" w:space="0" w:color="auto"/>
                <w:bottom w:val="none" w:sz="0" w:space="0" w:color="auto"/>
                <w:right w:val="none" w:sz="0" w:space="0" w:color="auto"/>
              </w:divBdr>
              <w:divsChild>
                <w:div w:id="1241065435">
                  <w:marLeft w:val="0"/>
                  <w:marRight w:val="0"/>
                  <w:marTop w:val="0"/>
                  <w:marBottom w:val="0"/>
                  <w:divBdr>
                    <w:top w:val="none" w:sz="0" w:space="0" w:color="auto"/>
                    <w:left w:val="none" w:sz="0" w:space="0" w:color="auto"/>
                    <w:bottom w:val="none" w:sz="0" w:space="0" w:color="auto"/>
                    <w:right w:val="none" w:sz="0" w:space="0" w:color="auto"/>
                  </w:divBdr>
                  <w:divsChild>
                    <w:div w:id="72515284">
                      <w:marLeft w:val="0"/>
                      <w:marRight w:val="0"/>
                      <w:marTop w:val="0"/>
                      <w:marBottom w:val="0"/>
                      <w:divBdr>
                        <w:top w:val="none" w:sz="0" w:space="0" w:color="auto"/>
                        <w:left w:val="none" w:sz="0" w:space="0" w:color="auto"/>
                        <w:bottom w:val="none" w:sz="0" w:space="0" w:color="auto"/>
                        <w:right w:val="none" w:sz="0" w:space="0" w:color="auto"/>
                      </w:divBdr>
                      <w:divsChild>
                        <w:div w:id="1569879855">
                          <w:marLeft w:val="0"/>
                          <w:marRight w:val="0"/>
                          <w:marTop w:val="0"/>
                          <w:marBottom w:val="0"/>
                          <w:divBdr>
                            <w:top w:val="none" w:sz="0" w:space="0" w:color="auto"/>
                            <w:left w:val="none" w:sz="0" w:space="0" w:color="auto"/>
                            <w:bottom w:val="none" w:sz="0" w:space="0" w:color="auto"/>
                            <w:right w:val="none" w:sz="0" w:space="0" w:color="auto"/>
                          </w:divBdr>
                          <w:divsChild>
                            <w:div w:id="1801341976">
                              <w:marLeft w:val="0"/>
                              <w:marRight w:val="0"/>
                              <w:marTop w:val="0"/>
                              <w:marBottom w:val="0"/>
                              <w:divBdr>
                                <w:top w:val="none" w:sz="0" w:space="0" w:color="auto"/>
                                <w:left w:val="none" w:sz="0" w:space="0" w:color="auto"/>
                                <w:bottom w:val="none" w:sz="0" w:space="0" w:color="auto"/>
                                <w:right w:val="none" w:sz="0" w:space="0" w:color="auto"/>
                              </w:divBdr>
                              <w:divsChild>
                                <w:div w:id="1215774020">
                                  <w:marLeft w:val="0"/>
                                  <w:marRight w:val="0"/>
                                  <w:marTop w:val="0"/>
                                  <w:marBottom w:val="0"/>
                                  <w:divBdr>
                                    <w:top w:val="none" w:sz="0" w:space="0" w:color="auto"/>
                                    <w:left w:val="none" w:sz="0" w:space="0" w:color="auto"/>
                                    <w:bottom w:val="none" w:sz="0" w:space="0" w:color="auto"/>
                                    <w:right w:val="none" w:sz="0" w:space="0" w:color="auto"/>
                                  </w:divBdr>
                                  <w:divsChild>
                                    <w:div w:id="151679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588541">
      <w:bodyDiv w:val="1"/>
      <w:marLeft w:val="0"/>
      <w:marRight w:val="0"/>
      <w:marTop w:val="0"/>
      <w:marBottom w:val="0"/>
      <w:divBdr>
        <w:top w:val="none" w:sz="0" w:space="0" w:color="auto"/>
        <w:left w:val="none" w:sz="0" w:space="0" w:color="auto"/>
        <w:bottom w:val="none" w:sz="0" w:space="0" w:color="auto"/>
        <w:right w:val="none" w:sz="0" w:space="0" w:color="auto"/>
      </w:divBdr>
    </w:div>
    <w:div w:id="1782913237">
      <w:bodyDiv w:val="1"/>
      <w:marLeft w:val="0"/>
      <w:marRight w:val="0"/>
      <w:marTop w:val="0"/>
      <w:marBottom w:val="0"/>
      <w:divBdr>
        <w:top w:val="none" w:sz="0" w:space="0" w:color="auto"/>
        <w:left w:val="none" w:sz="0" w:space="0" w:color="auto"/>
        <w:bottom w:val="none" w:sz="0" w:space="0" w:color="auto"/>
        <w:right w:val="none" w:sz="0" w:space="0" w:color="auto"/>
      </w:divBdr>
    </w:div>
    <w:div w:id="1784108315">
      <w:bodyDiv w:val="1"/>
      <w:marLeft w:val="0"/>
      <w:marRight w:val="0"/>
      <w:marTop w:val="0"/>
      <w:marBottom w:val="0"/>
      <w:divBdr>
        <w:top w:val="none" w:sz="0" w:space="0" w:color="auto"/>
        <w:left w:val="none" w:sz="0" w:space="0" w:color="auto"/>
        <w:bottom w:val="none" w:sz="0" w:space="0" w:color="auto"/>
        <w:right w:val="none" w:sz="0" w:space="0" w:color="auto"/>
      </w:divBdr>
    </w:div>
    <w:div w:id="1784111743">
      <w:bodyDiv w:val="1"/>
      <w:marLeft w:val="0"/>
      <w:marRight w:val="0"/>
      <w:marTop w:val="0"/>
      <w:marBottom w:val="0"/>
      <w:divBdr>
        <w:top w:val="none" w:sz="0" w:space="0" w:color="auto"/>
        <w:left w:val="none" w:sz="0" w:space="0" w:color="auto"/>
        <w:bottom w:val="none" w:sz="0" w:space="0" w:color="auto"/>
        <w:right w:val="none" w:sz="0" w:space="0" w:color="auto"/>
      </w:divBdr>
    </w:div>
    <w:div w:id="1791783714">
      <w:bodyDiv w:val="1"/>
      <w:marLeft w:val="0"/>
      <w:marRight w:val="0"/>
      <w:marTop w:val="0"/>
      <w:marBottom w:val="0"/>
      <w:divBdr>
        <w:top w:val="none" w:sz="0" w:space="0" w:color="auto"/>
        <w:left w:val="none" w:sz="0" w:space="0" w:color="auto"/>
        <w:bottom w:val="none" w:sz="0" w:space="0" w:color="auto"/>
        <w:right w:val="none" w:sz="0" w:space="0" w:color="auto"/>
      </w:divBdr>
    </w:div>
    <w:div w:id="1806727910">
      <w:bodyDiv w:val="1"/>
      <w:marLeft w:val="0"/>
      <w:marRight w:val="0"/>
      <w:marTop w:val="0"/>
      <w:marBottom w:val="0"/>
      <w:divBdr>
        <w:top w:val="none" w:sz="0" w:space="0" w:color="auto"/>
        <w:left w:val="none" w:sz="0" w:space="0" w:color="auto"/>
        <w:bottom w:val="none" w:sz="0" w:space="0" w:color="auto"/>
        <w:right w:val="none" w:sz="0" w:space="0" w:color="auto"/>
      </w:divBdr>
    </w:div>
    <w:div w:id="1807812450">
      <w:bodyDiv w:val="1"/>
      <w:marLeft w:val="0"/>
      <w:marRight w:val="0"/>
      <w:marTop w:val="0"/>
      <w:marBottom w:val="0"/>
      <w:divBdr>
        <w:top w:val="none" w:sz="0" w:space="0" w:color="auto"/>
        <w:left w:val="none" w:sz="0" w:space="0" w:color="auto"/>
        <w:bottom w:val="none" w:sz="0" w:space="0" w:color="auto"/>
        <w:right w:val="none" w:sz="0" w:space="0" w:color="auto"/>
      </w:divBdr>
    </w:div>
    <w:div w:id="1816871388">
      <w:bodyDiv w:val="1"/>
      <w:marLeft w:val="0"/>
      <w:marRight w:val="0"/>
      <w:marTop w:val="0"/>
      <w:marBottom w:val="0"/>
      <w:divBdr>
        <w:top w:val="none" w:sz="0" w:space="0" w:color="auto"/>
        <w:left w:val="none" w:sz="0" w:space="0" w:color="auto"/>
        <w:bottom w:val="none" w:sz="0" w:space="0" w:color="auto"/>
        <w:right w:val="none" w:sz="0" w:space="0" w:color="auto"/>
      </w:divBdr>
    </w:div>
    <w:div w:id="1820145521">
      <w:bodyDiv w:val="1"/>
      <w:marLeft w:val="0"/>
      <w:marRight w:val="0"/>
      <w:marTop w:val="0"/>
      <w:marBottom w:val="0"/>
      <w:divBdr>
        <w:top w:val="none" w:sz="0" w:space="0" w:color="auto"/>
        <w:left w:val="none" w:sz="0" w:space="0" w:color="auto"/>
        <w:bottom w:val="none" w:sz="0" w:space="0" w:color="auto"/>
        <w:right w:val="none" w:sz="0" w:space="0" w:color="auto"/>
      </w:divBdr>
    </w:div>
    <w:div w:id="1824929618">
      <w:bodyDiv w:val="1"/>
      <w:marLeft w:val="0"/>
      <w:marRight w:val="0"/>
      <w:marTop w:val="0"/>
      <w:marBottom w:val="0"/>
      <w:divBdr>
        <w:top w:val="none" w:sz="0" w:space="0" w:color="auto"/>
        <w:left w:val="none" w:sz="0" w:space="0" w:color="auto"/>
        <w:bottom w:val="none" w:sz="0" w:space="0" w:color="auto"/>
        <w:right w:val="none" w:sz="0" w:space="0" w:color="auto"/>
      </w:divBdr>
    </w:div>
    <w:div w:id="1833138994">
      <w:bodyDiv w:val="1"/>
      <w:marLeft w:val="0"/>
      <w:marRight w:val="0"/>
      <w:marTop w:val="0"/>
      <w:marBottom w:val="0"/>
      <w:divBdr>
        <w:top w:val="none" w:sz="0" w:space="0" w:color="auto"/>
        <w:left w:val="none" w:sz="0" w:space="0" w:color="auto"/>
        <w:bottom w:val="none" w:sz="0" w:space="0" w:color="auto"/>
        <w:right w:val="none" w:sz="0" w:space="0" w:color="auto"/>
      </w:divBdr>
    </w:div>
    <w:div w:id="1833518994">
      <w:bodyDiv w:val="1"/>
      <w:marLeft w:val="0"/>
      <w:marRight w:val="0"/>
      <w:marTop w:val="0"/>
      <w:marBottom w:val="0"/>
      <w:divBdr>
        <w:top w:val="none" w:sz="0" w:space="0" w:color="auto"/>
        <w:left w:val="none" w:sz="0" w:space="0" w:color="auto"/>
        <w:bottom w:val="none" w:sz="0" w:space="0" w:color="auto"/>
        <w:right w:val="none" w:sz="0" w:space="0" w:color="auto"/>
      </w:divBdr>
    </w:div>
    <w:div w:id="1834099696">
      <w:bodyDiv w:val="1"/>
      <w:marLeft w:val="0"/>
      <w:marRight w:val="0"/>
      <w:marTop w:val="0"/>
      <w:marBottom w:val="0"/>
      <w:divBdr>
        <w:top w:val="none" w:sz="0" w:space="0" w:color="auto"/>
        <w:left w:val="none" w:sz="0" w:space="0" w:color="auto"/>
        <w:bottom w:val="none" w:sz="0" w:space="0" w:color="auto"/>
        <w:right w:val="none" w:sz="0" w:space="0" w:color="auto"/>
      </w:divBdr>
    </w:div>
    <w:div w:id="1837718866">
      <w:bodyDiv w:val="1"/>
      <w:marLeft w:val="0"/>
      <w:marRight w:val="0"/>
      <w:marTop w:val="0"/>
      <w:marBottom w:val="0"/>
      <w:divBdr>
        <w:top w:val="none" w:sz="0" w:space="0" w:color="auto"/>
        <w:left w:val="none" w:sz="0" w:space="0" w:color="auto"/>
        <w:bottom w:val="none" w:sz="0" w:space="0" w:color="auto"/>
        <w:right w:val="none" w:sz="0" w:space="0" w:color="auto"/>
      </w:divBdr>
      <w:divsChild>
        <w:div w:id="1606687783">
          <w:marLeft w:val="0"/>
          <w:marRight w:val="0"/>
          <w:marTop w:val="0"/>
          <w:marBottom w:val="0"/>
          <w:divBdr>
            <w:top w:val="none" w:sz="0" w:space="0" w:color="auto"/>
            <w:left w:val="none" w:sz="0" w:space="0" w:color="auto"/>
            <w:bottom w:val="none" w:sz="0" w:space="0" w:color="auto"/>
            <w:right w:val="none" w:sz="0" w:space="0" w:color="auto"/>
          </w:divBdr>
          <w:divsChild>
            <w:div w:id="1241403096">
              <w:marLeft w:val="0"/>
              <w:marRight w:val="0"/>
              <w:marTop w:val="0"/>
              <w:marBottom w:val="0"/>
              <w:divBdr>
                <w:top w:val="none" w:sz="0" w:space="0" w:color="auto"/>
                <w:left w:val="none" w:sz="0" w:space="0" w:color="auto"/>
                <w:bottom w:val="none" w:sz="0" w:space="0" w:color="auto"/>
                <w:right w:val="none" w:sz="0" w:space="0" w:color="auto"/>
              </w:divBdr>
              <w:divsChild>
                <w:div w:id="2022926605">
                  <w:marLeft w:val="0"/>
                  <w:marRight w:val="0"/>
                  <w:marTop w:val="0"/>
                  <w:marBottom w:val="0"/>
                  <w:divBdr>
                    <w:top w:val="none" w:sz="0" w:space="0" w:color="auto"/>
                    <w:left w:val="none" w:sz="0" w:space="0" w:color="auto"/>
                    <w:bottom w:val="none" w:sz="0" w:space="0" w:color="auto"/>
                    <w:right w:val="none" w:sz="0" w:space="0" w:color="auto"/>
                  </w:divBdr>
                  <w:divsChild>
                    <w:div w:id="1945116050">
                      <w:marLeft w:val="0"/>
                      <w:marRight w:val="0"/>
                      <w:marTop w:val="0"/>
                      <w:marBottom w:val="0"/>
                      <w:divBdr>
                        <w:top w:val="none" w:sz="0" w:space="0" w:color="auto"/>
                        <w:left w:val="none" w:sz="0" w:space="0" w:color="auto"/>
                        <w:bottom w:val="none" w:sz="0" w:space="0" w:color="auto"/>
                        <w:right w:val="none" w:sz="0" w:space="0" w:color="auto"/>
                      </w:divBdr>
                      <w:divsChild>
                        <w:div w:id="414595879">
                          <w:marLeft w:val="0"/>
                          <w:marRight w:val="0"/>
                          <w:marTop w:val="0"/>
                          <w:marBottom w:val="0"/>
                          <w:divBdr>
                            <w:top w:val="none" w:sz="0" w:space="0" w:color="auto"/>
                            <w:left w:val="none" w:sz="0" w:space="0" w:color="auto"/>
                            <w:bottom w:val="none" w:sz="0" w:space="0" w:color="auto"/>
                            <w:right w:val="none" w:sz="0" w:space="0" w:color="auto"/>
                          </w:divBdr>
                          <w:divsChild>
                            <w:div w:id="1294409577">
                              <w:marLeft w:val="0"/>
                              <w:marRight w:val="0"/>
                              <w:marTop w:val="0"/>
                              <w:marBottom w:val="0"/>
                              <w:divBdr>
                                <w:top w:val="none" w:sz="0" w:space="0" w:color="auto"/>
                                <w:left w:val="none" w:sz="0" w:space="0" w:color="auto"/>
                                <w:bottom w:val="none" w:sz="0" w:space="0" w:color="auto"/>
                                <w:right w:val="none" w:sz="0" w:space="0" w:color="auto"/>
                              </w:divBdr>
                              <w:divsChild>
                                <w:div w:id="1693991782">
                                  <w:marLeft w:val="0"/>
                                  <w:marRight w:val="0"/>
                                  <w:marTop w:val="0"/>
                                  <w:marBottom w:val="0"/>
                                  <w:divBdr>
                                    <w:top w:val="none" w:sz="0" w:space="0" w:color="auto"/>
                                    <w:left w:val="none" w:sz="0" w:space="0" w:color="auto"/>
                                    <w:bottom w:val="none" w:sz="0" w:space="0" w:color="auto"/>
                                    <w:right w:val="none" w:sz="0" w:space="0" w:color="auto"/>
                                  </w:divBdr>
                                  <w:divsChild>
                                    <w:div w:id="1874222389">
                                      <w:marLeft w:val="0"/>
                                      <w:marRight w:val="0"/>
                                      <w:marTop w:val="0"/>
                                      <w:marBottom w:val="0"/>
                                      <w:divBdr>
                                        <w:top w:val="none" w:sz="0" w:space="0" w:color="auto"/>
                                        <w:left w:val="none" w:sz="0" w:space="0" w:color="auto"/>
                                        <w:bottom w:val="none" w:sz="0" w:space="0" w:color="auto"/>
                                        <w:right w:val="none" w:sz="0" w:space="0" w:color="auto"/>
                                      </w:divBdr>
                                      <w:divsChild>
                                        <w:div w:id="215513733">
                                          <w:marLeft w:val="0"/>
                                          <w:marRight w:val="0"/>
                                          <w:marTop w:val="0"/>
                                          <w:marBottom w:val="0"/>
                                          <w:divBdr>
                                            <w:top w:val="none" w:sz="0" w:space="0" w:color="auto"/>
                                            <w:left w:val="none" w:sz="0" w:space="0" w:color="auto"/>
                                            <w:bottom w:val="none" w:sz="0" w:space="0" w:color="auto"/>
                                            <w:right w:val="none" w:sz="0" w:space="0" w:color="auto"/>
                                          </w:divBdr>
                                          <w:divsChild>
                                            <w:div w:id="1758015135">
                                              <w:marLeft w:val="0"/>
                                              <w:marRight w:val="0"/>
                                              <w:marTop w:val="0"/>
                                              <w:marBottom w:val="0"/>
                                              <w:divBdr>
                                                <w:top w:val="none" w:sz="0" w:space="0" w:color="auto"/>
                                                <w:left w:val="none" w:sz="0" w:space="0" w:color="auto"/>
                                                <w:bottom w:val="none" w:sz="0" w:space="0" w:color="auto"/>
                                                <w:right w:val="none" w:sz="0" w:space="0" w:color="auto"/>
                                              </w:divBdr>
                                              <w:divsChild>
                                                <w:div w:id="1556693626">
                                                  <w:marLeft w:val="0"/>
                                                  <w:marRight w:val="0"/>
                                                  <w:marTop w:val="0"/>
                                                  <w:marBottom w:val="0"/>
                                                  <w:divBdr>
                                                    <w:top w:val="none" w:sz="0" w:space="0" w:color="auto"/>
                                                    <w:left w:val="none" w:sz="0" w:space="0" w:color="auto"/>
                                                    <w:bottom w:val="none" w:sz="0" w:space="0" w:color="auto"/>
                                                    <w:right w:val="none" w:sz="0" w:space="0" w:color="auto"/>
                                                  </w:divBdr>
                                                  <w:divsChild>
                                                    <w:div w:id="127921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7422787">
          <w:marLeft w:val="0"/>
          <w:marRight w:val="0"/>
          <w:marTop w:val="0"/>
          <w:marBottom w:val="0"/>
          <w:divBdr>
            <w:top w:val="none" w:sz="0" w:space="0" w:color="auto"/>
            <w:left w:val="none" w:sz="0" w:space="0" w:color="auto"/>
            <w:bottom w:val="none" w:sz="0" w:space="0" w:color="auto"/>
            <w:right w:val="none" w:sz="0" w:space="0" w:color="auto"/>
          </w:divBdr>
          <w:divsChild>
            <w:div w:id="1597054721">
              <w:marLeft w:val="0"/>
              <w:marRight w:val="0"/>
              <w:marTop w:val="0"/>
              <w:marBottom w:val="0"/>
              <w:divBdr>
                <w:top w:val="none" w:sz="0" w:space="0" w:color="auto"/>
                <w:left w:val="none" w:sz="0" w:space="0" w:color="auto"/>
                <w:bottom w:val="none" w:sz="0" w:space="0" w:color="auto"/>
                <w:right w:val="none" w:sz="0" w:space="0" w:color="auto"/>
              </w:divBdr>
              <w:divsChild>
                <w:div w:id="427385929">
                  <w:marLeft w:val="0"/>
                  <w:marRight w:val="0"/>
                  <w:marTop w:val="0"/>
                  <w:marBottom w:val="0"/>
                  <w:divBdr>
                    <w:top w:val="none" w:sz="0" w:space="0" w:color="auto"/>
                    <w:left w:val="none" w:sz="0" w:space="0" w:color="auto"/>
                    <w:bottom w:val="none" w:sz="0" w:space="0" w:color="auto"/>
                    <w:right w:val="none" w:sz="0" w:space="0" w:color="auto"/>
                  </w:divBdr>
                  <w:divsChild>
                    <w:div w:id="1408503309">
                      <w:marLeft w:val="0"/>
                      <w:marRight w:val="0"/>
                      <w:marTop w:val="0"/>
                      <w:marBottom w:val="0"/>
                      <w:divBdr>
                        <w:top w:val="none" w:sz="0" w:space="0" w:color="auto"/>
                        <w:left w:val="none" w:sz="0" w:space="0" w:color="auto"/>
                        <w:bottom w:val="none" w:sz="0" w:space="0" w:color="auto"/>
                        <w:right w:val="none" w:sz="0" w:space="0" w:color="auto"/>
                      </w:divBdr>
                      <w:divsChild>
                        <w:div w:id="2098749002">
                          <w:marLeft w:val="0"/>
                          <w:marRight w:val="0"/>
                          <w:marTop w:val="0"/>
                          <w:marBottom w:val="0"/>
                          <w:divBdr>
                            <w:top w:val="none" w:sz="0" w:space="0" w:color="auto"/>
                            <w:left w:val="none" w:sz="0" w:space="0" w:color="auto"/>
                            <w:bottom w:val="none" w:sz="0" w:space="0" w:color="auto"/>
                            <w:right w:val="none" w:sz="0" w:space="0" w:color="auto"/>
                          </w:divBdr>
                          <w:divsChild>
                            <w:div w:id="1756630684">
                              <w:marLeft w:val="0"/>
                              <w:marRight w:val="0"/>
                              <w:marTop w:val="0"/>
                              <w:marBottom w:val="0"/>
                              <w:divBdr>
                                <w:top w:val="none" w:sz="0" w:space="0" w:color="auto"/>
                                <w:left w:val="none" w:sz="0" w:space="0" w:color="auto"/>
                                <w:bottom w:val="none" w:sz="0" w:space="0" w:color="auto"/>
                                <w:right w:val="none" w:sz="0" w:space="0" w:color="auto"/>
                              </w:divBdr>
                              <w:divsChild>
                                <w:div w:id="2021007979">
                                  <w:marLeft w:val="0"/>
                                  <w:marRight w:val="0"/>
                                  <w:marTop w:val="0"/>
                                  <w:marBottom w:val="0"/>
                                  <w:divBdr>
                                    <w:top w:val="none" w:sz="0" w:space="0" w:color="auto"/>
                                    <w:left w:val="none" w:sz="0" w:space="0" w:color="auto"/>
                                    <w:bottom w:val="none" w:sz="0" w:space="0" w:color="auto"/>
                                    <w:right w:val="none" w:sz="0" w:space="0" w:color="auto"/>
                                  </w:divBdr>
                                  <w:divsChild>
                                    <w:div w:id="398284379">
                                      <w:marLeft w:val="0"/>
                                      <w:marRight w:val="0"/>
                                      <w:marTop w:val="0"/>
                                      <w:marBottom w:val="0"/>
                                      <w:divBdr>
                                        <w:top w:val="none" w:sz="0" w:space="0" w:color="auto"/>
                                        <w:left w:val="none" w:sz="0" w:space="0" w:color="auto"/>
                                        <w:bottom w:val="none" w:sz="0" w:space="0" w:color="auto"/>
                                        <w:right w:val="none" w:sz="0" w:space="0" w:color="auto"/>
                                      </w:divBdr>
                                      <w:divsChild>
                                        <w:div w:id="1676804180">
                                          <w:marLeft w:val="0"/>
                                          <w:marRight w:val="0"/>
                                          <w:marTop w:val="0"/>
                                          <w:marBottom w:val="0"/>
                                          <w:divBdr>
                                            <w:top w:val="none" w:sz="0" w:space="0" w:color="auto"/>
                                            <w:left w:val="none" w:sz="0" w:space="0" w:color="auto"/>
                                            <w:bottom w:val="none" w:sz="0" w:space="0" w:color="auto"/>
                                            <w:right w:val="none" w:sz="0" w:space="0" w:color="auto"/>
                                          </w:divBdr>
                                          <w:divsChild>
                                            <w:div w:id="692147265">
                                              <w:marLeft w:val="0"/>
                                              <w:marRight w:val="0"/>
                                              <w:marTop w:val="0"/>
                                              <w:marBottom w:val="0"/>
                                              <w:divBdr>
                                                <w:top w:val="none" w:sz="0" w:space="0" w:color="auto"/>
                                                <w:left w:val="none" w:sz="0" w:space="0" w:color="auto"/>
                                                <w:bottom w:val="none" w:sz="0" w:space="0" w:color="auto"/>
                                                <w:right w:val="none" w:sz="0" w:space="0" w:color="auto"/>
                                              </w:divBdr>
                                              <w:divsChild>
                                                <w:div w:id="191958992">
                                                  <w:marLeft w:val="0"/>
                                                  <w:marRight w:val="0"/>
                                                  <w:marTop w:val="0"/>
                                                  <w:marBottom w:val="0"/>
                                                  <w:divBdr>
                                                    <w:top w:val="none" w:sz="0" w:space="0" w:color="auto"/>
                                                    <w:left w:val="none" w:sz="0" w:space="0" w:color="auto"/>
                                                    <w:bottom w:val="none" w:sz="0" w:space="0" w:color="auto"/>
                                                    <w:right w:val="none" w:sz="0" w:space="0" w:color="auto"/>
                                                  </w:divBdr>
                                                  <w:divsChild>
                                                    <w:div w:id="1052464865">
                                                      <w:marLeft w:val="0"/>
                                                      <w:marRight w:val="0"/>
                                                      <w:marTop w:val="0"/>
                                                      <w:marBottom w:val="0"/>
                                                      <w:divBdr>
                                                        <w:top w:val="none" w:sz="0" w:space="0" w:color="auto"/>
                                                        <w:left w:val="none" w:sz="0" w:space="0" w:color="auto"/>
                                                        <w:bottom w:val="none" w:sz="0" w:space="0" w:color="auto"/>
                                                        <w:right w:val="none" w:sz="0" w:space="0" w:color="auto"/>
                                                      </w:divBdr>
                                                      <w:divsChild>
                                                        <w:div w:id="1532189487">
                                                          <w:marLeft w:val="0"/>
                                                          <w:marRight w:val="0"/>
                                                          <w:marTop w:val="0"/>
                                                          <w:marBottom w:val="0"/>
                                                          <w:divBdr>
                                                            <w:top w:val="none" w:sz="0" w:space="0" w:color="auto"/>
                                                            <w:left w:val="none" w:sz="0" w:space="0" w:color="auto"/>
                                                            <w:bottom w:val="none" w:sz="0" w:space="0" w:color="auto"/>
                                                            <w:right w:val="none" w:sz="0" w:space="0" w:color="auto"/>
                                                          </w:divBdr>
                                                          <w:divsChild>
                                                            <w:div w:id="486439350">
                                                              <w:marLeft w:val="0"/>
                                                              <w:marRight w:val="0"/>
                                                              <w:marTop w:val="0"/>
                                                              <w:marBottom w:val="0"/>
                                                              <w:divBdr>
                                                                <w:top w:val="none" w:sz="0" w:space="0" w:color="auto"/>
                                                                <w:left w:val="none" w:sz="0" w:space="0" w:color="auto"/>
                                                                <w:bottom w:val="none" w:sz="0" w:space="0" w:color="auto"/>
                                                                <w:right w:val="none" w:sz="0" w:space="0" w:color="auto"/>
                                                              </w:divBdr>
                                                              <w:divsChild>
                                                                <w:div w:id="5612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2406247">
      <w:bodyDiv w:val="1"/>
      <w:marLeft w:val="0"/>
      <w:marRight w:val="0"/>
      <w:marTop w:val="0"/>
      <w:marBottom w:val="0"/>
      <w:divBdr>
        <w:top w:val="none" w:sz="0" w:space="0" w:color="auto"/>
        <w:left w:val="none" w:sz="0" w:space="0" w:color="auto"/>
        <w:bottom w:val="none" w:sz="0" w:space="0" w:color="auto"/>
        <w:right w:val="none" w:sz="0" w:space="0" w:color="auto"/>
      </w:divBdr>
    </w:div>
    <w:div w:id="1857647646">
      <w:bodyDiv w:val="1"/>
      <w:marLeft w:val="0"/>
      <w:marRight w:val="0"/>
      <w:marTop w:val="0"/>
      <w:marBottom w:val="0"/>
      <w:divBdr>
        <w:top w:val="none" w:sz="0" w:space="0" w:color="auto"/>
        <w:left w:val="none" w:sz="0" w:space="0" w:color="auto"/>
        <w:bottom w:val="none" w:sz="0" w:space="0" w:color="auto"/>
        <w:right w:val="none" w:sz="0" w:space="0" w:color="auto"/>
      </w:divBdr>
    </w:div>
    <w:div w:id="1859468510">
      <w:bodyDiv w:val="1"/>
      <w:marLeft w:val="0"/>
      <w:marRight w:val="0"/>
      <w:marTop w:val="0"/>
      <w:marBottom w:val="0"/>
      <w:divBdr>
        <w:top w:val="none" w:sz="0" w:space="0" w:color="auto"/>
        <w:left w:val="none" w:sz="0" w:space="0" w:color="auto"/>
        <w:bottom w:val="none" w:sz="0" w:space="0" w:color="auto"/>
        <w:right w:val="none" w:sz="0" w:space="0" w:color="auto"/>
      </w:divBdr>
    </w:div>
    <w:div w:id="1874997462">
      <w:bodyDiv w:val="1"/>
      <w:marLeft w:val="0"/>
      <w:marRight w:val="0"/>
      <w:marTop w:val="0"/>
      <w:marBottom w:val="0"/>
      <w:divBdr>
        <w:top w:val="none" w:sz="0" w:space="0" w:color="auto"/>
        <w:left w:val="none" w:sz="0" w:space="0" w:color="auto"/>
        <w:bottom w:val="none" w:sz="0" w:space="0" w:color="auto"/>
        <w:right w:val="none" w:sz="0" w:space="0" w:color="auto"/>
      </w:divBdr>
    </w:div>
    <w:div w:id="1894151783">
      <w:bodyDiv w:val="1"/>
      <w:marLeft w:val="0"/>
      <w:marRight w:val="0"/>
      <w:marTop w:val="0"/>
      <w:marBottom w:val="0"/>
      <w:divBdr>
        <w:top w:val="none" w:sz="0" w:space="0" w:color="auto"/>
        <w:left w:val="none" w:sz="0" w:space="0" w:color="auto"/>
        <w:bottom w:val="none" w:sz="0" w:space="0" w:color="auto"/>
        <w:right w:val="none" w:sz="0" w:space="0" w:color="auto"/>
      </w:divBdr>
    </w:div>
    <w:div w:id="1895389690">
      <w:bodyDiv w:val="1"/>
      <w:marLeft w:val="0"/>
      <w:marRight w:val="0"/>
      <w:marTop w:val="0"/>
      <w:marBottom w:val="0"/>
      <w:divBdr>
        <w:top w:val="none" w:sz="0" w:space="0" w:color="auto"/>
        <w:left w:val="none" w:sz="0" w:space="0" w:color="auto"/>
        <w:bottom w:val="none" w:sz="0" w:space="0" w:color="auto"/>
        <w:right w:val="none" w:sz="0" w:space="0" w:color="auto"/>
      </w:divBdr>
    </w:div>
    <w:div w:id="1900313623">
      <w:bodyDiv w:val="1"/>
      <w:marLeft w:val="0"/>
      <w:marRight w:val="0"/>
      <w:marTop w:val="0"/>
      <w:marBottom w:val="0"/>
      <w:divBdr>
        <w:top w:val="none" w:sz="0" w:space="0" w:color="auto"/>
        <w:left w:val="none" w:sz="0" w:space="0" w:color="auto"/>
        <w:bottom w:val="none" w:sz="0" w:space="0" w:color="auto"/>
        <w:right w:val="none" w:sz="0" w:space="0" w:color="auto"/>
      </w:divBdr>
    </w:div>
    <w:div w:id="1910118138">
      <w:bodyDiv w:val="1"/>
      <w:marLeft w:val="0"/>
      <w:marRight w:val="0"/>
      <w:marTop w:val="0"/>
      <w:marBottom w:val="0"/>
      <w:divBdr>
        <w:top w:val="none" w:sz="0" w:space="0" w:color="auto"/>
        <w:left w:val="none" w:sz="0" w:space="0" w:color="auto"/>
        <w:bottom w:val="none" w:sz="0" w:space="0" w:color="auto"/>
        <w:right w:val="none" w:sz="0" w:space="0" w:color="auto"/>
      </w:divBdr>
    </w:div>
    <w:div w:id="1920796895">
      <w:bodyDiv w:val="1"/>
      <w:marLeft w:val="0"/>
      <w:marRight w:val="0"/>
      <w:marTop w:val="0"/>
      <w:marBottom w:val="0"/>
      <w:divBdr>
        <w:top w:val="none" w:sz="0" w:space="0" w:color="auto"/>
        <w:left w:val="none" w:sz="0" w:space="0" w:color="auto"/>
        <w:bottom w:val="none" w:sz="0" w:space="0" w:color="auto"/>
        <w:right w:val="none" w:sz="0" w:space="0" w:color="auto"/>
      </w:divBdr>
    </w:div>
    <w:div w:id="1933050172">
      <w:bodyDiv w:val="1"/>
      <w:marLeft w:val="0"/>
      <w:marRight w:val="0"/>
      <w:marTop w:val="0"/>
      <w:marBottom w:val="0"/>
      <w:divBdr>
        <w:top w:val="none" w:sz="0" w:space="0" w:color="auto"/>
        <w:left w:val="none" w:sz="0" w:space="0" w:color="auto"/>
        <w:bottom w:val="none" w:sz="0" w:space="0" w:color="auto"/>
        <w:right w:val="none" w:sz="0" w:space="0" w:color="auto"/>
      </w:divBdr>
    </w:div>
    <w:div w:id="1933128669">
      <w:bodyDiv w:val="1"/>
      <w:marLeft w:val="0"/>
      <w:marRight w:val="0"/>
      <w:marTop w:val="0"/>
      <w:marBottom w:val="0"/>
      <w:divBdr>
        <w:top w:val="none" w:sz="0" w:space="0" w:color="auto"/>
        <w:left w:val="none" w:sz="0" w:space="0" w:color="auto"/>
        <w:bottom w:val="none" w:sz="0" w:space="0" w:color="auto"/>
        <w:right w:val="none" w:sz="0" w:space="0" w:color="auto"/>
      </w:divBdr>
    </w:div>
    <w:div w:id="1933513594">
      <w:bodyDiv w:val="1"/>
      <w:marLeft w:val="0"/>
      <w:marRight w:val="0"/>
      <w:marTop w:val="0"/>
      <w:marBottom w:val="0"/>
      <w:divBdr>
        <w:top w:val="none" w:sz="0" w:space="0" w:color="auto"/>
        <w:left w:val="none" w:sz="0" w:space="0" w:color="auto"/>
        <w:bottom w:val="none" w:sz="0" w:space="0" w:color="auto"/>
        <w:right w:val="none" w:sz="0" w:space="0" w:color="auto"/>
      </w:divBdr>
    </w:div>
    <w:div w:id="1945184546">
      <w:bodyDiv w:val="1"/>
      <w:marLeft w:val="0"/>
      <w:marRight w:val="0"/>
      <w:marTop w:val="0"/>
      <w:marBottom w:val="0"/>
      <w:divBdr>
        <w:top w:val="none" w:sz="0" w:space="0" w:color="auto"/>
        <w:left w:val="none" w:sz="0" w:space="0" w:color="auto"/>
        <w:bottom w:val="none" w:sz="0" w:space="0" w:color="auto"/>
        <w:right w:val="none" w:sz="0" w:space="0" w:color="auto"/>
      </w:divBdr>
    </w:div>
    <w:div w:id="1947343720">
      <w:bodyDiv w:val="1"/>
      <w:marLeft w:val="0"/>
      <w:marRight w:val="0"/>
      <w:marTop w:val="0"/>
      <w:marBottom w:val="0"/>
      <w:divBdr>
        <w:top w:val="none" w:sz="0" w:space="0" w:color="auto"/>
        <w:left w:val="none" w:sz="0" w:space="0" w:color="auto"/>
        <w:bottom w:val="none" w:sz="0" w:space="0" w:color="auto"/>
        <w:right w:val="none" w:sz="0" w:space="0" w:color="auto"/>
      </w:divBdr>
    </w:div>
    <w:div w:id="1948386257">
      <w:bodyDiv w:val="1"/>
      <w:marLeft w:val="0"/>
      <w:marRight w:val="0"/>
      <w:marTop w:val="0"/>
      <w:marBottom w:val="0"/>
      <w:divBdr>
        <w:top w:val="none" w:sz="0" w:space="0" w:color="auto"/>
        <w:left w:val="none" w:sz="0" w:space="0" w:color="auto"/>
        <w:bottom w:val="none" w:sz="0" w:space="0" w:color="auto"/>
        <w:right w:val="none" w:sz="0" w:space="0" w:color="auto"/>
      </w:divBdr>
    </w:div>
    <w:div w:id="1966961077">
      <w:bodyDiv w:val="1"/>
      <w:marLeft w:val="0"/>
      <w:marRight w:val="0"/>
      <w:marTop w:val="0"/>
      <w:marBottom w:val="0"/>
      <w:divBdr>
        <w:top w:val="none" w:sz="0" w:space="0" w:color="auto"/>
        <w:left w:val="none" w:sz="0" w:space="0" w:color="auto"/>
        <w:bottom w:val="none" w:sz="0" w:space="0" w:color="auto"/>
        <w:right w:val="none" w:sz="0" w:space="0" w:color="auto"/>
      </w:divBdr>
    </w:div>
    <w:div w:id="1973826208">
      <w:bodyDiv w:val="1"/>
      <w:marLeft w:val="0"/>
      <w:marRight w:val="0"/>
      <w:marTop w:val="0"/>
      <w:marBottom w:val="0"/>
      <w:divBdr>
        <w:top w:val="none" w:sz="0" w:space="0" w:color="auto"/>
        <w:left w:val="none" w:sz="0" w:space="0" w:color="auto"/>
        <w:bottom w:val="none" w:sz="0" w:space="0" w:color="auto"/>
        <w:right w:val="none" w:sz="0" w:space="0" w:color="auto"/>
      </w:divBdr>
    </w:div>
    <w:div w:id="1984507405">
      <w:bodyDiv w:val="1"/>
      <w:marLeft w:val="0"/>
      <w:marRight w:val="0"/>
      <w:marTop w:val="0"/>
      <w:marBottom w:val="0"/>
      <w:divBdr>
        <w:top w:val="none" w:sz="0" w:space="0" w:color="auto"/>
        <w:left w:val="none" w:sz="0" w:space="0" w:color="auto"/>
        <w:bottom w:val="none" w:sz="0" w:space="0" w:color="auto"/>
        <w:right w:val="none" w:sz="0" w:space="0" w:color="auto"/>
      </w:divBdr>
    </w:div>
    <w:div w:id="1987009495">
      <w:bodyDiv w:val="1"/>
      <w:marLeft w:val="0"/>
      <w:marRight w:val="0"/>
      <w:marTop w:val="0"/>
      <w:marBottom w:val="0"/>
      <w:divBdr>
        <w:top w:val="none" w:sz="0" w:space="0" w:color="auto"/>
        <w:left w:val="none" w:sz="0" w:space="0" w:color="auto"/>
        <w:bottom w:val="none" w:sz="0" w:space="0" w:color="auto"/>
        <w:right w:val="none" w:sz="0" w:space="0" w:color="auto"/>
      </w:divBdr>
    </w:div>
    <w:div w:id="2000885313">
      <w:bodyDiv w:val="1"/>
      <w:marLeft w:val="0"/>
      <w:marRight w:val="0"/>
      <w:marTop w:val="0"/>
      <w:marBottom w:val="0"/>
      <w:divBdr>
        <w:top w:val="none" w:sz="0" w:space="0" w:color="auto"/>
        <w:left w:val="none" w:sz="0" w:space="0" w:color="auto"/>
        <w:bottom w:val="none" w:sz="0" w:space="0" w:color="auto"/>
        <w:right w:val="none" w:sz="0" w:space="0" w:color="auto"/>
      </w:divBdr>
    </w:div>
    <w:div w:id="2022314435">
      <w:bodyDiv w:val="1"/>
      <w:marLeft w:val="0"/>
      <w:marRight w:val="0"/>
      <w:marTop w:val="0"/>
      <w:marBottom w:val="0"/>
      <w:divBdr>
        <w:top w:val="none" w:sz="0" w:space="0" w:color="auto"/>
        <w:left w:val="none" w:sz="0" w:space="0" w:color="auto"/>
        <w:bottom w:val="none" w:sz="0" w:space="0" w:color="auto"/>
        <w:right w:val="none" w:sz="0" w:space="0" w:color="auto"/>
      </w:divBdr>
    </w:div>
    <w:div w:id="2025592088">
      <w:bodyDiv w:val="1"/>
      <w:marLeft w:val="0"/>
      <w:marRight w:val="0"/>
      <w:marTop w:val="0"/>
      <w:marBottom w:val="0"/>
      <w:divBdr>
        <w:top w:val="none" w:sz="0" w:space="0" w:color="auto"/>
        <w:left w:val="none" w:sz="0" w:space="0" w:color="auto"/>
        <w:bottom w:val="none" w:sz="0" w:space="0" w:color="auto"/>
        <w:right w:val="none" w:sz="0" w:space="0" w:color="auto"/>
      </w:divBdr>
    </w:div>
    <w:div w:id="2026636560">
      <w:bodyDiv w:val="1"/>
      <w:marLeft w:val="0"/>
      <w:marRight w:val="0"/>
      <w:marTop w:val="0"/>
      <w:marBottom w:val="0"/>
      <w:divBdr>
        <w:top w:val="none" w:sz="0" w:space="0" w:color="auto"/>
        <w:left w:val="none" w:sz="0" w:space="0" w:color="auto"/>
        <w:bottom w:val="none" w:sz="0" w:space="0" w:color="auto"/>
        <w:right w:val="none" w:sz="0" w:space="0" w:color="auto"/>
      </w:divBdr>
    </w:div>
    <w:div w:id="2027513671">
      <w:bodyDiv w:val="1"/>
      <w:marLeft w:val="0"/>
      <w:marRight w:val="0"/>
      <w:marTop w:val="0"/>
      <w:marBottom w:val="0"/>
      <w:divBdr>
        <w:top w:val="none" w:sz="0" w:space="0" w:color="auto"/>
        <w:left w:val="none" w:sz="0" w:space="0" w:color="auto"/>
        <w:bottom w:val="none" w:sz="0" w:space="0" w:color="auto"/>
        <w:right w:val="none" w:sz="0" w:space="0" w:color="auto"/>
      </w:divBdr>
    </w:div>
    <w:div w:id="2041466018">
      <w:bodyDiv w:val="1"/>
      <w:marLeft w:val="0"/>
      <w:marRight w:val="0"/>
      <w:marTop w:val="0"/>
      <w:marBottom w:val="0"/>
      <w:divBdr>
        <w:top w:val="none" w:sz="0" w:space="0" w:color="auto"/>
        <w:left w:val="none" w:sz="0" w:space="0" w:color="auto"/>
        <w:bottom w:val="none" w:sz="0" w:space="0" w:color="auto"/>
        <w:right w:val="none" w:sz="0" w:space="0" w:color="auto"/>
      </w:divBdr>
    </w:div>
    <w:div w:id="2041469787">
      <w:bodyDiv w:val="1"/>
      <w:marLeft w:val="0"/>
      <w:marRight w:val="0"/>
      <w:marTop w:val="0"/>
      <w:marBottom w:val="0"/>
      <w:divBdr>
        <w:top w:val="none" w:sz="0" w:space="0" w:color="auto"/>
        <w:left w:val="none" w:sz="0" w:space="0" w:color="auto"/>
        <w:bottom w:val="none" w:sz="0" w:space="0" w:color="auto"/>
        <w:right w:val="none" w:sz="0" w:space="0" w:color="auto"/>
      </w:divBdr>
    </w:div>
    <w:div w:id="2044288455">
      <w:bodyDiv w:val="1"/>
      <w:marLeft w:val="0"/>
      <w:marRight w:val="0"/>
      <w:marTop w:val="0"/>
      <w:marBottom w:val="0"/>
      <w:divBdr>
        <w:top w:val="none" w:sz="0" w:space="0" w:color="auto"/>
        <w:left w:val="none" w:sz="0" w:space="0" w:color="auto"/>
        <w:bottom w:val="none" w:sz="0" w:space="0" w:color="auto"/>
        <w:right w:val="none" w:sz="0" w:space="0" w:color="auto"/>
      </w:divBdr>
    </w:div>
    <w:div w:id="2055276136">
      <w:bodyDiv w:val="1"/>
      <w:marLeft w:val="0"/>
      <w:marRight w:val="0"/>
      <w:marTop w:val="0"/>
      <w:marBottom w:val="0"/>
      <w:divBdr>
        <w:top w:val="none" w:sz="0" w:space="0" w:color="auto"/>
        <w:left w:val="none" w:sz="0" w:space="0" w:color="auto"/>
        <w:bottom w:val="none" w:sz="0" w:space="0" w:color="auto"/>
        <w:right w:val="none" w:sz="0" w:space="0" w:color="auto"/>
      </w:divBdr>
    </w:div>
    <w:div w:id="2057049691">
      <w:bodyDiv w:val="1"/>
      <w:marLeft w:val="0"/>
      <w:marRight w:val="0"/>
      <w:marTop w:val="0"/>
      <w:marBottom w:val="0"/>
      <w:divBdr>
        <w:top w:val="none" w:sz="0" w:space="0" w:color="auto"/>
        <w:left w:val="none" w:sz="0" w:space="0" w:color="auto"/>
        <w:bottom w:val="none" w:sz="0" w:space="0" w:color="auto"/>
        <w:right w:val="none" w:sz="0" w:space="0" w:color="auto"/>
      </w:divBdr>
    </w:div>
    <w:div w:id="2069373775">
      <w:bodyDiv w:val="1"/>
      <w:marLeft w:val="0"/>
      <w:marRight w:val="0"/>
      <w:marTop w:val="0"/>
      <w:marBottom w:val="0"/>
      <w:divBdr>
        <w:top w:val="none" w:sz="0" w:space="0" w:color="auto"/>
        <w:left w:val="none" w:sz="0" w:space="0" w:color="auto"/>
        <w:bottom w:val="none" w:sz="0" w:space="0" w:color="auto"/>
        <w:right w:val="none" w:sz="0" w:space="0" w:color="auto"/>
      </w:divBdr>
    </w:div>
    <w:div w:id="2069648885">
      <w:bodyDiv w:val="1"/>
      <w:marLeft w:val="0"/>
      <w:marRight w:val="0"/>
      <w:marTop w:val="0"/>
      <w:marBottom w:val="0"/>
      <w:divBdr>
        <w:top w:val="none" w:sz="0" w:space="0" w:color="auto"/>
        <w:left w:val="none" w:sz="0" w:space="0" w:color="auto"/>
        <w:bottom w:val="none" w:sz="0" w:space="0" w:color="auto"/>
        <w:right w:val="none" w:sz="0" w:space="0" w:color="auto"/>
      </w:divBdr>
    </w:div>
    <w:div w:id="2078823974">
      <w:bodyDiv w:val="1"/>
      <w:marLeft w:val="0"/>
      <w:marRight w:val="0"/>
      <w:marTop w:val="0"/>
      <w:marBottom w:val="0"/>
      <w:divBdr>
        <w:top w:val="none" w:sz="0" w:space="0" w:color="auto"/>
        <w:left w:val="none" w:sz="0" w:space="0" w:color="auto"/>
        <w:bottom w:val="none" w:sz="0" w:space="0" w:color="auto"/>
        <w:right w:val="none" w:sz="0" w:space="0" w:color="auto"/>
      </w:divBdr>
    </w:div>
    <w:div w:id="2079786432">
      <w:bodyDiv w:val="1"/>
      <w:marLeft w:val="0"/>
      <w:marRight w:val="0"/>
      <w:marTop w:val="0"/>
      <w:marBottom w:val="0"/>
      <w:divBdr>
        <w:top w:val="none" w:sz="0" w:space="0" w:color="auto"/>
        <w:left w:val="none" w:sz="0" w:space="0" w:color="auto"/>
        <w:bottom w:val="none" w:sz="0" w:space="0" w:color="auto"/>
        <w:right w:val="none" w:sz="0" w:space="0" w:color="auto"/>
      </w:divBdr>
    </w:div>
    <w:div w:id="2083210569">
      <w:bodyDiv w:val="1"/>
      <w:marLeft w:val="0"/>
      <w:marRight w:val="0"/>
      <w:marTop w:val="0"/>
      <w:marBottom w:val="0"/>
      <w:divBdr>
        <w:top w:val="none" w:sz="0" w:space="0" w:color="auto"/>
        <w:left w:val="none" w:sz="0" w:space="0" w:color="auto"/>
        <w:bottom w:val="none" w:sz="0" w:space="0" w:color="auto"/>
        <w:right w:val="none" w:sz="0" w:space="0" w:color="auto"/>
      </w:divBdr>
    </w:div>
    <w:div w:id="2084058508">
      <w:bodyDiv w:val="1"/>
      <w:marLeft w:val="0"/>
      <w:marRight w:val="0"/>
      <w:marTop w:val="0"/>
      <w:marBottom w:val="0"/>
      <w:divBdr>
        <w:top w:val="none" w:sz="0" w:space="0" w:color="auto"/>
        <w:left w:val="none" w:sz="0" w:space="0" w:color="auto"/>
        <w:bottom w:val="none" w:sz="0" w:space="0" w:color="auto"/>
        <w:right w:val="none" w:sz="0" w:space="0" w:color="auto"/>
      </w:divBdr>
    </w:div>
    <w:div w:id="2086029052">
      <w:bodyDiv w:val="1"/>
      <w:marLeft w:val="0"/>
      <w:marRight w:val="0"/>
      <w:marTop w:val="0"/>
      <w:marBottom w:val="0"/>
      <w:divBdr>
        <w:top w:val="none" w:sz="0" w:space="0" w:color="auto"/>
        <w:left w:val="none" w:sz="0" w:space="0" w:color="auto"/>
        <w:bottom w:val="none" w:sz="0" w:space="0" w:color="auto"/>
        <w:right w:val="none" w:sz="0" w:space="0" w:color="auto"/>
      </w:divBdr>
    </w:div>
    <w:div w:id="2093310613">
      <w:bodyDiv w:val="1"/>
      <w:marLeft w:val="0"/>
      <w:marRight w:val="0"/>
      <w:marTop w:val="0"/>
      <w:marBottom w:val="0"/>
      <w:divBdr>
        <w:top w:val="none" w:sz="0" w:space="0" w:color="auto"/>
        <w:left w:val="none" w:sz="0" w:space="0" w:color="auto"/>
        <w:bottom w:val="none" w:sz="0" w:space="0" w:color="auto"/>
        <w:right w:val="none" w:sz="0" w:space="0" w:color="auto"/>
      </w:divBdr>
    </w:div>
    <w:div w:id="2098090259">
      <w:bodyDiv w:val="1"/>
      <w:marLeft w:val="0"/>
      <w:marRight w:val="0"/>
      <w:marTop w:val="0"/>
      <w:marBottom w:val="0"/>
      <w:divBdr>
        <w:top w:val="none" w:sz="0" w:space="0" w:color="auto"/>
        <w:left w:val="none" w:sz="0" w:space="0" w:color="auto"/>
        <w:bottom w:val="none" w:sz="0" w:space="0" w:color="auto"/>
        <w:right w:val="none" w:sz="0" w:space="0" w:color="auto"/>
      </w:divBdr>
    </w:div>
    <w:div w:id="2105109666">
      <w:bodyDiv w:val="1"/>
      <w:marLeft w:val="0"/>
      <w:marRight w:val="0"/>
      <w:marTop w:val="0"/>
      <w:marBottom w:val="0"/>
      <w:divBdr>
        <w:top w:val="none" w:sz="0" w:space="0" w:color="auto"/>
        <w:left w:val="none" w:sz="0" w:space="0" w:color="auto"/>
        <w:bottom w:val="none" w:sz="0" w:space="0" w:color="auto"/>
        <w:right w:val="none" w:sz="0" w:space="0" w:color="auto"/>
      </w:divBdr>
    </w:div>
    <w:div w:id="2105761945">
      <w:bodyDiv w:val="1"/>
      <w:marLeft w:val="0"/>
      <w:marRight w:val="0"/>
      <w:marTop w:val="0"/>
      <w:marBottom w:val="0"/>
      <w:divBdr>
        <w:top w:val="none" w:sz="0" w:space="0" w:color="auto"/>
        <w:left w:val="none" w:sz="0" w:space="0" w:color="auto"/>
        <w:bottom w:val="none" w:sz="0" w:space="0" w:color="auto"/>
        <w:right w:val="none" w:sz="0" w:space="0" w:color="auto"/>
      </w:divBdr>
    </w:div>
    <w:div w:id="2106264334">
      <w:bodyDiv w:val="1"/>
      <w:marLeft w:val="0"/>
      <w:marRight w:val="0"/>
      <w:marTop w:val="0"/>
      <w:marBottom w:val="0"/>
      <w:divBdr>
        <w:top w:val="none" w:sz="0" w:space="0" w:color="auto"/>
        <w:left w:val="none" w:sz="0" w:space="0" w:color="auto"/>
        <w:bottom w:val="none" w:sz="0" w:space="0" w:color="auto"/>
        <w:right w:val="none" w:sz="0" w:space="0" w:color="auto"/>
      </w:divBdr>
    </w:div>
    <w:div w:id="2107580118">
      <w:bodyDiv w:val="1"/>
      <w:marLeft w:val="0"/>
      <w:marRight w:val="0"/>
      <w:marTop w:val="0"/>
      <w:marBottom w:val="0"/>
      <w:divBdr>
        <w:top w:val="none" w:sz="0" w:space="0" w:color="auto"/>
        <w:left w:val="none" w:sz="0" w:space="0" w:color="auto"/>
        <w:bottom w:val="none" w:sz="0" w:space="0" w:color="auto"/>
        <w:right w:val="none" w:sz="0" w:space="0" w:color="auto"/>
      </w:divBdr>
    </w:div>
    <w:div w:id="2110538721">
      <w:bodyDiv w:val="1"/>
      <w:marLeft w:val="0"/>
      <w:marRight w:val="0"/>
      <w:marTop w:val="0"/>
      <w:marBottom w:val="0"/>
      <w:divBdr>
        <w:top w:val="none" w:sz="0" w:space="0" w:color="auto"/>
        <w:left w:val="none" w:sz="0" w:space="0" w:color="auto"/>
        <w:bottom w:val="none" w:sz="0" w:space="0" w:color="auto"/>
        <w:right w:val="none" w:sz="0" w:space="0" w:color="auto"/>
      </w:divBdr>
      <w:divsChild>
        <w:div w:id="165943724">
          <w:marLeft w:val="0"/>
          <w:marRight w:val="0"/>
          <w:marTop w:val="0"/>
          <w:marBottom w:val="0"/>
          <w:divBdr>
            <w:top w:val="none" w:sz="0" w:space="0" w:color="auto"/>
            <w:left w:val="none" w:sz="0" w:space="0" w:color="auto"/>
            <w:bottom w:val="none" w:sz="0" w:space="0" w:color="auto"/>
            <w:right w:val="none" w:sz="0" w:space="0" w:color="auto"/>
          </w:divBdr>
          <w:divsChild>
            <w:div w:id="40982828">
              <w:marLeft w:val="0"/>
              <w:marRight w:val="0"/>
              <w:marTop w:val="0"/>
              <w:marBottom w:val="0"/>
              <w:divBdr>
                <w:top w:val="none" w:sz="0" w:space="0" w:color="auto"/>
                <w:left w:val="none" w:sz="0" w:space="0" w:color="auto"/>
                <w:bottom w:val="none" w:sz="0" w:space="0" w:color="auto"/>
                <w:right w:val="none" w:sz="0" w:space="0" w:color="auto"/>
              </w:divBdr>
              <w:divsChild>
                <w:div w:id="937412">
                  <w:marLeft w:val="0"/>
                  <w:marRight w:val="0"/>
                  <w:marTop w:val="0"/>
                  <w:marBottom w:val="0"/>
                  <w:divBdr>
                    <w:top w:val="none" w:sz="0" w:space="0" w:color="auto"/>
                    <w:left w:val="none" w:sz="0" w:space="0" w:color="auto"/>
                    <w:bottom w:val="none" w:sz="0" w:space="0" w:color="auto"/>
                    <w:right w:val="none" w:sz="0" w:space="0" w:color="auto"/>
                  </w:divBdr>
                  <w:divsChild>
                    <w:div w:id="950474046">
                      <w:marLeft w:val="0"/>
                      <w:marRight w:val="0"/>
                      <w:marTop w:val="0"/>
                      <w:marBottom w:val="0"/>
                      <w:divBdr>
                        <w:top w:val="none" w:sz="0" w:space="0" w:color="auto"/>
                        <w:left w:val="none" w:sz="0" w:space="0" w:color="auto"/>
                        <w:bottom w:val="none" w:sz="0" w:space="0" w:color="auto"/>
                        <w:right w:val="none" w:sz="0" w:space="0" w:color="auto"/>
                      </w:divBdr>
                    </w:div>
                  </w:divsChild>
                </w:div>
                <w:div w:id="180631797">
                  <w:marLeft w:val="0"/>
                  <w:marRight w:val="0"/>
                  <w:marTop w:val="0"/>
                  <w:marBottom w:val="0"/>
                  <w:divBdr>
                    <w:top w:val="none" w:sz="0" w:space="0" w:color="auto"/>
                    <w:left w:val="none" w:sz="0" w:space="0" w:color="auto"/>
                    <w:bottom w:val="none" w:sz="0" w:space="0" w:color="auto"/>
                    <w:right w:val="none" w:sz="0" w:space="0" w:color="auto"/>
                  </w:divBdr>
                  <w:divsChild>
                    <w:div w:id="580336254">
                      <w:marLeft w:val="0"/>
                      <w:marRight w:val="0"/>
                      <w:marTop w:val="0"/>
                      <w:marBottom w:val="0"/>
                      <w:divBdr>
                        <w:top w:val="none" w:sz="0" w:space="0" w:color="auto"/>
                        <w:left w:val="none" w:sz="0" w:space="0" w:color="auto"/>
                        <w:bottom w:val="none" w:sz="0" w:space="0" w:color="auto"/>
                        <w:right w:val="none" w:sz="0" w:space="0" w:color="auto"/>
                      </w:divBdr>
                      <w:divsChild>
                        <w:div w:id="456921290">
                          <w:marLeft w:val="0"/>
                          <w:marRight w:val="0"/>
                          <w:marTop w:val="0"/>
                          <w:marBottom w:val="0"/>
                          <w:divBdr>
                            <w:top w:val="none" w:sz="0" w:space="0" w:color="auto"/>
                            <w:left w:val="none" w:sz="0" w:space="0" w:color="auto"/>
                            <w:bottom w:val="none" w:sz="0" w:space="0" w:color="auto"/>
                            <w:right w:val="none" w:sz="0" w:space="0" w:color="auto"/>
                          </w:divBdr>
                          <w:divsChild>
                            <w:div w:id="18600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720867">
      <w:bodyDiv w:val="1"/>
      <w:marLeft w:val="0"/>
      <w:marRight w:val="0"/>
      <w:marTop w:val="0"/>
      <w:marBottom w:val="0"/>
      <w:divBdr>
        <w:top w:val="none" w:sz="0" w:space="0" w:color="auto"/>
        <w:left w:val="none" w:sz="0" w:space="0" w:color="auto"/>
        <w:bottom w:val="none" w:sz="0" w:space="0" w:color="auto"/>
        <w:right w:val="none" w:sz="0" w:space="0" w:color="auto"/>
      </w:divBdr>
    </w:div>
    <w:div w:id="2122068750">
      <w:bodyDiv w:val="1"/>
      <w:marLeft w:val="0"/>
      <w:marRight w:val="0"/>
      <w:marTop w:val="0"/>
      <w:marBottom w:val="0"/>
      <w:divBdr>
        <w:top w:val="none" w:sz="0" w:space="0" w:color="auto"/>
        <w:left w:val="none" w:sz="0" w:space="0" w:color="auto"/>
        <w:bottom w:val="none" w:sz="0" w:space="0" w:color="auto"/>
        <w:right w:val="none" w:sz="0" w:space="0" w:color="auto"/>
      </w:divBdr>
    </w:div>
    <w:div w:id="2130511006">
      <w:bodyDiv w:val="1"/>
      <w:marLeft w:val="0"/>
      <w:marRight w:val="0"/>
      <w:marTop w:val="0"/>
      <w:marBottom w:val="0"/>
      <w:divBdr>
        <w:top w:val="none" w:sz="0" w:space="0" w:color="auto"/>
        <w:left w:val="none" w:sz="0" w:space="0" w:color="auto"/>
        <w:bottom w:val="none" w:sz="0" w:space="0" w:color="auto"/>
        <w:right w:val="none" w:sz="0" w:space="0" w:color="auto"/>
      </w:divBdr>
    </w:div>
    <w:div w:id="2133162422">
      <w:bodyDiv w:val="1"/>
      <w:marLeft w:val="0"/>
      <w:marRight w:val="0"/>
      <w:marTop w:val="0"/>
      <w:marBottom w:val="0"/>
      <w:divBdr>
        <w:top w:val="none" w:sz="0" w:space="0" w:color="auto"/>
        <w:left w:val="none" w:sz="0" w:space="0" w:color="auto"/>
        <w:bottom w:val="none" w:sz="0" w:space="0" w:color="auto"/>
        <w:right w:val="none" w:sz="0" w:space="0" w:color="auto"/>
      </w:divBdr>
    </w:div>
    <w:div w:id="2135175267">
      <w:bodyDiv w:val="1"/>
      <w:marLeft w:val="0"/>
      <w:marRight w:val="0"/>
      <w:marTop w:val="0"/>
      <w:marBottom w:val="0"/>
      <w:divBdr>
        <w:top w:val="none" w:sz="0" w:space="0" w:color="auto"/>
        <w:left w:val="none" w:sz="0" w:space="0" w:color="auto"/>
        <w:bottom w:val="none" w:sz="0" w:space="0" w:color="auto"/>
        <w:right w:val="none" w:sz="0" w:space="0" w:color="auto"/>
      </w:divBdr>
    </w:div>
    <w:div w:id="2138790389">
      <w:bodyDiv w:val="1"/>
      <w:marLeft w:val="0"/>
      <w:marRight w:val="0"/>
      <w:marTop w:val="0"/>
      <w:marBottom w:val="0"/>
      <w:divBdr>
        <w:top w:val="none" w:sz="0" w:space="0" w:color="auto"/>
        <w:left w:val="none" w:sz="0" w:space="0" w:color="auto"/>
        <w:bottom w:val="none" w:sz="0" w:space="0" w:color="auto"/>
        <w:right w:val="none" w:sz="0" w:space="0" w:color="auto"/>
      </w:divBdr>
    </w:div>
    <w:div w:id="2141150468">
      <w:bodyDiv w:val="1"/>
      <w:marLeft w:val="0"/>
      <w:marRight w:val="0"/>
      <w:marTop w:val="0"/>
      <w:marBottom w:val="0"/>
      <w:divBdr>
        <w:top w:val="none" w:sz="0" w:space="0" w:color="auto"/>
        <w:left w:val="none" w:sz="0" w:space="0" w:color="auto"/>
        <w:bottom w:val="none" w:sz="0" w:space="0" w:color="auto"/>
        <w:right w:val="none" w:sz="0" w:space="0" w:color="auto"/>
      </w:divBdr>
    </w:div>
    <w:div w:id="2142648923">
      <w:bodyDiv w:val="1"/>
      <w:marLeft w:val="0"/>
      <w:marRight w:val="0"/>
      <w:marTop w:val="0"/>
      <w:marBottom w:val="0"/>
      <w:divBdr>
        <w:top w:val="none" w:sz="0" w:space="0" w:color="auto"/>
        <w:left w:val="none" w:sz="0" w:space="0" w:color="auto"/>
        <w:bottom w:val="none" w:sz="0" w:space="0" w:color="auto"/>
        <w:right w:val="none" w:sz="0" w:space="0" w:color="auto"/>
      </w:divBdr>
    </w:div>
    <w:div w:id="214368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21" Type="http://schemas.openxmlformats.org/officeDocument/2006/relationships/image" Target="media/image9.jpg"/><Relationship Id="rId42" Type="http://schemas.openxmlformats.org/officeDocument/2006/relationships/image" Target="media/image30.jpg"/><Relationship Id="rId47" Type="http://schemas.openxmlformats.org/officeDocument/2006/relationships/image" Target="media/image35.jp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image" Target="media/image72.jpg"/><Relationship Id="rId89" Type="http://schemas.openxmlformats.org/officeDocument/2006/relationships/image" Target="media/image77.jpg"/><Relationship Id="rId16" Type="http://schemas.openxmlformats.org/officeDocument/2006/relationships/image" Target="media/image4.jpg"/><Relationship Id="rId11" Type="http://schemas.openxmlformats.org/officeDocument/2006/relationships/footnotes" Target="footnotes.xml"/><Relationship Id="rId32" Type="http://schemas.openxmlformats.org/officeDocument/2006/relationships/image" Target="media/image20.jpg"/><Relationship Id="rId37" Type="http://schemas.openxmlformats.org/officeDocument/2006/relationships/image" Target="media/image25.jpg"/><Relationship Id="rId53" Type="http://schemas.openxmlformats.org/officeDocument/2006/relationships/image" Target="media/image41.jpg"/><Relationship Id="rId58" Type="http://schemas.openxmlformats.org/officeDocument/2006/relationships/image" Target="media/image46.jpg"/><Relationship Id="rId74" Type="http://schemas.openxmlformats.org/officeDocument/2006/relationships/image" Target="media/image62.jpg"/><Relationship Id="rId79" Type="http://schemas.openxmlformats.org/officeDocument/2006/relationships/image" Target="media/image67.jpg"/><Relationship Id="rId5" Type="http://schemas.openxmlformats.org/officeDocument/2006/relationships/customXml" Target="../customXml/item5.xml"/><Relationship Id="rId90" Type="http://schemas.openxmlformats.org/officeDocument/2006/relationships/image" Target="media/image78.png"/><Relationship Id="rId22" Type="http://schemas.openxmlformats.org/officeDocument/2006/relationships/image" Target="media/image10.jpg"/><Relationship Id="rId27" Type="http://schemas.openxmlformats.org/officeDocument/2006/relationships/image" Target="media/image15.jpg"/><Relationship Id="rId43" Type="http://schemas.openxmlformats.org/officeDocument/2006/relationships/image" Target="media/image31.jpg"/><Relationship Id="rId48" Type="http://schemas.openxmlformats.org/officeDocument/2006/relationships/image" Target="media/image36.jpg"/><Relationship Id="rId64" Type="http://schemas.openxmlformats.org/officeDocument/2006/relationships/image" Target="media/image52.jpg"/><Relationship Id="rId69" Type="http://schemas.openxmlformats.org/officeDocument/2006/relationships/image" Target="media/image57.jpg"/><Relationship Id="rId8" Type="http://schemas.openxmlformats.org/officeDocument/2006/relationships/styles" Target="styles.xml"/><Relationship Id="rId51" Type="http://schemas.openxmlformats.org/officeDocument/2006/relationships/image" Target="media/image39.jpg"/><Relationship Id="rId72" Type="http://schemas.openxmlformats.org/officeDocument/2006/relationships/image" Target="media/image60.jpg"/><Relationship Id="rId80" Type="http://schemas.openxmlformats.org/officeDocument/2006/relationships/image" Target="media/image68.jpg"/><Relationship Id="rId85" Type="http://schemas.openxmlformats.org/officeDocument/2006/relationships/image" Target="media/image73.jp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image" Target="media/image34.jpg"/><Relationship Id="rId59" Type="http://schemas.openxmlformats.org/officeDocument/2006/relationships/image" Target="media/image47.jpg"/><Relationship Id="rId67" Type="http://schemas.openxmlformats.org/officeDocument/2006/relationships/image" Target="media/image55.jpg"/><Relationship Id="rId20" Type="http://schemas.openxmlformats.org/officeDocument/2006/relationships/image" Target="media/image8.jpg"/><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image" Target="media/image50.jpg"/><Relationship Id="rId70" Type="http://schemas.openxmlformats.org/officeDocument/2006/relationships/image" Target="media/image58.jpg"/><Relationship Id="rId75" Type="http://schemas.openxmlformats.org/officeDocument/2006/relationships/image" Target="media/image63.jpg"/><Relationship Id="rId83" Type="http://schemas.openxmlformats.org/officeDocument/2006/relationships/image" Target="media/image71.jpg"/><Relationship Id="rId88" Type="http://schemas.openxmlformats.org/officeDocument/2006/relationships/image" Target="media/image76.jpg"/><Relationship Id="rId91" Type="http://schemas.openxmlformats.org/officeDocument/2006/relationships/image" Target="media/image79.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image" Target="media/image45.jpg"/><Relationship Id="rId10" Type="http://schemas.openxmlformats.org/officeDocument/2006/relationships/webSettings" Target="webSettings.xm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g"/><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image" Target="media/image66.jpg"/><Relationship Id="rId81" Type="http://schemas.openxmlformats.org/officeDocument/2006/relationships/image" Target="media/image69.jpg"/><Relationship Id="rId86" Type="http://schemas.openxmlformats.org/officeDocument/2006/relationships/image" Target="media/image74.jp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jpg"/><Relationship Id="rId39" Type="http://schemas.openxmlformats.org/officeDocument/2006/relationships/image" Target="media/image27.jpg"/><Relationship Id="rId34" Type="http://schemas.openxmlformats.org/officeDocument/2006/relationships/image" Target="media/image22.jp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image" Target="media/image64.jpg"/><Relationship Id="rId7" Type="http://schemas.openxmlformats.org/officeDocument/2006/relationships/numbering" Target="numbering.xml"/><Relationship Id="rId71" Type="http://schemas.openxmlformats.org/officeDocument/2006/relationships/image" Target="media/image59.jp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7.jpg"/><Relationship Id="rId24" Type="http://schemas.openxmlformats.org/officeDocument/2006/relationships/image" Target="media/image12.jpg"/><Relationship Id="rId40" Type="http://schemas.openxmlformats.org/officeDocument/2006/relationships/image" Target="media/image28.jpg"/><Relationship Id="rId45" Type="http://schemas.openxmlformats.org/officeDocument/2006/relationships/image" Target="media/image33.jpg"/><Relationship Id="rId66" Type="http://schemas.openxmlformats.org/officeDocument/2006/relationships/image" Target="media/image54.jpg"/><Relationship Id="rId87" Type="http://schemas.openxmlformats.org/officeDocument/2006/relationships/image" Target="media/image75.jpg"/><Relationship Id="rId61" Type="http://schemas.openxmlformats.org/officeDocument/2006/relationships/image" Target="media/image49.jpg"/><Relationship Id="rId82" Type="http://schemas.openxmlformats.org/officeDocument/2006/relationships/image" Target="media/image70.jpg"/><Relationship Id="rId19" Type="http://schemas.openxmlformats.org/officeDocument/2006/relationships/image" Target="media/image7.jpg"/><Relationship Id="rId14" Type="http://schemas.openxmlformats.org/officeDocument/2006/relationships/image" Target="media/image2.png"/><Relationship Id="rId30" Type="http://schemas.openxmlformats.org/officeDocument/2006/relationships/image" Target="media/image18.jpg"/><Relationship Id="rId35" Type="http://schemas.openxmlformats.org/officeDocument/2006/relationships/image" Target="media/image23.jpg"/><Relationship Id="rId56" Type="http://schemas.openxmlformats.org/officeDocument/2006/relationships/image" Target="media/image44.jpg"/><Relationship Id="rId77" Type="http://schemas.openxmlformats.org/officeDocument/2006/relationships/image" Target="media/image65.jpg"/></Relationships>
</file>

<file path=word/_rels/footnotes.xml.rels><?xml version="1.0" encoding="UTF-8" standalone="yes"?>
<Relationships xmlns="http://schemas.openxmlformats.org/package/2006/relationships"><Relationship Id="rId1" Type="http://schemas.openxmlformats.org/officeDocument/2006/relationships/hyperlink" Target="https://www.unodc.org/unodc/data-and-analysis/world-drug-report-202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505</Nr_x002e__x0020_akti>
    <Data_x0020_e_x0020_Krijimit xmlns="0e656187-b300-4fb0-8bf4-3a50f872073c">2026-07-02T06:54:31Z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2026-07-01T00:00:00Z</Date_x0020_protokolli>
    <Titulli xmlns="0e656187-b300-4fb0-8bf4-3a50f872073c">Për miratimin e Strategjisë Kombëtare për Parandalimin dhe Luftën Kundër Krimit të Organizuar dhe Krimeve të Rënda 2026–2030 dhe të planit të veprimit 2026–2028</Titulli>
    <Modifikuesi xmlns="0e656187-b300-4fb0-8bf4-3a50f872073c">alma.lisaku</Modifikuesi>
    <Nr_x002e__x0020_prot_x0020_QBZ xmlns="0e656187-b300-4fb0-8bf4-3a50f872073c">1501</Nr_x002e__x0020_prot_x0020_QBZ>
    <Data_x0020_e_x0020_Modifikimit xmlns="0e656187-b300-4fb0-8bf4-3a50f872073c">2026-07-07T08:13:54Z</Data_x0020_e_x0020_Modifikimit>
    <Dekretuar xmlns="0e656187-b300-4fb0-8bf4-3a50f872073c">false</Dekretuar>
    <Data xmlns="0e656187-b300-4fb0-8bf4-3a50f872073c">2026-06-30T00:00:00Z</Data>
    <Nr_x002e__x0020_protokolli_x0020_i_x0020_aktit xmlns="0e656187-b300-4fb0-8bf4-3a50f872073c">4112/1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A8DC17DF48C746D6A80E1209BAEFF09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A8DC17DF48C746D6A80E1209BAEFF09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3FF56-3C2A-4F47-8B3C-C57F4F206D68}">
  <ds:schemaRefs>
    <ds:schemaRef ds:uri="http://www.w3.org/XML/1998/namespace"/>
    <ds:schemaRef ds:uri="http://schemas.microsoft.com/office/2006/documentManagement/types"/>
    <ds:schemaRef ds:uri="http://purl.org/dc/terms/"/>
    <ds:schemaRef ds:uri="http://schemas.microsoft.com/office/2006/metadata/properties"/>
    <ds:schemaRef ds:uri="0e656187-b300-4fb0-8bf4-3a50f872073c"/>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E7C1E2FA-EE04-461D-8FCF-B1D021DA0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37C0CBF-131F-4419-8E23-2EAD01C5D910}">
  <ds:schemaRefs>
    <ds:schemaRef ds:uri="http://schemas.microsoft.com/sharepoint/v3/contenttype/forms"/>
  </ds:schemaRefs>
</ds:datastoreItem>
</file>

<file path=customXml/itemProps4.xml><?xml version="1.0" encoding="utf-8"?>
<ds:datastoreItem xmlns:ds="http://schemas.openxmlformats.org/officeDocument/2006/customXml" ds:itemID="{06D38CEF-CF04-45D2-83F6-A58CE94B2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CCD286F-D623-4170-9114-153F570108A4}">
  <ds:schemaRefs>
    <ds:schemaRef ds:uri="http://schemas.microsoft.com/sharepoint/v3/contenttype/forms"/>
  </ds:schemaRefs>
</ds:datastoreItem>
</file>

<file path=customXml/itemProps6.xml><?xml version="1.0" encoding="utf-8"?>
<ds:datastoreItem xmlns:ds="http://schemas.openxmlformats.org/officeDocument/2006/customXml" ds:itemID="{0702F2B9-09F0-4E40-AC31-72E374BF94BB}">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414</TotalTime>
  <Pages>213</Pages>
  <Words>100882</Words>
  <Characters>575031</Characters>
  <Application>Microsoft Office Word</Application>
  <DocSecurity>0</DocSecurity>
  <Lines>4791</Lines>
  <Paragraphs>1349</Paragraphs>
  <ScaleCrop>false</ScaleCrop>
  <HeadingPairs>
    <vt:vector size="2" baseType="variant">
      <vt:variant>
        <vt:lpstr>Title</vt:lpstr>
      </vt:variant>
      <vt:variant>
        <vt:i4>1</vt:i4>
      </vt:variant>
    </vt:vector>
  </HeadingPairs>
  <TitlesOfParts>
    <vt:vector size="1" baseType="lpstr">
      <vt:lpstr>Për miratimin e Strategjisë Kombëtare për Parandalimin dhe Luftën Kundër Krimit të Organizuar dhe Krimeve të Rënda 2026–2030 dhe të planit të veprimit 2026–2028</vt:lpstr>
    </vt:vector>
  </TitlesOfParts>
  <Company/>
  <LinksUpToDate>false</LinksUpToDate>
  <CharactersWithSpaces>674564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Strategjisë Kombëtare për Parandalimin dhe Luftën Kundër Krimit të Organizuar dhe Krimeve të Rënda 2026–2030 dhe të planit të veprimit 2026–2028</dc:title>
  <dc:creator>user</dc:creator>
  <cp:lastModifiedBy>Amarilda Muja</cp:lastModifiedBy>
  <cp:revision>146</cp:revision>
  <cp:lastPrinted>2026-06-17T15:34:00Z</cp:lastPrinted>
  <dcterms:created xsi:type="dcterms:W3CDTF">2026-06-26T11:30:00Z</dcterms:created>
  <dcterms:modified xsi:type="dcterms:W3CDTF">2026-07-07T09:04:00Z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e5c46518-589d-4cb4-a5fb-62df43a005fe</vt:lpwstr>
  </property>
  <property fmtid="{D5CDD505-2E9C-101B-9397-08002B2CF9AE}" pid="3" name="ContentTypeId">
    <vt:lpwstr>0x0101002967DC8EAE6BB44C89C657B165A9D8DD</vt:lpwstr>
  </property>
</Properties>
</file>