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A92F" w14:textId="52C65B63" w:rsidR="009357A1" w:rsidRPr="00B62E41" w:rsidRDefault="009357A1" w:rsidP="009357A1">
      <w:pPr>
        <w:jc w:val="both"/>
        <w:rPr>
          <w:rFonts w:ascii="Times New Roman" w:hAnsi="Times New Roman" w:cs="Times New Roman"/>
          <w:b/>
          <w:bCs/>
          <w:sz w:val="28"/>
          <w:szCs w:val="28"/>
          <w:lang w:val="sq-AL"/>
        </w:rPr>
      </w:pPr>
      <w:r w:rsidRPr="00B62E41">
        <w:rPr>
          <w:rFonts w:ascii="Times New Roman" w:hAnsi="Times New Roman" w:cs="Times New Roman"/>
          <w:b/>
          <w:bCs/>
          <w:sz w:val="28"/>
          <w:szCs w:val="28"/>
          <w:lang w:val="sq-AL"/>
        </w:rPr>
        <w:t xml:space="preserve">Konferenca për </w:t>
      </w:r>
      <w:r w:rsidR="00B62E41">
        <w:rPr>
          <w:rFonts w:ascii="Times New Roman" w:hAnsi="Times New Roman" w:cs="Times New Roman"/>
          <w:b/>
          <w:bCs/>
          <w:sz w:val="28"/>
          <w:szCs w:val="28"/>
          <w:lang w:val="sq-AL"/>
        </w:rPr>
        <w:t>media – Ministrja e Punëve të Brendshme</w:t>
      </w:r>
    </w:p>
    <w:p w14:paraId="6E0750E1" w14:textId="11B4ADFA"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Përshëndetje të gjithëve</w:t>
      </w:r>
      <w:r w:rsidRPr="00B62E41">
        <w:rPr>
          <w:rFonts w:ascii="Times New Roman" w:hAnsi="Times New Roman" w:cs="Times New Roman"/>
          <w:sz w:val="28"/>
          <w:szCs w:val="28"/>
          <w:lang w:val="sq-AL"/>
        </w:rPr>
        <w:t>,</w:t>
      </w:r>
    </w:p>
    <w:p w14:paraId="29B6BBA7"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Shumë faleminderit për prezencën. E di që sot është një ditë e ngjeshur për të gjithë por nga ana tjetër është një mundësi shumë e mirë për të zhvilluar një komunikim bashkërisht lidhur me ato që konsiderohen prioritetet e MPB dhe sigurisht që komunikime të tilla do t’i kemi në mënyrë periodike në vazhdim.</w:t>
      </w:r>
    </w:p>
    <w:p w14:paraId="6249CF81"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Do të kemi komunikime periodike duke pasur në fokus qytetarin, shërbimet ndaj tij, transparencën dhe komunikimin me publikun.</w:t>
      </w:r>
    </w:p>
    <w:p w14:paraId="5BF973F1" w14:textId="6551398C"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Dua ta nis me një nga ato që konsiderohen funksione kryesore të këtij institucioni, e nga ana tjetër edhe një qasje apo model i ri pikërisht trajtimin e pasurive të sekuestruara nga krimi, apo të aseteve të cilat janë vendosur në mënyrë të pa ligjshme, janë krijuar në mënyrë të pa ligjshme.</w:t>
      </w:r>
      <w:r w:rsidR="00B62E41">
        <w:rPr>
          <w:rFonts w:ascii="Times New Roman" w:hAnsi="Times New Roman" w:cs="Times New Roman"/>
          <w:sz w:val="28"/>
          <w:szCs w:val="28"/>
          <w:lang w:val="sq-AL"/>
        </w:rPr>
        <w:t xml:space="preserve"> </w:t>
      </w:r>
      <w:r w:rsidRPr="00B62E41">
        <w:rPr>
          <w:rFonts w:ascii="Times New Roman" w:hAnsi="Times New Roman" w:cs="Times New Roman"/>
          <w:sz w:val="28"/>
          <w:szCs w:val="28"/>
          <w:lang w:val="sq-AL"/>
        </w:rPr>
        <w:t>Dhe në mënyrën se si jemi e qasur këtë asset këtë pasuri, në dobi dhe në funksion të qytetarëve dhe nevojave të komuniteteve.</w:t>
      </w:r>
    </w:p>
    <w:p w14:paraId="725405D4" w14:textId="5B831760"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Do të doja në fakt ta sillja dhe në këtë komunikim të parë pikërisht edhe për faktin që deri pak vite më parë nuk kemi patur një kuadër ligjor i cili të na mundësonte një trajtim ndryshe apo një trajtim i cili i jep mundësi  që këto pasuri, këto asete të vendosur në mënyrë kriminale, të mund të transferohen tek ata që kanë më shumë nevojë, te viktimat e krimit, te familjet dhe ata që kanë vuajtur më shumë pasojat e këtyre veprimtarive.</w:t>
      </w:r>
    </w:p>
    <w:p w14:paraId="1C70885C"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Në fakt është AAPSK tashmë në një bashkëpunim do të thoja shumë të mirë edhe me organe ligjzbatuese, dhe me prokuroritë e juridiksionit të përgjithshëm, dhe me SPAK dhe me BKH, ka bërë të mundur që të krijojë pikërisht këtë mënyrë të re të qasjes sa i përket këtyre lloj pasurive.</w:t>
      </w:r>
    </w:p>
    <w:p w14:paraId="242BEC18" w14:textId="2BBDB8BC"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Dhe për t’ju bërë një historik lidhur me çfarë ka ndodhur vetëm gjatë vitit të shkuar; mjafton të përmendim që kemi 65 milionë euro pasuri dhe asete të sekuestruara, të konfiskuara, të cilat në bashkëpunim me këto struktura tashmë do të administrohen në shërbim dhe për nevoja të komuniteteve.</w:t>
      </w:r>
    </w:p>
    <w:p w14:paraId="440D10D0"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 xml:space="preserve">Është sigurisht një nga shifrat më të larta që kemi patur mundësinë ta heqim nga duart e krimit, dhe sigurisht që nuk është rastësi, por tregon dhe mënyrën se si kemi </w:t>
      </w:r>
      <w:r w:rsidRPr="00B62E41">
        <w:rPr>
          <w:rFonts w:ascii="Times New Roman" w:hAnsi="Times New Roman" w:cs="Times New Roman"/>
          <w:sz w:val="28"/>
          <w:szCs w:val="28"/>
          <w:lang w:val="sq-AL"/>
        </w:rPr>
        <w:lastRenderedPageBreak/>
        <w:t>proceduar, po patjetër forcimin e kapaciteteve tona, qoftë atyre reale, qoftë atyre virtuale për t’i vënë këto pasuri në funksion të komuniteteve vulnerable.</w:t>
      </w:r>
    </w:p>
    <w:p w14:paraId="444AC8F7"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Ndërkohë  ajo që do të doja të ndaja me ju janë dhe disa shifra, mjafton të them që janë vetëm gjatë vitit 2025, 726 pasuri me një vlerë të përgjithshme prej 6 miliardë lekësh dhe prej tyre, konfiskuar 64 pasuri, të cilat kanë kontribuar në mbështetjen e 15 projekteve me impakt të drejtpërdrejtë social dhe shërbimeve direkte tek familjet dhe komunitetet vulnerable.</w:t>
      </w:r>
    </w:p>
    <w:p w14:paraId="040C7790"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Gjithashtu po këto asete apo po këto pasuri janë vendosur dhe në funksion të institucioneve publike duke shërbyer drejtpërdrejt për mirëfunksionimin dhe organizimin e tyre, dhe janë plot 20 institucione publike që kanë përfituar nga këto asete.</w:t>
      </w:r>
    </w:p>
    <w:p w14:paraId="6D537BE4"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Patjetër që siç e thashë krijimi i një baze të mirë dhe të qartë ligjore na ka mundësuar gjithashtu këto asete t’i vendosim dhe në dispozicion të pushtetit vendor, me qëllim që vetë bashkitë t’i adresojnë këto sipërfaqe të konsiderueshme asetesh për strehim social.</w:t>
      </w:r>
    </w:p>
    <w:p w14:paraId="36C4DCF4"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Është një nga problematikat që shpesh bashkitë e kanë ngritur si shqetësim me qëllim krijimin e sipërfaqeve apo ambjenteve, të cilat vihen në dispozicion të strehimit social.</w:t>
      </w:r>
    </w:p>
    <w:p w14:paraId="395D51AF"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Kështu që duke sjellë prapë edhe këtu në vëmendje një qasje  më të fundit, atë të thirjes që bëra për OJF-të të cilat ushtrojnë aktivitet në fushën e shërbimeve sociale  pikërisht në komunitetet vulnerable. Thirja më e fundit i fton këto organizata për të shërbyer dhe për të sjellë ide se si mund të përfshijnë në fakt, edhe vetë ata që kanë vuajtur, pra familjarët e viktimat e krimit dhe dhunës, si mund të përfshihen në projekte me karakter social me qëllim që të integrohen në jetë, dhe të fillojnë të aftësohen në përditshmërinë e tyre.</w:t>
      </w:r>
    </w:p>
    <w:p w14:paraId="4C1386A2"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Të tilla projekte nuk do të jenë as të parat, as të fundit, do të vijojmë të sjellim larmishmëri të mënyrës  se si asetet e krimit përdoren.</w:t>
      </w:r>
    </w:p>
    <w:p w14:paraId="2420C973"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Dhe besoj që kjo është një qasje, e cila do të jetë dhe do të vijojë për shumë kohë do të jetë në prioritetet e MPB.</w:t>
      </w:r>
    </w:p>
    <w:p w14:paraId="6D509EDC" w14:textId="39DD2504"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 xml:space="preserve">Do të doja këtu në fakt të theksoja dhe diçka tjetër që po këto asete po këto pasuri kemi vendosur t’i vëmë dhe në dispozicion të familjeve, të cilat kanë një dëshmor </w:t>
      </w:r>
      <w:r w:rsidRPr="00B62E41">
        <w:rPr>
          <w:rFonts w:ascii="Times New Roman" w:hAnsi="Times New Roman" w:cs="Times New Roman"/>
          <w:sz w:val="28"/>
          <w:szCs w:val="28"/>
          <w:lang w:val="sq-AL"/>
        </w:rPr>
        <w:lastRenderedPageBreak/>
        <w:t>apo një punonjës policie, që ka humbur jetën në detyrë.</w:t>
      </w:r>
      <w:r w:rsidRPr="00B62E41">
        <w:rPr>
          <w:rFonts w:ascii="Times New Roman" w:hAnsi="Times New Roman" w:cs="Times New Roman"/>
          <w:sz w:val="28"/>
          <w:szCs w:val="28"/>
          <w:lang w:val="sq-AL"/>
        </w:rPr>
        <w:t xml:space="preserve"> </w:t>
      </w:r>
      <w:r w:rsidRPr="00B62E41">
        <w:rPr>
          <w:rFonts w:ascii="Times New Roman" w:hAnsi="Times New Roman" w:cs="Times New Roman"/>
          <w:sz w:val="28"/>
          <w:szCs w:val="28"/>
          <w:lang w:val="sq-AL"/>
        </w:rPr>
        <w:t>Është pikërisht detyrimi ligjor për t’u ofruar banesë falas këtyre familjeve, dhe këto asete do të shërbejnë pikërisht edhe për këtë, pra për të mbështetur familjet e policëve të rënë në krye të detyrës.</w:t>
      </w:r>
    </w:p>
    <w:p w14:paraId="48EB6086" w14:textId="4213BFA5"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 xml:space="preserve">Ndërkohë që një pikë tjetër e rëndësishme dhe që përfshin po këtë ministri, është rregullimi  i teritorit, i cili gjithashtu është një problematikë e konstatuar shpesh me një sërë çështjesh të cilat vijnë në vëmendje sa herë që IKMT del në terren për të konstatuar paligjshmëri. Apo në rastet kur konstatojmë zaptime jo të rregullta të hapësirave publike. </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shtë një problematikë e cila shpesh ka konstatuar dhe në konflikt mes qytetarëve dhe institucioneve. Dhe një problematikë të cilën së fundi e adresuam me një paketë ligjore, e cila u miratua në tetor të vitit që shkoi, e cila nuk kishte për qëllim vetëm adresimin e kësaj çështjeje, por sigurisht kishte dhe në fokus  ndërgjegjësimin e gjithë atyre që merren që punojnë në fushën e ndërtimit,  që nga projektuesit, ndërtuesit, zbatuesit, por patjetër dhe institucionet që kanë detyrë të mbikëqyrin dhe monitorojnë territorin.</w:t>
      </w:r>
    </w:p>
    <w:p w14:paraId="08E2BF3D"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Dhe në fund qytetarët, cilët duan të blejnë një pronë dhe duan që atë pronë ta gëzojnë ashtu si kundër kanë parë projektin, kanë bërë financimin, kanë marrë letrat deri në fund tek marrja e hipotekës.</w:t>
      </w:r>
    </w:p>
    <w:p w14:paraId="7DCF305E"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Për të gjithë këtë cikël apo zinxhir të themi, institucionesh dhe njerëzish të përfshirë, ndryshimet më të fundit në bazën ligjore bëjnë të qartë përgjegjësitë e gjithsecilit.</w:t>
      </w:r>
    </w:p>
    <w:p w14:paraId="107F829C"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Nisur dhe nga fakti që monitorimi i territorit krijon një precedencë për të pasur një mbikëqyrje të institucioneve tona më të shtrirë në territor, duke konsideruar që kemi dhe bashkitë të përfshira në këtë proces, kemi iniciuar një bazë ligjore, e cila do të ndryshojë së shpejti. Ka të bëjë riorganizimin e IKMT, me riorganizimin e Policisë Bashkiake, me riorganizimin e Prefektit të Qarkut, që janë tre institucionet do të thoja unë që kanë një rol shumë të rëndësishëm kur vjen puna e kontrollit dhe mbikëqyrjes së territorit.</w:t>
      </w:r>
    </w:p>
    <w:p w14:paraId="06C242EA"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Pra krahas atij legjislacioni që ndryshuam vitin që shkoi në fund të tetorit, i shtohet tashmë përgjegjësia dhe këtyre tre institucioneve për të shërbyer me plane konkrete sa i përket kontrollit dhe monitorimit të territorit.</w:t>
      </w:r>
    </w:p>
    <w:p w14:paraId="658DACE0"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Dhe nëse do ta nis me IKMT, ajo që do duhet të theksoj është fakti që deri më tani është bërë një punë e lavdërueshme nëse u referohemi shifrave.</w:t>
      </w:r>
    </w:p>
    <w:p w14:paraId="072DEB1D"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lastRenderedPageBreak/>
        <w:t>Në total ka një vlerësim për evidentimin e mbi 252 subjekteve që kanë shkelur specifikimet e lejeve të tyre të ndërtimit. Ka 447 ndërtime apo shtesa të prishura deri më tani, dhe masa administrative apo gjoba të vendosura përafërsisht në vlerën 12 milionë euro.</w:t>
      </w:r>
    </w:p>
    <w:p w14:paraId="2110E546" w14:textId="31862B1F"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Por sigurisht që</w:t>
      </w:r>
      <w:r w:rsidRPr="00B62E41">
        <w:rPr>
          <w:rFonts w:ascii="Times New Roman" w:hAnsi="Times New Roman" w:cs="Times New Roman"/>
          <w:sz w:val="28"/>
          <w:szCs w:val="28"/>
          <w:lang w:val="sq-AL"/>
        </w:rPr>
        <w:t xml:space="preserve"> </w:t>
      </w:r>
      <w:r w:rsidRPr="00B62E41">
        <w:rPr>
          <w:rFonts w:ascii="Times New Roman" w:hAnsi="Times New Roman" w:cs="Times New Roman"/>
          <w:sz w:val="28"/>
          <w:szCs w:val="28"/>
          <w:lang w:val="sq-AL"/>
        </w:rPr>
        <w:t>përtej këtij fakti, baza e re ligjore në fuqi na ka dhënë mundësinë dhe të konfiskojmë edhe shtesat apo ndërtimet pa leje, të cilat siç e thashë do të vihen në funksion të bashkive për të ofruar strehim social.</w:t>
      </w:r>
    </w:p>
    <w:p w14:paraId="635D02F4" w14:textId="037B6F30" w:rsidR="004C2569"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Ndërkohë që patjetër e rëndësishme në kontrollin dhe monitorimin e  territorit është edhe bashkëpunimi mes qytetarit dhe shtetit pra, institucioneve dhe për këtë arsye, në platformë e-albania, është vendosur një hapësirë apo  një rubrikë e dedikuar, e quajtur “Hap</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sira ime publike”, e cila i jep mund</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sin</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 xml:space="preserve"> e nd</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rveprimit me secilin qytetar q</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 xml:space="preserve"> ka nj</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 xml:space="preserve"> shq</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t</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sim apo konstaton nj</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 xml:space="preserve"> parregullsi n</w:t>
      </w:r>
      <w:r w:rsidRPr="00B62E41">
        <w:rPr>
          <w:rFonts w:ascii="Times New Roman" w:hAnsi="Times New Roman" w:cs="Times New Roman"/>
          <w:sz w:val="28"/>
          <w:szCs w:val="28"/>
          <w:lang w:val="sq-AL"/>
        </w:rPr>
        <w:t>ë</w:t>
      </w:r>
      <w:r w:rsidRPr="00B62E41">
        <w:rPr>
          <w:rFonts w:ascii="Times New Roman" w:hAnsi="Times New Roman" w:cs="Times New Roman"/>
          <w:sz w:val="28"/>
          <w:szCs w:val="28"/>
          <w:lang w:val="sq-AL"/>
        </w:rPr>
        <w:t xml:space="preserve"> territor.</w:t>
      </w:r>
    </w:p>
    <w:p w14:paraId="09EB936E" w14:textId="50590563"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Dhe nëse do ta nis me IKMT, ajo që do duhet të theksoj është fakti që deri më tani është bërë një punë e lavdërueshme nëse u referohemi shifrave.</w:t>
      </w:r>
    </w:p>
    <w:p w14:paraId="2A4C2E16" w14:textId="0230836E"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Në total ka një vlerësim për evidentimin e mbi 252 subjekteve që kanë shkelur specifikimet e lejeve të tyre të ndërtimit. Ka 447 ndërtime apo shtesa të prishura deri më tani, dhe masa administrative apo gjoba të vendosura përafërsisht në vlerën 12 milionë euro.</w:t>
      </w:r>
    </w:p>
    <w:p w14:paraId="4790DD2E" w14:textId="7777777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Por sigurisht që përtej këtij fakti, baza e re ligjore në fuqi na ka dhënë mundësinë dhe të konfiskojmë edhe shtesat apo ndërtimet pa leje, të cilat siç e thashë do të vihen në funksion të bashkive për të ofruar strehim social.</w:t>
      </w:r>
    </w:p>
    <w:p w14:paraId="16DE9984" w14:textId="021DABCE"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Ndërkohë që patjetër e rëndësishme në kontrollin dhe monitorimin e  territorit është edhe bashkëpunimi mes qytetarit dhe shtetit pra, institucioneve dhe për këtë arsye, në platformë e-albania, është vendosur një hapësirë apo  një rubrikë e dedikuar, e quajtur “Hapësira ime publike”, e cila i jep mundësinë e ndërveprimit me secilin qytetar që ka një shqetësim apo konstaton një parregullsi në territor.</w:t>
      </w:r>
    </w:p>
    <w:p w14:paraId="66C143FA" w14:textId="01D16FC9"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Nga njëra ana janë institucionet e nga ana tjetër janë qytetarët, ata që janë drejtpërdrejt në kontakt të përditshëm e fare mirë janë ndihmues apo aleatë tanë në këtë proces dhe nëse do t’u referohesha shifrave, janë 18 mijë raste të denoncuara nga ana e qytetarëve dhe mbi 14 mijë raste të zgjidhura e 4000 janë ende në proces.</w:t>
      </w:r>
    </w:p>
    <w:p w14:paraId="5044F040" w14:textId="3AAA29FC"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lastRenderedPageBreak/>
        <w:t>I thashë shifrat pikërisht për të evidentuar e sjellë në vëmendje patjetër territori do të vijojë të mbetet një nga funksionet të cilën ne do të duhet ta qasim me institucione të forta, më të kapacituara, më profesionale, prandaj e thashë në fillim iniciativa për të rishikuar legjislacionin mbi mënyrën e riorganizimit dhe funksionimit të IKMT, të policive bashkiake, por edhe të prefektit të qarkut është gjithashtu e domosdoshme për të garantuar që edhe këto institucione luajnë rolin e tyre sa i përket koordinimit dhe monitorimit në territor.</w:t>
      </w:r>
    </w:p>
    <w:p w14:paraId="45899BC8" w14:textId="26977005"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 xml:space="preserve">Policia </w:t>
      </w:r>
      <w:r w:rsidRPr="00B62E41">
        <w:rPr>
          <w:rFonts w:ascii="Times New Roman" w:hAnsi="Times New Roman" w:cs="Times New Roman"/>
          <w:sz w:val="28"/>
          <w:szCs w:val="28"/>
          <w:lang w:val="sq-AL"/>
        </w:rPr>
        <w:t>B</w:t>
      </w:r>
      <w:r w:rsidRPr="00B62E41">
        <w:rPr>
          <w:rFonts w:ascii="Times New Roman" w:hAnsi="Times New Roman" w:cs="Times New Roman"/>
          <w:sz w:val="28"/>
          <w:szCs w:val="28"/>
          <w:lang w:val="sq-AL"/>
        </w:rPr>
        <w:t>ashkiake, krahas rendit dhe sigurisë në qytet ka edhe një funksion të shtuar sa i përket kontrollit të territorit. Kemi sjellë në këtë ndryshim ligjor, një forcim të kapaciteteve të Policisë Bashkiake duke i standardizuar mënyrat e rekrutimit, trajnimet, protokollet e punës. Sigurisht Policia Bashkiake do të funksionojë dhe organizohet pranë bashkive, por duke parë e funksionuar mbi bazën e një protokolli të unifikuar.</w:t>
      </w:r>
    </w:p>
    <w:p w14:paraId="2AA45330" w14:textId="0AF9BDBA"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Prefekti i qarkut, me një rol të shtuar në monitorimin e territorit, të gjithë e dinë punën e jashtëzakonshme që prefektët kanë luajtur në rastet e emergjencave civile, e treguan me rolin e tyre koordinues edhe në situatën e përmbytjeve në fillim të këtij viti, në muajin janar, ndërkohë edhe në koordinimin me institucionet lokale, edhe me vlerësimin e dëmeve që u shkaktuan nga përmbytjet; tashmë do të marrin edhe një rol koordinues me institucionet që monitorojnë dhe kontrollojnë territoret.</w:t>
      </w:r>
    </w:p>
    <w:p w14:paraId="2430E0C3" w14:textId="4754B6DB"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Mendojmë që të tre këto ligje duke forcuar mënyrën e organizimit, funksionimit dhe të përgjegjësive që marrin përsipër, do të sjellin një vlerë të shtuar sa i përket funksionimit të MPB, duke qenë “syri dhe veshi” i kësaj ministrie në territor.</w:t>
      </w:r>
    </w:p>
    <w:p w14:paraId="52778CF5" w14:textId="10543ECB"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Janë 3 akte ligjore të cilat kanë përfunduar procesin e konsultimit publik. Tani do të kryejnë prcodurën e duhur administrative për t’i drejtuar Kuvendit për miratim.</w:t>
      </w:r>
    </w:p>
    <w:p w14:paraId="50F21EAC" w14:textId="33E6B7AC"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Nuk mund të lë këtu pa përmendur edhe një funksion tjetër të rëndësishëm i cili shkon në vazhdën e koordinimit në territor dhe është pikërisht sistemi i adresave. Eshtë një nga ato “punët e brendshme” të Ministrisë së Punëve të Brendshme që megjithë përpjekjet disavjeçare që janë bërë, ende sot kemi një sistem adresash i cili nuk është plotësisht funksional, ose aspak funksional. E thënë kjo, patjetër që për të ofruar shërbime më të mira për qytetarët, për të komunikuar dhe për të koordinuar më mirë mes institucioneve tona, një sistem më i saktë adresash është i domosdoshëm.</w:t>
      </w:r>
    </w:p>
    <w:p w14:paraId="66C4716E" w14:textId="244A8CD4"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lastRenderedPageBreak/>
        <w:t>Pikërisht për këtë, duke e konsideruara gjithashtu një nga prioritetet e kësaj ministrie, kemi nisur punën me bashkitë për të rishikuar planet e tyre vendore, sistemin e emërtimit të rrugëve brenda bashkive dhe për t’i futur të gjitha këto në një analizë të detajuar me qëllim që të kuptojmë cilat janë ato institucione të cilat do të mbartin përgjegjësinë e tyre për të populluar sistemin e adresave, i cili aktualisht i plotëson të gjitha parametrat e duhur por sfidë ka popullimin, pra hedhjen e të dhënave. Në këtë ndërmarrje apo nismë është patjetër punë e përgjegjësi e të gjithë institucioneve, duke nisur nga bashkitë dhe në koordinim shumë të mirë edhe me institucione të tjera siç janë kadastra, njësitë e urbanistikës nëpër bashki e patjetër edhe Ministri për Pushtetin Vendor që do të koordinojmë bashkërisht për të vijuar popullimin e për të mos pasur atë problematikë që e ndeshim të gjithë kur i referohemi një vendndodhjeje të caktuar, duke iu drejtuar me shenja apo me emërtesa të përditshme që na kanë treguar më përpara kur vjen puna te mënyra si orientohemi në terren.</w:t>
      </w:r>
    </w:p>
    <w:p w14:paraId="5A6532BE" w14:textId="5B09577D"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Doja të sillja këtu edhe një funksion tjetër që është i organizuar në MPB dhe është pikërisht Shërbimi Zjarrfikës, një shërbim që merr domethënie të jashtëzakonshme kur vjen puna te sezoni i verës, të zjarret masive. Zjarrfikësit janë ata që përballen me një situatë të vështirë në momente të caktuara. Janë një shërbim që kërkon gjithashtu një kapacitim të shtuar duke nisur edhe nga ndryshime klimaterike që janë bërë evidente dhe rajoni është përballur shpeshherë me sfida klimaterike. Zjarrfikësit do të duhet të fuqizohen e pikërisht për këtë, përveç fuqizimit me instrumente ligjorë, jemi duke punuar për të sjellë në jetë edhe akademinë profesionale të formimit dhe kapacitimit të tyre, duke konsideruar këtu gjithmonë që funksioni i tyre nëpër bashki është një funksion i cili duhet të mbështetet për aq kohë sa kemi bashki të cilat janë bashki të vogla pra nuk kanë kapacitete të mjaftueshme por shpesh herë kanë treguar që për sa i përket fenomeneve të zjarreve në stinën e nxehtë, janë bashki që preken më së shumti.</w:t>
      </w:r>
    </w:p>
    <w:p w14:paraId="1875FF10" w14:textId="106E324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Organizimi në një nivel rajonal ku disa bashki bëhen bashkë por që gjithmonë koordinohen përmes një institucioni qendror,  do të jetë gjithashtu në fokus për të sjellë edhe protokolle të unifikuara dhe një staf të rekrutuar sipas parametrave dhe kapacitim të shtuar sa u përket automjeteve, pajisjeve në dispozicion dhe mënyrës se si operojnë në terren.</w:t>
      </w:r>
    </w:p>
    <w:p w14:paraId="2967CD0E" w14:textId="35210F69"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 xml:space="preserve">Doja ta mbyllja këtë prezantim me një lajm të mirë që ka të bëjë me faktin që në mbledhjen e radhës së Këshillit të Ministrave, kemi propozuar një rritje të re pagash, </w:t>
      </w:r>
      <w:r w:rsidRPr="00B62E41">
        <w:rPr>
          <w:rFonts w:ascii="Times New Roman" w:hAnsi="Times New Roman" w:cs="Times New Roman"/>
          <w:sz w:val="28"/>
          <w:szCs w:val="28"/>
          <w:lang w:val="sq-AL"/>
        </w:rPr>
        <w:lastRenderedPageBreak/>
        <w:t>sa u përket punonjësve apo efektivëve të Policisë së Shtetit. Janë rreth 720 punonjës të PSH të cilët do të përfitojnë një rritje të mëtejshme page dhe është një rritje që shpërblen direkt të gjithë ata efektivë punonjës të PSH që përballen e janë në vijën e parë të rrezikshmërisë me të gjithë ata që kryejnë vepra të rrezikshmërisë së lartë shoqërore.</w:t>
      </w:r>
    </w:p>
    <w:p w14:paraId="3A7DED28" w14:textId="6E8B756D"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Bëhet fjalë për tre struktura të rëndësishëm siç janë forcat RENEA, Forcat Kombëtare të Sigurisë dhe Forca e Posaçme Operacionale.</w:t>
      </w:r>
    </w:p>
    <w:p w14:paraId="73D8E6D2" w14:textId="7724DA2B"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Është një fond pagash i parashikuar në buxhetin e vitit 2026, shkon në linjë dhe me rritjen e pagave që efektivët e PSH, të Gardës së Republikës, por edhe gjithë MPB morën në fillim të vitit. Ndërkohë që me rritjen që këto kategori marrin tani, mjafton të them që një inspektor i thjeshtë në RENEA kalon pothuajse në një pagë 1600 euro ndërsa për një drejtues në RENEA, në një vlerë 2300 euro.</w:t>
      </w:r>
    </w:p>
    <w:p w14:paraId="4337F848" w14:textId="5BD2A253"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Gjithashtu edhe për Forcat Operacionale, grada inspektor paguhet rreth 1200 euro ndërsa grada kryekomisar 1600-1700 euro.</w:t>
      </w:r>
    </w:p>
    <w:p w14:paraId="06C5AAD5" w14:textId="29F04317" w:rsidR="009357A1" w:rsidRPr="00B62E41" w:rsidRDefault="009357A1" w:rsidP="009357A1">
      <w:pPr>
        <w:jc w:val="both"/>
        <w:rPr>
          <w:rFonts w:ascii="Times New Roman" w:hAnsi="Times New Roman" w:cs="Times New Roman"/>
          <w:sz w:val="28"/>
          <w:szCs w:val="28"/>
          <w:lang w:val="sq-AL"/>
        </w:rPr>
      </w:pPr>
      <w:r w:rsidRPr="00B62E41">
        <w:rPr>
          <w:rFonts w:ascii="Times New Roman" w:hAnsi="Times New Roman" w:cs="Times New Roman"/>
          <w:sz w:val="28"/>
          <w:szCs w:val="28"/>
          <w:lang w:val="sq-AL"/>
        </w:rPr>
        <w:t>Eshtë një politikë rritje page e cila e tregon me vepra mbështetjen që u japim punonjësve të PSH të cilët përballen dhe kryejnë një punë të jashtëzakonshme sidomos sa u përket funksioneve operacionale dhe nga ana tjetër është një rritje pagash e cila mundëson mbajtjen dhe ruajtjen e efektivëve më të mirë në këto trupa policore.</w:t>
      </w:r>
    </w:p>
    <w:sectPr w:rsidR="009357A1" w:rsidRPr="00B62E4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B686" w14:textId="77777777" w:rsidR="009357A1" w:rsidRDefault="009357A1" w:rsidP="009357A1">
      <w:pPr>
        <w:spacing w:after="0" w:line="240" w:lineRule="auto"/>
      </w:pPr>
      <w:r>
        <w:separator/>
      </w:r>
    </w:p>
  </w:endnote>
  <w:endnote w:type="continuationSeparator" w:id="0">
    <w:p w14:paraId="065CA50A" w14:textId="77777777" w:rsidR="009357A1" w:rsidRDefault="009357A1" w:rsidP="0093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972353"/>
      <w:docPartObj>
        <w:docPartGallery w:val="Page Numbers (Bottom of Page)"/>
        <w:docPartUnique/>
      </w:docPartObj>
    </w:sdtPr>
    <w:sdtEndPr>
      <w:rPr>
        <w:noProof/>
      </w:rPr>
    </w:sdtEndPr>
    <w:sdtContent>
      <w:p w14:paraId="31088F76" w14:textId="00169C4B" w:rsidR="009357A1" w:rsidRDefault="009357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AD625E" w14:textId="77777777" w:rsidR="009357A1" w:rsidRDefault="0093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F79E" w14:textId="77777777" w:rsidR="009357A1" w:rsidRDefault="009357A1" w:rsidP="009357A1">
      <w:pPr>
        <w:spacing w:after="0" w:line="240" w:lineRule="auto"/>
      </w:pPr>
      <w:r>
        <w:separator/>
      </w:r>
    </w:p>
  </w:footnote>
  <w:footnote w:type="continuationSeparator" w:id="0">
    <w:p w14:paraId="356EA69C" w14:textId="77777777" w:rsidR="009357A1" w:rsidRDefault="009357A1" w:rsidP="00935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2B"/>
    <w:rsid w:val="0000332B"/>
    <w:rsid w:val="003642D8"/>
    <w:rsid w:val="004C2569"/>
    <w:rsid w:val="00933565"/>
    <w:rsid w:val="009357A1"/>
    <w:rsid w:val="00B6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1A95"/>
  <w15:chartTrackingRefBased/>
  <w15:docId w15:val="{05473932-0185-4CF8-9B58-871AE0F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32B"/>
    <w:rPr>
      <w:rFonts w:eastAsiaTheme="majorEastAsia" w:cstheme="majorBidi"/>
      <w:color w:val="272727" w:themeColor="text1" w:themeTint="D8"/>
    </w:rPr>
  </w:style>
  <w:style w:type="paragraph" w:styleId="Title">
    <w:name w:val="Title"/>
    <w:basedOn w:val="Normal"/>
    <w:next w:val="Normal"/>
    <w:link w:val="TitleChar"/>
    <w:uiPriority w:val="10"/>
    <w:qFormat/>
    <w:rsid w:val="00003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32B"/>
    <w:pPr>
      <w:spacing w:before="160"/>
      <w:jc w:val="center"/>
    </w:pPr>
    <w:rPr>
      <w:i/>
      <w:iCs/>
      <w:color w:val="404040" w:themeColor="text1" w:themeTint="BF"/>
    </w:rPr>
  </w:style>
  <w:style w:type="character" w:customStyle="1" w:styleId="QuoteChar">
    <w:name w:val="Quote Char"/>
    <w:basedOn w:val="DefaultParagraphFont"/>
    <w:link w:val="Quote"/>
    <w:uiPriority w:val="29"/>
    <w:rsid w:val="0000332B"/>
    <w:rPr>
      <w:i/>
      <w:iCs/>
      <w:color w:val="404040" w:themeColor="text1" w:themeTint="BF"/>
    </w:rPr>
  </w:style>
  <w:style w:type="paragraph" w:styleId="ListParagraph">
    <w:name w:val="List Paragraph"/>
    <w:basedOn w:val="Normal"/>
    <w:uiPriority w:val="34"/>
    <w:qFormat/>
    <w:rsid w:val="0000332B"/>
    <w:pPr>
      <w:ind w:left="720"/>
      <w:contextualSpacing/>
    </w:pPr>
  </w:style>
  <w:style w:type="character" w:styleId="IntenseEmphasis">
    <w:name w:val="Intense Emphasis"/>
    <w:basedOn w:val="DefaultParagraphFont"/>
    <w:uiPriority w:val="21"/>
    <w:qFormat/>
    <w:rsid w:val="0000332B"/>
    <w:rPr>
      <w:i/>
      <w:iCs/>
      <w:color w:val="0F4761" w:themeColor="accent1" w:themeShade="BF"/>
    </w:rPr>
  </w:style>
  <w:style w:type="paragraph" w:styleId="IntenseQuote">
    <w:name w:val="Intense Quote"/>
    <w:basedOn w:val="Normal"/>
    <w:next w:val="Normal"/>
    <w:link w:val="IntenseQuoteChar"/>
    <w:uiPriority w:val="30"/>
    <w:qFormat/>
    <w:rsid w:val="00003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32B"/>
    <w:rPr>
      <w:i/>
      <w:iCs/>
      <w:color w:val="0F4761" w:themeColor="accent1" w:themeShade="BF"/>
    </w:rPr>
  </w:style>
  <w:style w:type="character" w:styleId="IntenseReference">
    <w:name w:val="Intense Reference"/>
    <w:basedOn w:val="DefaultParagraphFont"/>
    <w:uiPriority w:val="32"/>
    <w:qFormat/>
    <w:rsid w:val="0000332B"/>
    <w:rPr>
      <w:b/>
      <w:bCs/>
      <w:smallCaps/>
      <w:color w:val="0F4761" w:themeColor="accent1" w:themeShade="BF"/>
      <w:spacing w:val="5"/>
    </w:rPr>
  </w:style>
  <w:style w:type="paragraph" w:styleId="Header">
    <w:name w:val="header"/>
    <w:basedOn w:val="Normal"/>
    <w:link w:val="HeaderChar"/>
    <w:uiPriority w:val="99"/>
    <w:unhideWhenUsed/>
    <w:rsid w:val="00935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7A1"/>
  </w:style>
  <w:style w:type="paragraph" w:styleId="Footer">
    <w:name w:val="footer"/>
    <w:basedOn w:val="Normal"/>
    <w:link w:val="FooterChar"/>
    <w:uiPriority w:val="99"/>
    <w:unhideWhenUsed/>
    <w:rsid w:val="00935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350</Words>
  <Characters>15071</Characters>
  <Application>Microsoft Office Word</Application>
  <DocSecurity>0</DocSecurity>
  <Lines>350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 Bita</dc:creator>
  <cp:keywords/>
  <dc:description/>
  <cp:lastModifiedBy>Ardian Bita</cp:lastModifiedBy>
  <cp:revision>1</cp:revision>
  <dcterms:created xsi:type="dcterms:W3CDTF">2026-02-20T13:01:00Z</dcterms:created>
  <dcterms:modified xsi:type="dcterms:W3CDTF">2026-02-20T13:58:00Z</dcterms:modified>
</cp:coreProperties>
</file>